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D62E" w14:textId="7530B807" w:rsidR="00E2413E" w:rsidRPr="007C28A5" w:rsidRDefault="00E2413E" w:rsidP="00EA1808">
      <w:pPr>
        <w:rPr>
          <w:sz w:val="48"/>
          <w:szCs w:val="48"/>
        </w:rPr>
      </w:pPr>
    </w:p>
    <w:p w14:paraId="543B53E5" w14:textId="40F07503" w:rsidR="00EE78F0" w:rsidRPr="00AA4677" w:rsidRDefault="003E7C9E" w:rsidP="00896A24">
      <w:pPr>
        <w:spacing w:after="0" w:line="240" w:lineRule="auto"/>
        <w:jc w:val="center"/>
        <w:rPr>
          <w:sz w:val="48"/>
          <w:szCs w:val="48"/>
        </w:rPr>
      </w:pPr>
      <w:bookmarkStart w:id="0" w:name="_Hlk170470816"/>
      <w:r w:rsidRPr="00AA4677">
        <w:rPr>
          <w:sz w:val="48"/>
          <w:szCs w:val="48"/>
        </w:rPr>
        <w:t>Human Subjects</w:t>
      </w:r>
      <w:r w:rsidR="00D638CA" w:rsidRPr="00AA4677">
        <w:rPr>
          <w:sz w:val="48"/>
          <w:szCs w:val="48"/>
        </w:rPr>
        <w:t xml:space="preserve"> Protection Program</w:t>
      </w:r>
    </w:p>
    <w:p w14:paraId="62F8C10A" w14:textId="5A11502F" w:rsidR="003E7C9E" w:rsidRPr="00AA4677" w:rsidRDefault="003E7C9E" w:rsidP="00896A24">
      <w:pPr>
        <w:spacing w:after="0" w:line="240" w:lineRule="auto"/>
        <w:jc w:val="center"/>
        <w:rPr>
          <w:sz w:val="48"/>
          <w:szCs w:val="48"/>
        </w:rPr>
      </w:pPr>
      <w:r w:rsidRPr="00AA4677">
        <w:rPr>
          <w:sz w:val="48"/>
          <w:szCs w:val="48"/>
        </w:rPr>
        <w:t>Standard Operating Procedures</w:t>
      </w:r>
    </w:p>
    <w:bookmarkEnd w:id="0" w:displacedByCustomXml="next"/>
    <w:bookmarkStart w:id="1" w:name="_Toc192678135" w:displacedByCustomXml="next"/>
    <w:bookmarkStart w:id="2" w:name="_Toc170470625" w:displacedByCustomXml="next"/>
    <w:bookmarkStart w:id="3" w:name="_Toc101437764" w:displacedByCustomXml="next"/>
    <w:bookmarkStart w:id="4" w:name="_Toc101433338" w:displacedByCustomXml="next"/>
    <w:bookmarkStart w:id="5" w:name="_Toc101428969" w:displacedByCustomXml="next"/>
    <w:bookmarkStart w:id="6" w:name="_Toc101428794" w:displacedByCustomXml="next"/>
    <w:bookmarkStart w:id="7" w:name="_Toc160543645" w:displacedByCustomXml="next"/>
    <w:bookmarkStart w:id="8" w:name="_Hlk170470806" w:displacedByCustomXml="next"/>
    <w:sdt>
      <w:sdtPr>
        <w:rPr>
          <w:rFonts w:eastAsiaTheme="minorHAnsi" w:cstheme="minorBidi"/>
          <w:color w:val="auto"/>
          <w:kern w:val="0"/>
          <w:szCs w:val="22"/>
        </w:rPr>
        <w:id w:val="-1221581949"/>
        <w:docPartObj>
          <w:docPartGallery w:val="Table of Contents"/>
          <w:docPartUnique/>
        </w:docPartObj>
      </w:sdtPr>
      <w:sdtEndPr>
        <w:rPr>
          <w:noProof/>
        </w:rPr>
      </w:sdtEndPr>
      <w:sdtContent>
        <w:p w14:paraId="248528FF" w14:textId="77777777" w:rsidR="0030581A" w:rsidRPr="00AA4677" w:rsidRDefault="0010633D" w:rsidP="006A391A">
          <w:pPr>
            <w:pStyle w:val="Heading1"/>
            <w:rPr>
              <w:noProof/>
            </w:rPr>
          </w:pPr>
          <w:r w:rsidRPr="00AA4677">
            <w:rPr>
              <w:color w:val="2E74B5" w:themeColor="accent1" w:themeShade="BF"/>
              <w:sz w:val="32"/>
            </w:rPr>
            <w:t>Contents</w:t>
          </w:r>
          <w:bookmarkEnd w:id="7"/>
          <w:bookmarkEnd w:id="6"/>
          <w:bookmarkEnd w:id="5"/>
          <w:bookmarkEnd w:id="4"/>
          <w:bookmarkEnd w:id="3"/>
          <w:bookmarkEnd w:id="2"/>
          <w:bookmarkEnd w:id="1"/>
          <w:r w:rsidR="0090406A" w:rsidRPr="00AA4677">
            <w:fldChar w:fldCharType="begin"/>
          </w:r>
          <w:r w:rsidR="0090406A" w:rsidRPr="00AA4677">
            <w:instrText xml:space="preserve"> TOC \o "1-2" \h \z \u </w:instrText>
          </w:r>
          <w:r w:rsidR="0090406A" w:rsidRPr="00AA4677">
            <w:fldChar w:fldCharType="separate"/>
          </w:r>
        </w:p>
        <w:p w14:paraId="2382781C" w14:textId="5A003CE7" w:rsidR="0030581A" w:rsidRPr="00AA4677" w:rsidRDefault="0030581A">
          <w:pPr>
            <w:pStyle w:val="TOC1"/>
            <w:rPr>
              <w:rFonts w:eastAsiaTheme="minorEastAsia"/>
              <w:noProof/>
              <w:kern w:val="2"/>
              <w:szCs w:val="24"/>
              <w14:ligatures w14:val="standardContextual"/>
            </w:rPr>
          </w:pPr>
          <w:hyperlink w:anchor="_Toc192678135" w:history="1">
            <w:r w:rsidRPr="00AA4677">
              <w:rPr>
                <w:rStyle w:val="Hyperlink"/>
                <w:noProof/>
              </w:rPr>
              <w:t>Contents</w:t>
            </w:r>
            <w:r w:rsidRPr="00AA4677">
              <w:rPr>
                <w:noProof/>
                <w:webHidden/>
              </w:rPr>
              <w:tab/>
            </w:r>
            <w:r w:rsidRPr="00AA4677">
              <w:rPr>
                <w:noProof/>
                <w:webHidden/>
              </w:rPr>
              <w:fldChar w:fldCharType="begin"/>
            </w:r>
            <w:r w:rsidRPr="00AA4677">
              <w:rPr>
                <w:noProof/>
                <w:webHidden/>
              </w:rPr>
              <w:instrText xml:space="preserve"> PAGEREF _Toc192678135 \h </w:instrText>
            </w:r>
            <w:r w:rsidRPr="00AA4677">
              <w:rPr>
                <w:noProof/>
                <w:webHidden/>
              </w:rPr>
            </w:r>
            <w:r w:rsidRPr="00AA4677">
              <w:rPr>
                <w:noProof/>
                <w:webHidden/>
              </w:rPr>
              <w:fldChar w:fldCharType="separate"/>
            </w:r>
            <w:r w:rsidRPr="00AA4677">
              <w:rPr>
                <w:noProof/>
                <w:webHidden/>
              </w:rPr>
              <w:t>1</w:t>
            </w:r>
            <w:r w:rsidRPr="00AA4677">
              <w:rPr>
                <w:noProof/>
                <w:webHidden/>
              </w:rPr>
              <w:fldChar w:fldCharType="end"/>
            </w:r>
          </w:hyperlink>
        </w:p>
        <w:p w14:paraId="5F4689DC" w14:textId="2C9B9BF5" w:rsidR="0030581A" w:rsidRPr="00AA4677" w:rsidRDefault="0030581A">
          <w:pPr>
            <w:pStyle w:val="TOC1"/>
            <w:rPr>
              <w:rFonts w:eastAsiaTheme="minorEastAsia"/>
              <w:noProof/>
              <w:kern w:val="2"/>
              <w:szCs w:val="24"/>
              <w14:ligatures w14:val="standardContextual"/>
            </w:rPr>
          </w:pPr>
          <w:hyperlink w:anchor="_Toc192678136" w:history="1">
            <w:r w:rsidRPr="00AA4677">
              <w:rPr>
                <w:rStyle w:val="Hyperlink"/>
                <w:noProof/>
                <w:shd w:val="clear" w:color="auto" w:fill="FFFFFF"/>
              </w:rPr>
              <w:t>1 Human Research Protection Program</w:t>
            </w:r>
            <w:r w:rsidRPr="00AA4677">
              <w:rPr>
                <w:rStyle w:val="Hyperlink"/>
                <w:noProof/>
              </w:rPr>
              <w:t xml:space="preserve"> (HRPP)</w:t>
            </w:r>
            <w:r w:rsidRPr="00AA4677">
              <w:rPr>
                <w:noProof/>
                <w:webHidden/>
              </w:rPr>
              <w:tab/>
            </w:r>
            <w:r w:rsidRPr="00AA4677">
              <w:rPr>
                <w:noProof/>
                <w:webHidden/>
              </w:rPr>
              <w:fldChar w:fldCharType="begin"/>
            </w:r>
            <w:r w:rsidRPr="00AA4677">
              <w:rPr>
                <w:noProof/>
                <w:webHidden/>
              </w:rPr>
              <w:instrText xml:space="preserve"> PAGEREF _Toc192678136 \h </w:instrText>
            </w:r>
            <w:r w:rsidRPr="00AA4677">
              <w:rPr>
                <w:noProof/>
                <w:webHidden/>
              </w:rPr>
            </w:r>
            <w:r w:rsidRPr="00AA4677">
              <w:rPr>
                <w:noProof/>
                <w:webHidden/>
              </w:rPr>
              <w:fldChar w:fldCharType="separate"/>
            </w:r>
            <w:r w:rsidRPr="00AA4677">
              <w:rPr>
                <w:noProof/>
                <w:webHidden/>
              </w:rPr>
              <w:t>7</w:t>
            </w:r>
            <w:r w:rsidRPr="00AA4677">
              <w:rPr>
                <w:noProof/>
                <w:webHidden/>
              </w:rPr>
              <w:fldChar w:fldCharType="end"/>
            </w:r>
          </w:hyperlink>
        </w:p>
        <w:p w14:paraId="3023A5E6" w14:textId="1E859940" w:rsidR="0030581A" w:rsidRPr="00AA4677" w:rsidRDefault="0030581A">
          <w:pPr>
            <w:pStyle w:val="TOC2"/>
            <w:tabs>
              <w:tab w:val="right" w:leader="dot" w:pos="9630"/>
            </w:tabs>
            <w:rPr>
              <w:rFonts w:eastAsiaTheme="minorEastAsia"/>
              <w:noProof/>
              <w:kern w:val="2"/>
              <w:szCs w:val="24"/>
              <w14:ligatures w14:val="standardContextual"/>
            </w:rPr>
          </w:pPr>
          <w:hyperlink w:anchor="_Toc192678137" w:history="1">
            <w:r w:rsidRPr="00AA4677">
              <w:rPr>
                <w:rStyle w:val="Hyperlink"/>
                <w:noProof/>
              </w:rPr>
              <w:t>1.1 Policy</w:t>
            </w:r>
            <w:r w:rsidRPr="00AA4677">
              <w:rPr>
                <w:noProof/>
                <w:webHidden/>
              </w:rPr>
              <w:tab/>
            </w:r>
            <w:r w:rsidRPr="00AA4677">
              <w:rPr>
                <w:noProof/>
                <w:webHidden/>
              </w:rPr>
              <w:fldChar w:fldCharType="begin"/>
            </w:r>
            <w:r w:rsidRPr="00AA4677">
              <w:rPr>
                <w:noProof/>
                <w:webHidden/>
              </w:rPr>
              <w:instrText xml:space="preserve"> PAGEREF _Toc192678137 \h </w:instrText>
            </w:r>
            <w:r w:rsidRPr="00AA4677">
              <w:rPr>
                <w:noProof/>
                <w:webHidden/>
              </w:rPr>
            </w:r>
            <w:r w:rsidRPr="00AA4677">
              <w:rPr>
                <w:noProof/>
                <w:webHidden/>
              </w:rPr>
              <w:fldChar w:fldCharType="separate"/>
            </w:r>
            <w:r w:rsidRPr="00AA4677">
              <w:rPr>
                <w:noProof/>
                <w:webHidden/>
              </w:rPr>
              <w:t>7</w:t>
            </w:r>
            <w:r w:rsidRPr="00AA4677">
              <w:rPr>
                <w:noProof/>
                <w:webHidden/>
              </w:rPr>
              <w:fldChar w:fldCharType="end"/>
            </w:r>
          </w:hyperlink>
        </w:p>
        <w:p w14:paraId="62A02E63" w14:textId="1C5C55CA" w:rsidR="0030581A" w:rsidRPr="00AA4677" w:rsidRDefault="0030581A">
          <w:pPr>
            <w:pStyle w:val="TOC2"/>
            <w:tabs>
              <w:tab w:val="right" w:leader="dot" w:pos="9630"/>
            </w:tabs>
            <w:rPr>
              <w:rFonts w:eastAsiaTheme="minorEastAsia"/>
              <w:noProof/>
              <w:kern w:val="2"/>
              <w:szCs w:val="24"/>
              <w14:ligatures w14:val="standardContextual"/>
            </w:rPr>
          </w:pPr>
          <w:hyperlink w:anchor="_Toc192678138" w:history="1">
            <w:r w:rsidRPr="00AA4677">
              <w:rPr>
                <w:rStyle w:val="Hyperlink"/>
                <w:noProof/>
              </w:rPr>
              <w:t>1.2 Mission</w:t>
            </w:r>
            <w:r w:rsidRPr="00AA4677">
              <w:rPr>
                <w:noProof/>
                <w:webHidden/>
              </w:rPr>
              <w:tab/>
            </w:r>
            <w:r w:rsidRPr="00AA4677">
              <w:rPr>
                <w:noProof/>
                <w:webHidden/>
              </w:rPr>
              <w:fldChar w:fldCharType="begin"/>
            </w:r>
            <w:r w:rsidRPr="00AA4677">
              <w:rPr>
                <w:noProof/>
                <w:webHidden/>
              </w:rPr>
              <w:instrText xml:space="preserve"> PAGEREF _Toc192678138 \h </w:instrText>
            </w:r>
            <w:r w:rsidRPr="00AA4677">
              <w:rPr>
                <w:noProof/>
                <w:webHidden/>
              </w:rPr>
            </w:r>
            <w:r w:rsidRPr="00AA4677">
              <w:rPr>
                <w:noProof/>
                <w:webHidden/>
              </w:rPr>
              <w:fldChar w:fldCharType="separate"/>
            </w:r>
            <w:r w:rsidRPr="00AA4677">
              <w:rPr>
                <w:noProof/>
                <w:webHidden/>
              </w:rPr>
              <w:t>8</w:t>
            </w:r>
            <w:r w:rsidRPr="00AA4677">
              <w:rPr>
                <w:noProof/>
                <w:webHidden/>
              </w:rPr>
              <w:fldChar w:fldCharType="end"/>
            </w:r>
          </w:hyperlink>
        </w:p>
        <w:p w14:paraId="362070E5" w14:textId="234196DE" w:rsidR="0030581A" w:rsidRPr="00AA4677" w:rsidRDefault="0030581A">
          <w:pPr>
            <w:pStyle w:val="TOC2"/>
            <w:tabs>
              <w:tab w:val="right" w:leader="dot" w:pos="9630"/>
            </w:tabs>
            <w:rPr>
              <w:rFonts w:eastAsiaTheme="minorEastAsia"/>
              <w:noProof/>
              <w:kern w:val="2"/>
              <w:szCs w:val="24"/>
              <w14:ligatures w14:val="standardContextual"/>
            </w:rPr>
          </w:pPr>
          <w:hyperlink w:anchor="_Toc192678139" w:history="1">
            <w:r w:rsidRPr="00AA4677">
              <w:rPr>
                <w:rStyle w:val="Hyperlink"/>
                <w:noProof/>
              </w:rPr>
              <w:t>1.3 Institutional Authority</w:t>
            </w:r>
            <w:r w:rsidRPr="00AA4677">
              <w:rPr>
                <w:noProof/>
                <w:webHidden/>
              </w:rPr>
              <w:tab/>
            </w:r>
            <w:r w:rsidRPr="00AA4677">
              <w:rPr>
                <w:noProof/>
                <w:webHidden/>
              </w:rPr>
              <w:fldChar w:fldCharType="begin"/>
            </w:r>
            <w:r w:rsidRPr="00AA4677">
              <w:rPr>
                <w:noProof/>
                <w:webHidden/>
              </w:rPr>
              <w:instrText xml:space="preserve"> PAGEREF _Toc192678139 \h </w:instrText>
            </w:r>
            <w:r w:rsidRPr="00AA4677">
              <w:rPr>
                <w:noProof/>
                <w:webHidden/>
              </w:rPr>
            </w:r>
            <w:r w:rsidRPr="00AA4677">
              <w:rPr>
                <w:noProof/>
                <w:webHidden/>
              </w:rPr>
              <w:fldChar w:fldCharType="separate"/>
            </w:r>
            <w:r w:rsidRPr="00AA4677">
              <w:rPr>
                <w:noProof/>
                <w:webHidden/>
              </w:rPr>
              <w:t>9</w:t>
            </w:r>
            <w:r w:rsidRPr="00AA4677">
              <w:rPr>
                <w:noProof/>
                <w:webHidden/>
              </w:rPr>
              <w:fldChar w:fldCharType="end"/>
            </w:r>
          </w:hyperlink>
        </w:p>
        <w:p w14:paraId="1597CE5F" w14:textId="4107D834" w:rsidR="0030581A" w:rsidRPr="00AA4677" w:rsidRDefault="0030581A">
          <w:pPr>
            <w:pStyle w:val="TOC2"/>
            <w:tabs>
              <w:tab w:val="right" w:leader="dot" w:pos="9630"/>
            </w:tabs>
            <w:rPr>
              <w:rFonts w:eastAsiaTheme="minorEastAsia"/>
              <w:noProof/>
              <w:kern w:val="2"/>
              <w:szCs w:val="24"/>
              <w14:ligatures w14:val="standardContextual"/>
            </w:rPr>
          </w:pPr>
          <w:hyperlink w:anchor="_Toc192678140" w:history="1">
            <w:r w:rsidRPr="00AA4677">
              <w:rPr>
                <w:rStyle w:val="Hyperlink"/>
                <w:noProof/>
              </w:rPr>
              <w:t>1.4 Ethical Principles</w:t>
            </w:r>
            <w:r w:rsidRPr="00AA4677">
              <w:rPr>
                <w:noProof/>
                <w:webHidden/>
              </w:rPr>
              <w:tab/>
            </w:r>
            <w:r w:rsidRPr="00AA4677">
              <w:rPr>
                <w:noProof/>
                <w:webHidden/>
              </w:rPr>
              <w:fldChar w:fldCharType="begin"/>
            </w:r>
            <w:r w:rsidRPr="00AA4677">
              <w:rPr>
                <w:noProof/>
                <w:webHidden/>
              </w:rPr>
              <w:instrText xml:space="preserve"> PAGEREF _Toc192678140 \h </w:instrText>
            </w:r>
            <w:r w:rsidRPr="00AA4677">
              <w:rPr>
                <w:noProof/>
                <w:webHidden/>
              </w:rPr>
            </w:r>
            <w:r w:rsidRPr="00AA4677">
              <w:rPr>
                <w:noProof/>
                <w:webHidden/>
              </w:rPr>
              <w:fldChar w:fldCharType="separate"/>
            </w:r>
            <w:r w:rsidRPr="00AA4677">
              <w:rPr>
                <w:noProof/>
                <w:webHidden/>
              </w:rPr>
              <w:t>9</w:t>
            </w:r>
            <w:r w:rsidRPr="00AA4677">
              <w:rPr>
                <w:noProof/>
                <w:webHidden/>
              </w:rPr>
              <w:fldChar w:fldCharType="end"/>
            </w:r>
          </w:hyperlink>
        </w:p>
        <w:p w14:paraId="7BD4C96E" w14:textId="3555AAAC" w:rsidR="0030581A" w:rsidRPr="00AA4677" w:rsidRDefault="0030581A">
          <w:pPr>
            <w:pStyle w:val="TOC2"/>
            <w:tabs>
              <w:tab w:val="right" w:leader="dot" w:pos="9630"/>
            </w:tabs>
            <w:rPr>
              <w:rFonts w:eastAsiaTheme="minorEastAsia"/>
              <w:noProof/>
              <w:kern w:val="2"/>
              <w:szCs w:val="24"/>
              <w14:ligatures w14:val="standardContextual"/>
            </w:rPr>
          </w:pPr>
          <w:hyperlink w:anchor="_Toc192678141" w:history="1">
            <w:r w:rsidRPr="00AA4677">
              <w:rPr>
                <w:rStyle w:val="Hyperlink"/>
                <w:noProof/>
              </w:rPr>
              <w:t>1.5 Definitions</w:t>
            </w:r>
            <w:r w:rsidRPr="00AA4677">
              <w:rPr>
                <w:noProof/>
                <w:webHidden/>
              </w:rPr>
              <w:tab/>
            </w:r>
            <w:r w:rsidRPr="00AA4677">
              <w:rPr>
                <w:noProof/>
                <w:webHidden/>
              </w:rPr>
              <w:fldChar w:fldCharType="begin"/>
            </w:r>
            <w:r w:rsidRPr="00AA4677">
              <w:rPr>
                <w:noProof/>
                <w:webHidden/>
              </w:rPr>
              <w:instrText xml:space="preserve"> PAGEREF _Toc192678141 \h </w:instrText>
            </w:r>
            <w:r w:rsidRPr="00AA4677">
              <w:rPr>
                <w:noProof/>
                <w:webHidden/>
              </w:rPr>
            </w:r>
            <w:r w:rsidRPr="00AA4677">
              <w:rPr>
                <w:noProof/>
                <w:webHidden/>
              </w:rPr>
              <w:fldChar w:fldCharType="separate"/>
            </w:r>
            <w:r w:rsidRPr="00AA4677">
              <w:rPr>
                <w:noProof/>
                <w:webHidden/>
              </w:rPr>
              <w:t>9</w:t>
            </w:r>
            <w:r w:rsidRPr="00AA4677">
              <w:rPr>
                <w:noProof/>
                <w:webHidden/>
              </w:rPr>
              <w:fldChar w:fldCharType="end"/>
            </w:r>
          </w:hyperlink>
        </w:p>
        <w:p w14:paraId="2D4086A2" w14:textId="17C0A1D6" w:rsidR="0030581A" w:rsidRPr="00AA4677" w:rsidRDefault="0030581A">
          <w:pPr>
            <w:pStyle w:val="TOC2"/>
            <w:tabs>
              <w:tab w:val="right" w:leader="dot" w:pos="9630"/>
            </w:tabs>
            <w:rPr>
              <w:rFonts w:eastAsiaTheme="minorEastAsia"/>
              <w:noProof/>
              <w:kern w:val="2"/>
              <w:szCs w:val="24"/>
              <w14:ligatures w14:val="standardContextual"/>
            </w:rPr>
          </w:pPr>
          <w:hyperlink w:anchor="_Toc192678142" w:history="1">
            <w:r w:rsidRPr="00AA4677">
              <w:rPr>
                <w:rStyle w:val="Hyperlink"/>
                <w:noProof/>
              </w:rPr>
              <w:t>1.6 Regulatory Compliance</w:t>
            </w:r>
            <w:r w:rsidRPr="00AA4677">
              <w:rPr>
                <w:noProof/>
                <w:webHidden/>
              </w:rPr>
              <w:tab/>
            </w:r>
            <w:r w:rsidRPr="00AA4677">
              <w:rPr>
                <w:noProof/>
                <w:webHidden/>
              </w:rPr>
              <w:fldChar w:fldCharType="begin"/>
            </w:r>
            <w:r w:rsidRPr="00AA4677">
              <w:rPr>
                <w:noProof/>
                <w:webHidden/>
              </w:rPr>
              <w:instrText xml:space="preserve"> PAGEREF _Toc192678142 \h </w:instrText>
            </w:r>
            <w:r w:rsidRPr="00AA4677">
              <w:rPr>
                <w:noProof/>
                <w:webHidden/>
              </w:rPr>
            </w:r>
            <w:r w:rsidRPr="00AA4677">
              <w:rPr>
                <w:noProof/>
                <w:webHidden/>
              </w:rPr>
              <w:fldChar w:fldCharType="separate"/>
            </w:r>
            <w:r w:rsidRPr="00AA4677">
              <w:rPr>
                <w:noProof/>
                <w:webHidden/>
              </w:rPr>
              <w:t>15</w:t>
            </w:r>
            <w:r w:rsidRPr="00AA4677">
              <w:rPr>
                <w:noProof/>
                <w:webHidden/>
              </w:rPr>
              <w:fldChar w:fldCharType="end"/>
            </w:r>
          </w:hyperlink>
        </w:p>
        <w:p w14:paraId="1F79D07E" w14:textId="74065BCA" w:rsidR="0030581A" w:rsidRPr="00AA4677" w:rsidRDefault="0030581A">
          <w:pPr>
            <w:pStyle w:val="TOC2"/>
            <w:tabs>
              <w:tab w:val="right" w:leader="dot" w:pos="9630"/>
            </w:tabs>
            <w:rPr>
              <w:rFonts w:eastAsiaTheme="minorEastAsia"/>
              <w:noProof/>
              <w:kern w:val="2"/>
              <w:szCs w:val="24"/>
              <w14:ligatures w14:val="standardContextual"/>
            </w:rPr>
          </w:pPr>
          <w:hyperlink w:anchor="_Toc192678143" w:history="1">
            <w:r w:rsidRPr="00AA4677">
              <w:rPr>
                <w:rStyle w:val="Hyperlink"/>
                <w:noProof/>
              </w:rPr>
              <w:t>1.7 Federalwide Assurance (FWA)</w:t>
            </w:r>
            <w:r w:rsidRPr="00AA4677">
              <w:rPr>
                <w:noProof/>
                <w:webHidden/>
              </w:rPr>
              <w:tab/>
            </w:r>
            <w:r w:rsidRPr="00AA4677">
              <w:rPr>
                <w:noProof/>
                <w:webHidden/>
              </w:rPr>
              <w:fldChar w:fldCharType="begin"/>
            </w:r>
            <w:r w:rsidRPr="00AA4677">
              <w:rPr>
                <w:noProof/>
                <w:webHidden/>
              </w:rPr>
              <w:instrText xml:space="preserve"> PAGEREF _Toc192678143 \h </w:instrText>
            </w:r>
            <w:r w:rsidRPr="00AA4677">
              <w:rPr>
                <w:noProof/>
                <w:webHidden/>
              </w:rPr>
            </w:r>
            <w:r w:rsidRPr="00AA4677">
              <w:rPr>
                <w:noProof/>
                <w:webHidden/>
              </w:rPr>
              <w:fldChar w:fldCharType="separate"/>
            </w:r>
            <w:r w:rsidRPr="00AA4677">
              <w:rPr>
                <w:noProof/>
                <w:webHidden/>
              </w:rPr>
              <w:t>16</w:t>
            </w:r>
            <w:r w:rsidRPr="00AA4677">
              <w:rPr>
                <w:noProof/>
                <w:webHidden/>
              </w:rPr>
              <w:fldChar w:fldCharType="end"/>
            </w:r>
          </w:hyperlink>
        </w:p>
        <w:p w14:paraId="1F402ADF" w14:textId="75C59C46" w:rsidR="0030581A" w:rsidRPr="00AA4677" w:rsidRDefault="0030581A">
          <w:pPr>
            <w:pStyle w:val="TOC2"/>
            <w:tabs>
              <w:tab w:val="right" w:leader="dot" w:pos="9630"/>
            </w:tabs>
            <w:rPr>
              <w:rFonts w:eastAsiaTheme="minorEastAsia"/>
              <w:noProof/>
              <w:kern w:val="2"/>
              <w:szCs w:val="24"/>
              <w14:ligatures w14:val="standardContextual"/>
            </w:rPr>
          </w:pPr>
          <w:hyperlink w:anchor="_Toc192678144" w:history="1">
            <w:r w:rsidRPr="00AA4677">
              <w:rPr>
                <w:rStyle w:val="Hyperlink"/>
                <w:noProof/>
              </w:rPr>
              <w:t>1.8 Research Covered by the Human Research Protection Program</w:t>
            </w:r>
            <w:r w:rsidRPr="00AA4677">
              <w:rPr>
                <w:noProof/>
                <w:webHidden/>
              </w:rPr>
              <w:tab/>
            </w:r>
            <w:r w:rsidRPr="00AA4677">
              <w:rPr>
                <w:noProof/>
                <w:webHidden/>
              </w:rPr>
              <w:fldChar w:fldCharType="begin"/>
            </w:r>
            <w:r w:rsidRPr="00AA4677">
              <w:rPr>
                <w:noProof/>
                <w:webHidden/>
              </w:rPr>
              <w:instrText xml:space="preserve"> PAGEREF _Toc192678144 \h </w:instrText>
            </w:r>
            <w:r w:rsidRPr="00AA4677">
              <w:rPr>
                <w:noProof/>
                <w:webHidden/>
              </w:rPr>
            </w:r>
            <w:r w:rsidRPr="00AA4677">
              <w:rPr>
                <w:noProof/>
                <w:webHidden/>
              </w:rPr>
              <w:fldChar w:fldCharType="separate"/>
            </w:r>
            <w:r w:rsidRPr="00AA4677">
              <w:rPr>
                <w:noProof/>
                <w:webHidden/>
              </w:rPr>
              <w:t>16</w:t>
            </w:r>
            <w:r w:rsidRPr="00AA4677">
              <w:rPr>
                <w:noProof/>
                <w:webHidden/>
              </w:rPr>
              <w:fldChar w:fldCharType="end"/>
            </w:r>
          </w:hyperlink>
        </w:p>
        <w:p w14:paraId="7BB97038" w14:textId="4ECA7819" w:rsidR="0030581A" w:rsidRPr="00AA4677" w:rsidRDefault="0030581A">
          <w:pPr>
            <w:pStyle w:val="TOC2"/>
            <w:tabs>
              <w:tab w:val="right" w:leader="dot" w:pos="9630"/>
            </w:tabs>
            <w:rPr>
              <w:rFonts w:eastAsiaTheme="minorEastAsia"/>
              <w:noProof/>
              <w:kern w:val="2"/>
              <w:szCs w:val="24"/>
              <w14:ligatures w14:val="standardContextual"/>
            </w:rPr>
          </w:pPr>
          <w:hyperlink w:anchor="_Toc192678145" w:history="1">
            <w:r w:rsidRPr="00AA4677">
              <w:rPr>
                <w:rStyle w:val="Hyperlink"/>
                <w:noProof/>
              </w:rPr>
              <w:t>1.9 Written Policies and Procedures</w:t>
            </w:r>
            <w:r w:rsidRPr="00AA4677">
              <w:rPr>
                <w:noProof/>
                <w:webHidden/>
              </w:rPr>
              <w:tab/>
            </w:r>
            <w:r w:rsidRPr="00AA4677">
              <w:rPr>
                <w:noProof/>
                <w:webHidden/>
              </w:rPr>
              <w:fldChar w:fldCharType="begin"/>
            </w:r>
            <w:r w:rsidRPr="00AA4677">
              <w:rPr>
                <w:noProof/>
                <w:webHidden/>
              </w:rPr>
              <w:instrText xml:space="preserve"> PAGEREF _Toc192678145 \h </w:instrText>
            </w:r>
            <w:r w:rsidRPr="00AA4677">
              <w:rPr>
                <w:noProof/>
                <w:webHidden/>
              </w:rPr>
            </w:r>
            <w:r w:rsidRPr="00AA4677">
              <w:rPr>
                <w:noProof/>
                <w:webHidden/>
              </w:rPr>
              <w:fldChar w:fldCharType="separate"/>
            </w:r>
            <w:r w:rsidRPr="00AA4677">
              <w:rPr>
                <w:noProof/>
                <w:webHidden/>
              </w:rPr>
              <w:t>17</w:t>
            </w:r>
            <w:r w:rsidRPr="00AA4677">
              <w:rPr>
                <w:noProof/>
                <w:webHidden/>
              </w:rPr>
              <w:fldChar w:fldCharType="end"/>
            </w:r>
          </w:hyperlink>
        </w:p>
        <w:p w14:paraId="141311ED" w14:textId="348A1AEB" w:rsidR="0030581A" w:rsidRPr="00AA4677" w:rsidRDefault="0030581A">
          <w:pPr>
            <w:pStyle w:val="TOC2"/>
            <w:tabs>
              <w:tab w:val="right" w:leader="dot" w:pos="9630"/>
            </w:tabs>
            <w:rPr>
              <w:rFonts w:eastAsiaTheme="minorEastAsia"/>
              <w:noProof/>
              <w:kern w:val="2"/>
              <w:szCs w:val="24"/>
              <w14:ligatures w14:val="standardContextual"/>
            </w:rPr>
          </w:pPr>
          <w:hyperlink w:anchor="_Toc192678146" w:history="1">
            <w:r w:rsidRPr="00AA4677">
              <w:rPr>
                <w:rStyle w:val="Hyperlink"/>
                <w:noProof/>
              </w:rPr>
              <w:t>1.10 Human Research Protection Program Organization</w:t>
            </w:r>
            <w:r w:rsidRPr="00AA4677">
              <w:rPr>
                <w:noProof/>
                <w:webHidden/>
              </w:rPr>
              <w:tab/>
            </w:r>
            <w:r w:rsidRPr="00AA4677">
              <w:rPr>
                <w:noProof/>
                <w:webHidden/>
              </w:rPr>
              <w:fldChar w:fldCharType="begin"/>
            </w:r>
            <w:r w:rsidRPr="00AA4677">
              <w:rPr>
                <w:noProof/>
                <w:webHidden/>
              </w:rPr>
              <w:instrText xml:space="preserve"> PAGEREF _Toc192678146 \h </w:instrText>
            </w:r>
            <w:r w:rsidRPr="00AA4677">
              <w:rPr>
                <w:noProof/>
                <w:webHidden/>
              </w:rPr>
            </w:r>
            <w:r w:rsidRPr="00AA4677">
              <w:rPr>
                <w:noProof/>
                <w:webHidden/>
              </w:rPr>
              <w:fldChar w:fldCharType="separate"/>
            </w:r>
            <w:r w:rsidRPr="00AA4677">
              <w:rPr>
                <w:noProof/>
                <w:webHidden/>
              </w:rPr>
              <w:t>17</w:t>
            </w:r>
            <w:r w:rsidRPr="00AA4677">
              <w:rPr>
                <w:noProof/>
                <w:webHidden/>
              </w:rPr>
              <w:fldChar w:fldCharType="end"/>
            </w:r>
          </w:hyperlink>
        </w:p>
        <w:p w14:paraId="3AA3750F" w14:textId="63BFA6F9" w:rsidR="0030581A" w:rsidRPr="00AA4677" w:rsidRDefault="0030581A">
          <w:pPr>
            <w:pStyle w:val="TOC2"/>
            <w:tabs>
              <w:tab w:val="right" w:leader="dot" w:pos="9630"/>
            </w:tabs>
            <w:rPr>
              <w:rFonts w:eastAsiaTheme="minorEastAsia"/>
              <w:noProof/>
              <w:kern w:val="2"/>
              <w:szCs w:val="24"/>
              <w14:ligatures w14:val="standardContextual"/>
            </w:rPr>
          </w:pPr>
          <w:hyperlink w:anchor="_Toc192678147" w:history="1">
            <w:r w:rsidRPr="00AA4677">
              <w:rPr>
                <w:rStyle w:val="Hyperlink"/>
                <w:noProof/>
              </w:rPr>
              <w:t>1.11 Human Research Protection Program Operations</w:t>
            </w:r>
            <w:r w:rsidRPr="00AA4677">
              <w:rPr>
                <w:noProof/>
                <w:webHidden/>
              </w:rPr>
              <w:tab/>
            </w:r>
            <w:r w:rsidRPr="00AA4677">
              <w:rPr>
                <w:noProof/>
                <w:webHidden/>
              </w:rPr>
              <w:fldChar w:fldCharType="begin"/>
            </w:r>
            <w:r w:rsidRPr="00AA4677">
              <w:rPr>
                <w:noProof/>
                <w:webHidden/>
              </w:rPr>
              <w:instrText xml:space="preserve"> PAGEREF _Toc192678147 \h </w:instrText>
            </w:r>
            <w:r w:rsidRPr="00AA4677">
              <w:rPr>
                <w:noProof/>
                <w:webHidden/>
              </w:rPr>
            </w:r>
            <w:r w:rsidRPr="00AA4677">
              <w:rPr>
                <w:noProof/>
                <w:webHidden/>
              </w:rPr>
              <w:fldChar w:fldCharType="separate"/>
            </w:r>
            <w:r w:rsidRPr="00AA4677">
              <w:rPr>
                <w:noProof/>
                <w:webHidden/>
              </w:rPr>
              <w:t>22</w:t>
            </w:r>
            <w:r w:rsidRPr="00AA4677">
              <w:rPr>
                <w:noProof/>
                <w:webHidden/>
              </w:rPr>
              <w:fldChar w:fldCharType="end"/>
            </w:r>
          </w:hyperlink>
        </w:p>
        <w:p w14:paraId="2BCE90A0" w14:textId="6DA2D904" w:rsidR="0030581A" w:rsidRPr="00AA4677" w:rsidRDefault="0030581A">
          <w:pPr>
            <w:pStyle w:val="TOC2"/>
            <w:tabs>
              <w:tab w:val="right" w:leader="dot" w:pos="9630"/>
            </w:tabs>
            <w:rPr>
              <w:rFonts w:eastAsiaTheme="minorEastAsia"/>
              <w:noProof/>
              <w:kern w:val="2"/>
              <w:szCs w:val="24"/>
              <w14:ligatures w14:val="standardContextual"/>
            </w:rPr>
          </w:pPr>
          <w:hyperlink w:anchor="_Toc192678148" w:history="1">
            <w:r w:rsidRPr="00AA4677">
              <w:rPr>
                <w:rStyle w:val="Hyperlink"/>
                <w:noProof/>
              </w:rPr>
              <w:t>1.12 Human Research Protection Program Resources</w:t>
            </w:r>
            <w:r w:rsidRPr="00AA4677">
              <w:rPr>
                <w:noProof/>
                <w:webHidden/>
              </w:rPr>
              <w:tab/>
            </w:r>
            <w:r w:rsidRPr="00AA4677">
              <w:rPr>
                <w:noProof/>
                <w:webHidden/>
              </w:rPr>
              <w:fldChar w:fldCharType="begin"/>
            </w:r>
            <w:r w:rsidRPr="00AA4677">
              <w:rPr>
                <w:noProof/>
                <w:webHidden/>
              </w:rPr>
              <w:instrText xml:space="preserve"> PAGEREF _Toc192678148 \h </w:instrText>
            </w:r>
            <w:r w:rsidRPr="00AA4677">
              <w:rPr>
                <w:noProof/>
                <w:webHidden/>
              </w:rPr>
            </w:r>
            <w:r w:rsidRPr="00AA4677">
              <w:rPr>
                <w:noProof/>
                <w:webHidden/>
              </w:rPr>
              <w:fldChar w:fldCharType="separate"/>
            </w:r>
            <w:r w:rsidRPr="00AA4677">
              <w:rPr>
                <w:noProof/>
                <w:webHidden/>
              </w:rPr>
              <w:t>24</w:t>
            </w:r>
            <w:r w:rsidRPr="00AA4677">
              <w:rPr>
                <w:noProof/>
                <w:webHidden/>
              </w:rPr>
              <w:fldChar w:fldCharType="end"/>
            </w:r>
          </w:hyperlink>
        </w:p>
        <w:p w14:paraId="2E8F0B3D" w14:textId="48DAFFD2" w:rsidR="0030581A" w:rsidRPr="00AA4677" w:rsidRDefault="0030581A">
          <w:pPr>
            <w:pStyle w:val="TOC2"/>
            <w:tabs>
              <w:tab w:val="right" w:leader="dot" w:pos="9630"/>
            </w:tabs>
            <w:rPr>
              <w:rFonts w:eastAsiaTheme="minorEastAsia"/>
              <w:noProof/>
              <w:kern w:val="2"/>
              <w:szCs w:val="24"/>
              <w14:ligatures w14:val="standardContextual"/>
            </w:rPr>
          </w:pPr>
          <w:hyperlink w:anchor="_Toc192678149" w:history="1">
            <w:r w:rsidRPr="00AA4677">
              <w:rPr>
                <w:rStyle w:val="Hyperlink"/>
                <w:noProof/>
              </w:rPr>
              <w:t>1.13 Conduct of Quality Assurance/ Quality Improvement Activities for the IRB Operation</w:t>
            </w:r>
            <w:r w:rsidRPr="00AA4677">
              <w:rPr>
                <w:noProof/>
                <w:webHidden/>
              </w:rPr>
              <w:tab/>
            </w:r>
            <w:r w:rsidRPr="00AA4677">
              <w:rPr>
                <w:noProof/>
                <w:webHidden/>
              </w:rPr>
              <w:fldChar w:fldCharType="begin"/>
            </w:r>
            <w:r w:rsidRPr="00AA4677">
              <w:rPr>
                <w:noProof/>
                <w:webHidden/>
              </w:rPr>
              <w:instrText xml:space="preserve"> PAGEREF _Toc192678149 \h </w:instrText>
            </w:r>
            <w:r w:rsidRPr="00AA4677">
              <w:rPr>
                <w:noProof/>
                <w:webHidden/>
              </w:rPr>
            </w:r>
            <w:r w:rsidRPr="00AA4677">
              <w:rPr>
                <w:noProof/>
                <w:webHidden/>
              </w:rPr>
              <w:fldChar w:fldCharType="separate"/>
            </w:r>
            <w:r w:rsidRPr="00AA4677">
              <w:rPr>
                <w:noProof/>
                <w:webHidden/>
              </w:rPr>
              <w:t>25</w:t>
            </w:r>
            <w:r w:rsidRPr="00AA4677">
              <w:rPr>
                <w:noProof/>
                <w:webHidden/>
              </w:rPr>
              <w:fldChar w:fldCharType="end"/>
            </w:r>
          </w:hyperlink>
        </w:p>
        <w:p w14:paraId="40AEF715" w14:textId="76A0B23F" w:rsidR="0030581A" w:rsidRPr="00AA4677" w:rsidRDefault="0030581A">
          <w:pPr>
            <w:pStyle w:val="TOC2"/>
            <w:tabs>
              <w:tab w:val="right" w:leader="dot" w:pos="9630"/>
            </w:tabs>
            <w:rPr>
              <w:rFonts w:eastAsiaTheme="minorEastAsia"/>
              <w:noProof/>
              <w:kern w:val="2"/>
              <w:szCs w:val="24"/>
              <w14:ligatures w14:val="standardContextual"/>
            </w:rPr>
          </w:pPr>
          <w:hyperlink w:anchor="_Toc192678150" w:history="1">
            <w:r w:rsidRPr="00AA4677">
              <w:rPr>
                <w:rStyle w:val="Hyperlink"/>
                <w:noProof/>
              </w:rPr>
              <w:t>1.14 Multi-site Research</w:t>
            </w:r>
            <w:r w:rsidRPr="00AA4677">
              <w:rPr>
                <w:noProof/>
                <w:webHidden/>
              </w:rPr>
              <w:tab/>
            </w:r>
            <w:r w:rsidRPr="00AA4677">
              <w:rPr>
                <w:noProof/>
                <w:webHidden/>
              </w:rPr>
              <w:fldChar w:fldCharType="begin"/>
            </w:r>
            <w:r w:rsidRPr="00AA4677">
              <w:rPr>
                <w:noProof/>
                <w:webHidden/>
              </w:rPr>
              <w:instrText xml:space="preserve"> PAGEREF _Toc192678150 \h </w:instrText>
            </w:r>
            <w:r w:rsidRPr="00AA4677">
              <w:rPr>
                <w:noProof/>
                <w:webHidden/>
              </w:rPr>
            </w:r>
            <w:r w:rsidRPr="00AA4677">
              <w:rPr>
                <w:noProof/>
                <w:webHidden/>
              </w:rPr>
              <w:fldChar w:fldCharType="separate"/>
            </w:r>
            <w:r w:rsidRPr="00AA4677">
              <w:rPr>
                <w:noProof/>
                <w:webHidden/>
              </w:rPr>
              <w:t>28</w:t>
            </w:r>
            <w:r w:rsidRPr="00AA4677">
              <w:rPr>
                <w:noProof/>
                <w:webHidden/>
              </w:rPr>
              <w:fldChar w:fldCharType="end"/>
            </w:r>
          </w:hyperlink>
        </w:p>
        <w:p w14:paraId="1349A4E4" w14:textId="28C1CEFA" w:rsidR="0030581A" w:rsidRPr="00AA4677" w:rsidRDefault="0030581A">
          <w:pPr>
            <w:pStyle w:val="TOC1"/>
            <w:rPr>
              <w:rFonts w:eastAsiaTheme="minorEastAsia"/>
              <w:noProof/>
              <w:kern w:val="2"/>
              <w:szCs w:val="24"/>
              <w14:ligatures w14:val="standardContextual"/>
            </w:rPr>
          </w:pPr>
          <w:hyperlink w:anchor="_Toc192678151" w:history="1">
            <w:r w:rsidRPr="00AA4677">
              <w:rPr>
                <w:rStyle w:val="Hyperlink"/>
                <w:noProof/>
              </w:rPr>
              <w:t>2 Institutional Review Boards (IRB)</w:t>
            </w:r>
            <w:r w:rsidRPr="00AA4677">
              <w:rPr>
                <w:noProof/>
                <w:webHidden/>
              </w:rPr>
              <w:tab/>
            </w:r>
            <w:r w:rsidRPr="00AA4677">
              <w:rPr>
                <w:noProof/>
                <w:webHidden/>
              </w:rPr>
              <w:fldChar w:fldCharType="begin"/>
            </w:r>
            <w:r w:rsidRPr="00AA4677">
              <w:rPr>
                <w:noProof/>
                <w:webHidden/>
              </w:rPr>
              <w:instrText xml:space="preserve"> PAGEREF _Toc192678151 \h </w:instrText>
            </w:r>
            <w:r w:rsidRPr="00AA4677">
              <w:rPr>
                <w:noProof/>
                <w:webHidden/>
              </w:rPr>
            </w:r>
            <w:r w:rsidRPr="00AA4677">
              <w:rPr>
                <w:noProof/>
                <w:webHidden/>
              </w:rPr>
              <w:fldChar w:fldCharType="separate"/>
            </w:r>
            <w:r w:rsidRPr="00AA4677">
              <w:rPr>
                <w:noProof/>
                <w:webHidden/>
              </w:rPr>
              <w:t>30</w:t>
            </w:r>
            <w:r w:rsidRPr="00AA4677">
              <w:rPr>
                <w:noProof/>
                <w:webHidden/>
              </w:rPr>
              <w:fldChar w:fldCharType="end"/>
            </w:r>
          </w:hyperlink>
        </w:p>
        <w:p w14:paraId="0B478484" w14:textId="11229307" w:rsidR="0030581A" w:rsidRPr="00AA4677" w:rsidRDefault="0030581A">
          <w:pPr>
            <w:pStyle w:val="TOC2"/>
            <w:tabs>
              <w:tab w:val="right" w:leader="dot" w:pos="9630"/>
            </w:tabs>
            <w:rPr>
              <w:rFonts w:eastAsiaTheme="minorEastAsia"/>
              <w:noProof/>
              <w:kern w:val="2"/>
              <w:szCs w:val="24"/>
              <w14:ligatures w14:val="standardContextual"/>
            </w:rPr>
          </w:pPr>
          <w:hyperlink w:anchor="_Toc192678152" w:history="1">
            <w:r w:rsidRPr="00AA4677">
              <w:rPr>
                <w:rStyle w:val="Hyperlink"/>
                <w:noProof/>
              </w:rPr>
              <w:t>2.1 Policy</w:t>
            </w:r>
            <w:r w:rsidRPr="00AA4677">
              <w:rPr>
                <w:noProof/>
                <w:webHidden/>
              </w:rPr>
              <w:tab/>
            </w:r>
            <w:r w:rsidRPr="00AA4677">
              <w:rPr>
                <w:noProof/>
                <w:webHidden/>
              </w:rPr>
              <w:fldChar w:fldCharType="begin"/>
            </w:r>
            <w:r w:rsidRPr="00AA4677">
              <w:rPr>
                <w:noProof/>
                <w:webHidden/>
              </w:rPr>
              <w:instrText xml:space="preserve"> PAGEREF _Toc192678152 \h </w:instrText>
            </w:r>
            <w:r w:rsidRPr="00AA4677">
              <w:rPr>
                <w:noProof/>
                <w:webHidden/>
              </w:rPr>
            </w:r>
            <w:r w:rsidRPr="00AA4677">
              <w:rPr>
                <w:noProof/>
                <w:webHidden/>
              </w:rPr>
              <w:fldChar w:fldCharType="separate"/>
            </w:r>
            <w:r w:rsidRPr="00AA4677">
              <w:rPr>
                <w:noProof/>
                <w:webHidden/>
              </w:rPr>
              <w:t>30</w:t>
            </w:r>
            <w:r w:rsidRPr="00AA4677">
              <w:rPr>
                <w:noProof/>
                <w:webHidden/>
              </w:rPr>
              <w:fldChar w:fldCharType="end"/>
            </w:r>
          </w:hyperlink>
        </w:p>
        <w:p w14:paraId="51B36C95" w14:textId="41AC9C2E" w:rsidR="0030581A" w:rsidRPr="00AA4677" w:rsidRDefault="0030581A">
          <w:pPr>
            <w:pStyle w:val="TOC2"/>
            <w:tabs>
              <w:tab w:val="right" w:leader="dot" w:pos="9630"/>
            </w:tabs>
            <w:rPr>
              <w:rFonts w:eastAsiaTheme="minorEastAsia"/>
              <w:noProof/>
              <w:kern w:val="2"/>
              <w:szCs w:val="24"/>
              <w14:ligatures w14:val="standardContextual"/>
            </w:rPr>
          </w:pPr>
          <w:hyperlink w:anchor="_Toc192678153" w:history="1">
            <w:r w:rsidRPr="00AA4677">
              <w:rPr>
                <w:rStyle w:val="Hyperlink"/>
                <w:noProof/>
              </w:rPr>
              <w:t>2.2 IRB Authority</w:t>
            </w:r>
            <w:r w:rsidRPr="00AA4677">
              <w:rPr>
                <w:noProof/>
                <w:webHidden/>
              </w:rPr>
              <w:tab/>
            </w:r>
            <w:r w:rsidRPr="00AA4677">
              <w:rPr>
                <w:noProof/>
                <w:webHidden/>
              </w:rPr>
              <w:fldChar w:fldCharType="begin"/>
            </w:r>
            <w:r w:rsidRPr="00AA4677">
              <w:rPr>
                <w:noProof/>
                <w:webHidden/>
              </w:rPr>
              <w:instrText xml:space="preserve"> PAGEREF _Toc192678153 \h </w:instrText>
            </w:r>
            <w:r w:rsidRPr="00AA4677">
              <w:rPr>
                <w:noProof/>
                <w:webHidden/>
              </w:rPr>
            </w:r>
            <w:r w:rsidRPr="00AA4677">
              <w:rPr>
                <w:noProof/>
                <w:webHidden/>
              </w:rPr>
              <w:fldChar w:fldCharType="separate"/>
            </w:r>
            <w:r w:rsidRPr="00AA4677">
              <w:rPr>
                <w:noProof/>
                <w:webHidden/>
              </w:rPr>
              <w:t>31</w:t>
            </w:r>
            <w:r w:rsidRPr="00AA4677">
              <w:rPr>
                <w:noProof/>
                <w:webHidden/>
              </w:rPr>
              <w:fldChar w:fldCharType="end"/>
            </w:r>
          </w:hyperlink>
        </w:p>
        <w:p w14:paraId="6B59658B" w14:textId="4CEBC1D6" w:rsidR="0030581A" w:rsidRPr="00AA4677" w:rsidRDefault="0030581A">
          <w:pPr>
            <w:pStyle w:val="TOC2"/>
            <w:tabs>
              <w:tab w:val="right" w:leader="dot" w:pos="9630"/>
            </w:tabs>
            <w:rPr>
              <w:rFonts w:eastAsiaTheme="minorEastAsia"/>
              <w:noProof/>
              <w:kern w:val="2"/>
              <w:szCs w:val="24"/>
              <w14:ligatures w14:val="standardContextual"/>
            </w:rPr>
          </w:pPr>
          <w:hyperlink w:anchor="_Toc192678154" w:history="1">
            <w:r w:rsidRPr="00AA4677">
              <w:rPr>
                <w:rStyle w:val="Hyperlink"/>
                <w:noProof/>
              </w:rPr>
              <w:t>2.3 Number of IRBs</w:t>
            </w:r>
            <w:r w:rsidRPr="00AA4677">
              <w:rPr>
                <w:noProof/>
                <w:webHidden/>
              </w:rPr>
              <w:tab/>
            </w:r>
            <w:r w:rsidRPr="00AA4677">
              <w:rPr>
                <w:noProof/>
                <w:webHidden/>
              </w:rPr>
              <w:fldChar w:fldCharType="begin"/>
            </w:r>
            <w:r w:rsidRPr="00AA4677">
              <w:rPr>
                <w:noProof/>
                <w:webHidden/>
              </w:rPr>
              <w:instrText xml:space="preserve"> PAGEREF _Toc192678154 \h </w:instrText>
            </w:r>
            <w:r w:rsidRPr="00AA4677">
              <w:rPr>
                <w:noProof/>
                <w:webHidden/>
              </w:rPr>
            </w:r>
            <w:r w:rsidRPr="00AA4677">
              <w:rPr>
                <w:noProof/>
                <w:webHidden/>
              </w:rPr>
              <w:fldChar w:fldCharType="separate"/>
            </w:r>
            <w:r w:rsidRPr="00AA4677">
              <w:rPr>
                <w:noProof/>
                <w:webHidden/>
              </w:rPr>
              <w:t>31</w:t>
            </w:r>
            <w:r w:rsidRPr="00AA4677">
              <w:rPr>
                <w:noProof/>
                <w:webHidden/>
              </w:rPr>
              <w:fldChar w:fldCharType="end"/>
            </w:r>
          </w:hyperlink>
        </w:p>
        <w:p w14:paraId="5F998865" w14:textId="1FBDC627" w:rsidR="0030581A" w:rsidRPr="00AA4677" w:rsidRDefault="0030581A">
          <w:pPr>
            <w:pStyle w:val="TOC2"/>
            <w:tabs>
              <w:tab w:val="right" w:leader="dot" w:pos="9630"/>
            </w:tabs>
            <w:rPr>
              <w:rFonts w:eastAsiaTheme="minorEastAsia"/>
              <w:noProof/>
              <w:kern w:val="2"/>
              <w:szCs w:val="24"/>
              <w14:ligatures w14:val="standardContextual"/>
            </w:rPr>
          </w:pPr>
          <w:hyperlink w:anchor="_Toc192678155" w:history="1">
            <w:r w:rsidRPr="00AA4677">
              <w:rPr>
                <w:rStyle w:val="Hyperlink"/>
                <w:noProof/>
              </w:rPr>
              <w:t>2.4 Roles and Responsibilities</w:t>
            </w:r>
            <w:r w:rsidRPr="00AA4677">
              <w:rPr>
                <w:noProof/>
                <w:webHidden/>
              </w:rPr>
              <w:tab/>
            </w:r>
            <w:r w:rsidRPr="00AA4677">
              <w:rPr>
                <w:noProof/>
                <w:webHidden/>
              </w:rPr>
              <w:fldChar w:fldCharType="begin"/>
            </w:r>
            <w:r w:rsidRPr="00AA4677">
              <w:rPr>
                <w:noProof/>
                <w:webHidden/>
              </w:rPr>
              <w:instrText xml:space="preserve"> PAGEREF _Toc192678155 \h </w:instrText>
            </w:r>
            <w:r w:rsidRPr="00AA4677">
              <w:rPr>
                <w:noProof/>
                <w:webHidden/>
              </w:rPr>
            </w:r>
            <w:r w:rsidRPr="00AA4677">
              <w:rPr>
                <w:noProof/>
                <w:webHidden/>
              </w:rPr>
              <w:fldChar w:fldCharType="separate"/>
            </w:r>
            <w:r w:rsidRPr="00AA4677">
              <w:rPr>
                <w:noProof/>
                <w:webHidden/>
              </w:rPr>
              <w:t>32</w:t>
            </w:r>
            <w:r w:rsidRPr="00AA4677">
              <w:rPr>
                <w:noProof/>
                <w:webHidden/>
              </w:rPr>
              <w:fldChar w:fldCharType="end"/>
            </w:r>
          </w:hyperlink>
        </w:p>
        <w:p w14:paraId="2012711F" w14:textId="365663CD" w:rsidR="0030581A" w:rsidRPr="00AA4677" w:rsidRDefault="0030581A">
          <w:pPr>
            <w:pStyle w:val="TOC2"/>
            <w:tabs>
              <w:tab w:val="right" w:leader="dot" w:pos="9630"/>
            </w:tabs>
            <w:rPr>
              <w:rFonts w:eastAsiaTheme="minorEastAsia"/>
              <w:noProof/>
              <w:kern w:val="2"/>
              <w:szCs w:val="24"/>
              <w14:ligatures w14:val="standardContextual"/>
            </w:rPr>
          </w:pPr>
          <w:hyperlink w:anchor="_Toc192678156" w:history="1">
            <w:r w:rsidRPr="00AA4677">
              <w:rPr>
                <w:rStyle w:val="Hyperlink"/>
                <w:noProof/>
              </w:rPr>
              <w:t>2.5 Membership of the IRB</w:t>
            </w:r>
            <w:r w:rsidRPr="00AA4677">
              <w:rPr>
                <w:noProof/>
                <w:webHidden/>
              </w:rPr>
              <w:tab/>
            </w:r>
            <w:r w:rsidRPr="00AA4677">
              <w:rPr>
                <w:noProof/>
                <w:webHidden/>
              </w:rPr>
              <w:fldChar w:fldCharType="begin"/>
            </w:r>
            <w:r w:rsidRPr="00AA4677">
              <w:rPr>
                <w:noProof/>
                <w:webHidden/>
              </w:rPr>
              <w:instrText xml:space="preserve"> PAGEREF _Toc192678156 \h </w:instrText>
            </w:r>
            <w:r w:rsidRPr="00AA4677">
              <w:rPr>
                <w:noProof/>
                <w:webHidden/>
              </w:rPr>
            </w:r>
            <w:r w:rsidRPr="00AA4677">
              <w:rPr>
                <w:noProof/>
                <w:webHidden/>
              </w:rPr>
              <w:fldChar w:fldCharType="separate"/>
            </w:r>
            <w:r w:rsidRPr="00AA4677">
              <w:rPr>
                <w:noProof/>
                <w:webHidden/>
              </w:rPr>
              <w:t>33</w:t>
            </w:r>
            <w:r w:rsidRPr="00AA4677">
              <w:rPr>
                <w:noProof/>
                <w:webHidden/>
              </w:rPr>
              <w:fldChar w:fldCharType="end"/>
            </w:r>
          </w:hyperlink>
        </w:p>
        <w:p w14:paraId="7E8A7159" w14:textId="7495C070" w:rsidR="0030581A" w:rsidRPr="00AA4677" w:rsidRDefault="0030581A">
          <w:pPr>
            <w:pStyle w:val="TOC2"/>
            <w:tabs>
              <w:tab w:val="right" w:leader="dot" w:pos="9630"/>
            </w:tabs>
            <w:rPr>
              <w:rFonts w:eastAsiaTheme="minorEastAsia"/>
              <w:noProof/>
              <w:kern w:val="2"/>
              <w:szCs w:val="24"/>
              <w14:ligatures w14:val="standardContextual"/>
            </w:rPr>
          </w:pPr>
          <w:hyperlink w:anchor="_Toc192678157" w:history="1">
            <w:r w:rsidRPr="00AA4677">
              <w:rPr>
                <w:rStyle w:val="Hyperlink"/>
                <w:noProof/>
              </w:rPr>
              <w:t>2.6 Composition of the IRB</w:t>
            </w:r>
            <w:r w:rsidRPr="00AA4677">
              <w:rPr>
                <w:noProof/>
                <w:webHidden/>
              </w:rPr>
              <w:tab/>
            </w:r>
            <w:r w:rsidRPr="00AA4677">
              <w:rPr>
                <w:noProof/>
                <w:webHidden/>
              </w:rPr>
              <w:fldChar w:fldCharType="begin"/>
            </w:r>
            <w:r w:rsidRPr="00AA4677">
              <w:rPr>
                <w:noProof/>
                <w:webHidden/>
              </w:rPr>
              <w:instrText xml:space="preserve"> PAGEREF _Toc192678157 \h </w:instrText>
            </w:r>
            <w:r w:rsidRPr="00AA4677">
              <w:rPr>
                <w:noProof/>
                <w:webHidden/>
              </w:rPr>
            </w:r>
            <w:r w:rsidRPr="00AA4677">
              <w:rPr>
                <w:noProof/>
                <w:webHidden/>
              </w:rPr>
              <w:fldChar w:fldCharType="separate"/>
            </w:r>
            <w:r w:rsidRPr="00AA4677">
              <w:rPr>
                <w:noProof/>
                <w:webHidden/>
              </w:rPr>
              <w:t>33</w:t>
            </w:r>
            <w:r w:rsidRPr="00AA4677">
              <w:rPr>
                <w:noProof/>
                <w:webHidden/>
              </w:rPr>
              <w:fldChar w:fldCharType="end"/>
            </w:r>
          </w:hyperlink>
        </w:p>
        <w:p w14:paraId="202B614A" w14:textId="61221996" w:rsidR="0030581A" w:rsidRPr="00AA4677" w:rsidRDefault="0030581A">
          <w:pPr>
            <w:pStyle w:val="TOC2"/>
            <w:tabs>
              <w:tab w:val="right" w:leader="dot" w:pos="9630"/>
            </w:tabs>
            <w:rPr>
              <w:rFonts w:eastAsiaTheme="minorEastAsia"/>
              <w:noProof/>
              <w:kern w:val="2"/>
              <w:szCs w:val="24"/>
              <w14:ligatures w14:val="standardContextual"/>
            </w:rPr>
          </w:pPr>
          <w:hyperlink w:anchor="_Toc192678158" w:history="1">
            <w:r w:rsidRPr="00AA4677">
              <w:rPr>
                <w:rStyle w:val="Hyperlink"/>
                <w:noProof/>
              </w:rPr>
              <w:t>2.7 Appointment of Members to the IRB</w:t>
            </w:r>
            <w:r w:rsidRPr="00AA4677">
              <w:rPr>
                <w:noProof/>
                <w:webHidden/>
              </w:rPr>
              <w:tab/>
            </w:r>
            <w:r w:rsidRPr="00AA4677">
              <w:rPr>
                <w:noProof/>
                <w:webHidden/>
              </w:rPr>
              <w:fldChar w:fldCharType="begin"/>
            </w:r>
            <w:r w:rsidRPr="00AA4677">
              <w:rPr>
                <w:noProof/>
                <w:webHidden/>
              </w:rPr>
              <w:instrText xml:space="preserve"> PAGEREF _Toc192678158 \h </w:instrText>
            </w:r>
            <w:r w:rsidRPr="00AA4677">
              <w:rPr>
                <w:noProof/>
                <w:webHidden/>
              </w:rPr>
            </w:r>
            <w:r w:rsidRPr="00AA4677">
              <w:rPr>
                <w:noProof/>
                <w:webHidden/>
              </w:rPr>
              <w:fldChar w:fldCharType="separate"/>
            </w:r>
            <w:r w:rsidRPr="00AA4677">
              <w:rPr>
                <w:noProof/>
                <w:webHidden/>
              </w:rPr>
              <w:t>34</w:t>
            </w:r>
            <w:r w:rsidRPr="00AA4677">
              <w:rPr>
                <w:noProof/>
                <w:webHidden/>
              </w:rPr>
              <w:fldChar w:fldCharType="end"/>
            </w:r>
          </w:hyperlink>
        </w:p>
        <w:p w14:paraId="3B401466" w14:textId="52502918" w:rsidR="0030581A" w:rsidRPr="00AA4677" w:rsidRDefault="0030581A">
          <w:pPr>
            <w:pStyle w:val="TOC2"/>
            <w:tabs>
              <w:tab w:val="right" w:leader="dot" w:pos="9630"/>
            </w:tabs>
            <w:rPr>
              <w:rFonts w:eastAsiaTheme="minorEastAsia"/>
              <w:noProof/>
              <w:kern w:val="2"/>
              <w:szCs w:val="24"/>
              <w14:ligatures w14:val="standardContextual"/>
            </w:rPr>
          </w:pPr>
          <w:hyperlink w:anchor="_Toc192678159" w:history="1">
            <w:r w:rsidRPr="00AA4677">
              <w:rPr>
                <w:rStyle w:val="Hyperlink"/>
                <w:noProof/>
              </w:rPr>
              <w:t>2.8 Alternate Members</w:t>
            </w:r>
            <w:r w:rsidRPr="00AA4677">
              <w:rPr>
                <w:noProof/>
                <w:webHidden/>
              </w:rPr>
              <w:tab/>
            </w:r>
            <w:r w:rsidRPr="00AA4677">
              <w:rPr>
                <w:noProof/>
                <w:webHidden/>
              </w:rPr>
              <w:fldChar w:fldCharType="begin"/>
            </w:r>
            <w:r w:rsidRPr="00AA4677">
              <w:rPr>
                <w:noProof/>
                <w:webHidden/>
              </w:rPr>
              <w:instrText xml:space="preserve"> PAGEREF _Toc192678159 \h </w:instrText>
            </w:r>
            <w:r w:rsidRPr="00AA4677">
              <w:rPr>
                <w:noProof/>
                <w:webHidden/>
              </w:rPr>
            </w:r>
            <w:r w:rsidRPr="00AA4677">
              <w:rPr>
                <w:noProof/>
                <w:webHidden/>
              </w:rPr>
              <w:fldChar w:fldCharType="separate"/>
            </w:r>
            <w:r w:rsidRPr="00AA4677">
              <w:rPr>
                <w:noProof/>
                <w:webHidden/>
              </w:rPr>
              <w:t>35</w:t>
            </w:r>
            <w:r w:rsidRPr="00AA4677">
              <w:rPr>
                <w:noProof/>
                <w:webHidden/>
              </w:rPr>
              <w:fldChar w:fldCharType="end"/>
            </w:r>
          </w:hyperlink>
        </w:p>
        <w:p w14:paraId="245B4F98" w14:textId="78D52F72" w:rsidR="0030581A" w:rsidRPr="00AA4677" w:rsidRDefault="0030581A">
          <w:pPr>
            <w:pStyle w:val="TOC2"/>
            <w:tabs>
              <w:tab w:val="right" w:leader="dot" w:pos="9630"/>
            </w:tabs>
            <w:rPr>
              <w:rFonts w:eastAsiaTheme="minorEastAsia"/>
              <w:noProof/>
              <w:kern w:val="2"/>
              <w:szCs w:val="24"/>
              <w14:ligatures w14:val="standardContextual"/>
            </w:rPr>
          </w:pPr>
          <w:hyperlink w:anchor="_Toc192678160" w:history="1">
            <w:r w:rsidRPr="00AA4677">
              <w:rPr>
                <w:rStyle w:val="Hyperlink"/>
                <w:noProof/>
              </w:rPr>
              <w:t>2.9 IRB Member Conflict of Interest</w:t>
            </w:r>
            <w:r w:rsidRPr="00AA4677">
              <w:rPr>
                <w:noProof/>
                <w:webHidden/>
              </w:rPr>
              <w:tab/>
            </w:r>
            <w:r w:rsidRPr="00AA4677">
              <w:rPr>
                <w:noProof/>
                <w:webHidden/>
              </w:rPr>
              <w:fldChar w:fldCharType="begin"/>
            </w:r>
            <w:r w:rsidRPr="00AA4677">
              <w:rPr>
                <w:noProof/>
                <w:webHidden/>
              </w:rPr>
              <w:instrText xml:space="preserve"> PAGEREF _Toc192678160 \h </w:instrText>
            </w:r>
            <w:r w:rsidRPr="00AA4677">
              <w:rPr>
                <w:noProof/>
                <w:webHidden/>
              </w:rPr>
            </w:r>
            <w:r w:rsidRPr="00AA4677">
              <w:rPr>
                <w:noProof/>
                <w:webHidden/>
              </w:rPr>
              <w:fldChar w:fldCharType="separate"/>
            </w:r>
            <w:r w:rsidRPr="00AA4677">
              <w:rPr>
                <w:noProof/>
                <w:webHidden/>
              </w:rPr>
              <w:t>35</w:t>
            </w:r>
            <w:r w:rsidRPr="00AA4677">
              <w:rPr>
                <w:noProof/>
                <w:webHidden/>
              </w:rPr>
              <w:fldChar w:fldCharType="end"/>
            </w:r>
          </w:hyperlink>
        </w:p>
        <w:p w14:paraId="5E093915" w14:textId="33AC6B3A" w:rsidR="0030581A" w:rsidRPr="00AA4677" w:rsidRDefault="0030581A">
          <w:pPr>
            <w:pStyle w:val="TOC2"/>
            <w:tabs>
              <w:tab w:val="right" w:leader="dot" w:pos="9630"/>
            </w:tabs>
            <w:rPr>
              <w:rFonts w:eastAsiaTheme="minorEastAsia"/>
              <w:noProof/>
              <w:kern w:val="2"/>
              <w:szCs w:val="24"/>
              <w14:ligatures w14:val="standardContextual"/>
            </w:rPr>
          </w:pPr>
          <w:hyperlink w:anchor="_Toc192678161" w:history="1">
            <w:r w:rsidRPr="00AA4677">
              <w:rPr>
                <w:rStyle w:val="Hyperlink"/>
                <w:noProof/>
              </w:rPr>
              <w:t>2.10 Use of Consultants</w:t>
            </w:r>
            <w:r w:rsidRPr="00AA4677">
              <w:rPr>
                <w:noProof/>
                <w:webHidden/>
              </w:rPr>
              <w:tab/>
            </w:r>
            <w:r w:rsidRPr="00AA4677">
              <w:rPr>
                <w:noProof/>
                <w:webHidden/>
              </w:rPr>
              <w:fldChar w:fldCharType="begin"/>
            </w:r>
            <w:r w:rsidRPr="00AA4677">
              <w:rPr>
                <w:noProof/>
                <w:webHidden/>
              </w:rPr>
              <w:instrText xml:space="preserve"> PAGEREF _Toc192678161 \h </w:instrText>
            </w:r>
            <w:r w:rsidRPr="00AA4677">
              <w:rPr>
                <w:noProof/>
                <w:webHidden/>
              </w:rPr>
            </w:r>
            <w:r w:rsidRPr="00AA4677">
              <w:rPr>
                <w:noProof/>
                <w:webHidden/>
              </w:rPr>
              <w:fldChar w:fldCharType="separate"/>
            </w:r>
            <w:r w:rsidRPr="00AA4677">
              <w:rPr>
                <w:noProof/>
                <w:webHidden/>
              </w:rPr>
              <w:t>36</w:t>
            </w:r>
            <w:r w:rsidRPr="00AA4677">
              <w:rPr>
                <w:noProof/>
                <w:webHidden/>
              </w:rPr>
              <w:fldChar w:fldCharType="end"/>
            </w:r>
          </w:hyperlink>
        </w:p>
        <w:p w14:paraId="22DFC3AE" w14:textId="4C407AF9" w:rsidR="0030581A" w:rsidRPr="00AA4677" w:rsidRDefault="0030581A">
          <w:pPr>
            <w:pStyle w:val="TOC2"/>
            <w:tabs>
              <w:tab w:val="right" w:leader="dot" w:pos="9630"/>
            </w:tabs>
            <w:rPr>
              <w:rFonts w:eastAsiaTheme="minorEastAsia"/>
              <w:noProof/>
              <w:kern w:val="2"/>
              <w:szCs w:val="24"/>
              <w14:ligatures w14:val="standardContextual"/>
            </w:rPr>
          </w:pPr>
          <w:hyperlink w:anchor="_Toc192678162" w:history="1">
            <w:r w:rsidRPr="00AA4677">
              <w:rPr>
                <w:rStyle w:val="Hyperlink"/>
                <w:noProof/>
              </w:rPr>
              <w:t>2.11 Duties of IRB Members</w:t>
            </w:r>
            <w:r w:rsidRPr="00AA4677">
              <w:rPr>
                <w:noProof/>
                <w:webHidden/>
              </w:rPr>
              <w:tab/>
            </w:r>
            <w:r w:rsidRPr="00AA4677">
              <w:rPr>
                <w:noProof/>
                <w:webHidden/>
              </w:rPr>
              <w:fldChar w:fldCharType="begin"/>
            </w:r>
            <w:r w:rsidRPr="00AA4677">
              <w:rPr>
                <w:noProof/>
                <w:webHidden/>
              </w:rPr>
              <w:instrText xml:space="preserve"> PAGEREF _Toc192678162 \h </w:instrText>
            </w:r>
            <w:r w:rsidRPr="00AA4677">
              <w:rPr>
                <w:noProof/>
                <w:webHidden/>
              </w:rPr>
            </w:r>
            <w:r w:rsidRPr="00AA4677">
              <w:rPr>
                <w:noProof/>
                <w:webHidden/>
              </w:rPr>
              <w:fldChar w:fldCharType="separate"/>
            </w:r>
            <w:r w:rsidRPr="00AA4677">
              <w:rPr>
                <w:noProof/>
                <w:webHidden/>
              </w:rPr>
              <w:t>37</w:t>
            </w:r>
            <w:r w:rsidRPr="00AA4677">
              <w:rPr>
                <w:noProof/>
                <w:webHidden/>
              </w:rPr>
              <w:fldChar w:fldCharType="end"/>
            </w:r>
          </w:hyperlink>
        </w:p>
        <w:p w14:paraId="7D62B702" w14:textId="69D7E947" w:rsidR="0030581A" w:rsidRPr="00AA4677" w:rsidRDefault="0030581A">
          <w:pPr>
            <w:pStyle w:val="TOC2"/>
            <w:tabs>
              <w:tab w:val="right" w:leader="dot" w:pos="9630"/>
            </w:tabs>
            <w:rPr>
              <w:rFonts w:eastAsiaTheme="minorEastAsia"/>
              <w:noProof/>
              <w:kern w:val="2"/>
              <w:szCs w:val="24"/>
              <w14:ligatures w14:val="standardContextual"/>
            </w:rPr>
          </w:pPr>
          <w:hyperlink w:anchor="_Toc192678163" w:history="1">
            <w:r w:rsidRPr="00AA4677">
              <w:rPr>
                <w:rStyle w:val="Hyperlink"/>
                <w:noProof/>
              </w:rPr>
              <w:t>2.12 Attendance Requirements of the IRB Members</w:t>
            </w:r>
            <w:r w:rsidRPr="00AA4677">
              <w:rPr>
                <w:noProof/>
                <w:webHidden/>
              </w:rPr>
              <w:tab/>
            </w:r>
            <w:r w:rsidRPr="00AA4677">
              <w:rPr>
                <w:noProof/>
                <w:webHidden/>
              </w:rPr>
              <w:fldChar w:fldCharType="begin"/>
            </w:r>
            <w:r w:rsidRPr="00AA4677">
              <w:rPr>
                <w:noProof/>
                <w:webHidden/>
              </w:rPr>
              <w:instrText xml:space="preserve"> PAGEREF _Toc192678163 \h </w:instrText>
            </w:r>
            <w:r w:rsidRPr="00AA4677">
              <w:rPr>
                <w:noProof/>
                <w:webHidden/>
              </w:rPr>
            </w:r>
            <w:r w:rsidRPr="00AA4677">
              <w:rPr>
                <w:noProof/>
                <w:webHidden/>
              </w:rPr>
              <w:fldChar w:fldCharType="separate"/>
            </w:r>
            <w:r w:rsidRPr="00AA4677">
              <w:rPr>
                <w:noProof/>
                <w:webHidden/>
              </w:rPr>
              <w:t>37</w:t>
            </w:r>
            <w:r w:rsidRPr="00AA4677">
              <w:rPr>
                <w:noProof/>
                <w:webHidden/>
              </w:rPr>
              <w:fldChar w:fldCharType="end"/>
            </w:r>
          </w:hyperlink>
        </w:p>
        <w:p w14:paraId="4F13CEE6" w14:textId="12F44EB5" w:rsidR="0030581A" w:rsidRPr="00AA4677" w:rsidRDefault="0030581A">
          <w:pPr>
            <w:pStyle w:val="TOC2"/>
            <w:tabs>
              <w:tab w:val="right" w:leader="dot" w:pos="9630"/>
            </w:tabs>
            <w:rPr>
              <w:rFonts w:eastAsiaTheme="minorEastAsia"/>
              <w:noProof/>
              <w:kern w:val="2"/>
              <w:szCs w:val="24"/>
              <w14:ligatures w14:val="standardContextual"/>
            </w:rPr>
          </w:pPr>
          <w:hyperlink w:anchor="_Toc192678164" w:history="1">
            <w:r w:rsidRPr="00AA4677">
              <w:rPr>
                <w:rStyle w:val="Hyperlink"/>
                <w:noProof/>
              </w:rPr>
              <w:t>2.13 Training/ Ongoing Education for the IRB Chair and Members and HRPP Staff</w:t>
            </w:r>
            <w:r w:rsidRPr="00AA4677">
              <w:rPr>
                <w:noProof/>
                <w:webHidden/>
              </w:rPr>
              <w:tab/>
            </w:r>
            <w:r w:rsidRPr="00AA4677">
              <w:rPr>
                <w:noProof/>
                <w:webHidden/>
              </w:rPr>
              <w:fldChar w:fldCharType="begin"/>
            </w:r>
            <w:r w:rsidRPr="00AA4677">
              <w:rPr>
                <w:noProof/>
                <w:webHidden/>
              </w:rPr>
              <w:instrText xml:space="preserve"> PAGEREF _Toc192678164 \h </w:instrText>
            </w:r>
            <w:r w:rsidRPr="00AA4677">
              <w:rPr>
                <w:noProof/>
                <w:webHidden/>
              </w:rPr>
            </w:r>
            <w:r w:rsidRPr="00AA4677">
              <w:rPr>
                <w:noProof/>
                <w:webHidden/>
              </w:rPr>
              <w:fldChar w:fldCharType="separate"/>
            </w:r>
            <w:r w:rsidRPr="00AA4677">
              <w:rPr>
                <w:noProof/>
                <w:webHidden/>
              </w:rPr>
              <w:t>37</w:t>
            </w:r>
            <w:r w:rsidRPr="00AA4677">
              <w:rPr>
                <w:noProof/>
                <w:webHidden/>
              </w:rPr>
              <w:fldChar w:fldCharType="end"/>
            </w:r>
          </w:hyperlink>
        </w:p>
        <w:p w14:paraId="45F51B1B" w14:textId="258C9F47" w:rsidR="0030581A" w:rsidRPr="00AA4677" w:rsidRDefault="0030581A">
          <w:pPr>
            <w:pStyle w:val="TOC2"/>
            <w:tabs>
              <w:tab w:val="right" w:leader="dot" w:pos="9630"/>
            </w:tabs>
            <w:rPr>
              <w:rFonts w:eastAsiaTheme="minorEastAsia"/>
              <w:noProof/>
              <w:kern w:val="2"/>
              <w:szCs w:val="24"/>
              <w14:ligatures w14:val="standardContextual"/>
            </w:rPr>
          </w:pPr>
          <w:hyperlink w:anchor="_Toc192678165" w:history="1">
            <w:r w:rsidRPr="00AA4677">
              <w:rPr>
                <w:rStyle w:val="Hyperlink"/>
                <w:noProof/>
              </w:rPr>
              <w:t>2.14 Liability Coverage for IRB Members</w:t>
            </w:r>
            <w:r w:rsidRPr="00AA4677">
              <w:rPr>
                <w:noProof/>
                <w:webHidden/>
              </w:rPr>
              <w:tab/>
            </w:r>
            <w:r w:rsidRPr="00AA4677">
              <w:rPr>
                <w:noProof/>
                <w:webHidden/>
              </w:rPr>
              <w:fldChar w:fldCharType="begin"/>
            </w:r>
            <w:r w:rsidRPr="00AA4677">
              <w:rPr>
                <w:noProof/>
                <w:webHidden/>
              </w:rPr>
              <w:instrText xml:space="preserve"> PAGEREF _Toc192678165 \h </w:instrText>
            </w:r>
            <w:r w:rsidRPr="00AA4677">
              <w:rPr>
                <w:noProof/>
                <w:webHidden/>
              </w:rPr>
            </w:r>
            <w:r w:rsidRPr="00AA4677">
              <w:rPr>
                <w:noProof/>
                <w:webHidden/>
              </w:rPr>
              <w:fldChar w:fldCharType="separate"/>
            </w:r>
            <w:r w:rsidRPr="00AA4677">
              <w:rPr>
                <w:noProof/>
                <w:webHidden/>
              </w:rPr>
              <w:t>39</w:t>
            </w:r>
            <w:r w:rsidRPr="00AA4677">
              <w:rPr>
                <w:noProof/>
                <w:webHidden/>
              </w:rPr>
              <w:fldChar w:fldCharType="end"/>
            </w:r>
          </w:hyperlink>
        </w:p>
        <w:p w14:paraId="671DB492" w14:textId="4D187D67" w:rsidR="0030581A" w:rsidRPr="00AA4677" w:rsidRDefault="0030581A">
          <w:pPr>
            <w:pStyle w:val="TOC2"/>
            <w:tabs>
              <w:tab w:val="right" w:leader="dot" w:pos="9630"/>
            </w:tabs>
            <w:rPr>
              <w:rFonts w:eastAsiaTheme="minorEastAsia"/>
              <w:noProof/>
              <w:kern w:val="2"/>
              <w:szCs w:val="24"/>
              <w14:ligatures w14:val="standardContextual"/>
            </w:rPr>
          </w:pPr>
          <w:hyperlink w:anchor="_Toc192678166" w:history="1">
            <w:r w:rsidRPr="00AA4677">
              <w:rPr>
                <w:rStyle w:val="Hyperlink"/>
                <w:noProof/>
              </w:rPr>
              <w:t>2.15 Review of IRB Member Performance</w:t>
            </w:r>
            <w:r w:rsidRPr="00AA4677">
              <w:rPr>
                <w:noProof/>
                <w:webHidden/>
              </w:rPr>
              <w:tab/>
            </w:r>
            <w:r w:rsidRPr="00AA4677">
              <w:rPr>
                <w:noProof/>
                <w:webHidden/>
              </w:rPr>
              <w:fldChar w:fldCharType="begin"/>
            </w:r>
            <w:r w:rsidRPr="00AA4677">
              <w:rPr>
                <w:noProof/>
                <w:webHidden/>
              </w:rPr>
              <w:instrText xml:space="preserve"> PAGEREF _Toc192678166 \h </w:instrText>
            </w:r>
            <w:r w:rsidRPr="00AA4677">
              <w:rPr>
                <w:noProof/>
                <w:webHidden/>
              </w:rPr>
            </w:r>
            <w:r w:rsidRPr="00AA4677">
              <w:rPr>
                <w:noProof/>
                <w:webHidden/>
              </w:rPr>
              <w:fldChar w:fldCharType="separate"/>
            </w:r>
            <w:r w:rsidRPr="00AA4677">
              <w:rPr>
                <w:noProof/>
                <w:webHidden/>
              </w:rPr>
              <w:t>39</w:t>
            </w:r>
            <w:r w:rsidRPr="00AA4677">
              <w:rPr>
                <w:noProof/>
                <w:webHidden/>
              </w:rPr>
              <w:fldChar w:fldCharType="end"/>
            </w:r>
          </w:hyperlink>
        </w:p>
        <w:p w14:paraId="79A5361A" w14:textId="0B886C60" w:rsidR="0030581A" w:rsidRPr="00AA4677" w:rsidRDefault="0030581A">
          <w:pPr>
            <w:pStyle w:val="TOC2"/>
            <w:tabs>
              <w:tab w:val="right" w:leader="dot" w:pos="9630"/>
            </w:tabs>
            <w:rPr>
              <w:rFonts w:eastAsiaTheme="minorEastAsia"/>
              <w:noProof/>
              <w:kern w:val="2"/>
              <w:szCs w:val="24"/>
              <w14:ligatures w14:val="standardContextual"/>
            </w:rPr>
          </w:pPr>
          <w:hyperlink w:anchor="_Toc192678167" w:history="1">
            <w:r w:rsidRPr="00AA4677">
              <w:rPr>
                <w:rStyle w:val="Hyperlink"/>
                <w:noProof/>
              </w:rPr>
              <w:t>2.16 Reporting and Investigation of Allegations of Undue Influence</w:t>
            </w:r>
            <w:r w:rsidRPr="00AA4677">
              <w:rPr>
                <w:noProof/>
                <w:webHidden/>
              </w:rPr>
              <w:tab/>
            </w:r>
            <w:r w:rsidRPr="00AA4677">
              <w:rPr>
                <w:noProof/>
                <w:webHidden/>
              </w:rPr>
              <w:fldChar w:fldCharType="begin"/>
            </w:r>
            <w:r w:rsidRPr="00AA4677">
              <w:rPr>
                <w:noProof/>
                <w:webHidden/>
              </w:rPr>
              <w:instrText xml:space="preserve"> PAGEREF _Toc192678167 \h </w:instrText>
            </w:r>
            <w:r w:rsidRPr="00AA4677">
              <w:rPr>
                <w:noProof/>
                <w:webHidden/>
              </w:rPr>
            </w:r>
            <w:r w:rsidRPr="00AA4677">
              <w:rPr>
                <w:noProof/>
                <w:webHidden/>
              </w:rPr>
              <w:fldChar w:fldCharType="separate"/>
            </w:r>
            <w:r w:rsidRPr="00AA4677">
              <w:rPr>
                <w:noProof/>
                <w:webHidden/>
              </w:rPr>
              <w:t>40</w:t>
            </w:r>
            <w:r w:rsidRPr="00AA4677">
              <w:rPr>
                <w:noProof/>
                <w:webHidden/>
              </w:rPr>
              <w:fldChar w:fldCharType="end"/>
            </w:r>
          </w:hyperlink>
        </w:p>
        <w:p w14:paraId="52198751" w14:textId="337CB0DA" w:rsidR="0030581A" w:rsidRPr="00AA4677" w:rsidRDefault="0030581A">
          <w:pPr>
            <w:pStyle w:val="TOC1"/>
            <w:rPr>
              <w:rFonts w:eastAsiaTheme="minorEastAsia"/>
              <w:noProof/>
              <w:kern w:val="2"/>
              <w:szCs w:val="24"/>
              <w14:ligatures w14:val="standardContextual"/>
            </w:rPr>
          </w:pPr>
          <w:hyperlink w:anchor="_Toc192678168" w:history="1">
            <w:r w:rsidRPr="00AA4677">
              <w:rPr>
                <w:rStyle w:val="Hyperlink"/>
                <w:noProof/>
              </w:rPr>
              <w:t>3 IRB Review Process</w:t>
            </w:r>
            <w:r w:rsidRPr="00AA4677">
              <w:rPr>
                <w:noProof/>
                <w:webHidden/>
              </w:rPr>
              <w:tab/>
            </w:r>
            <w:r w:rsidRPr="00AA4677">
              <w:rPr>
                <w:noProof/>
                <w:webHidden/>
              </w:rPr>
              <w:fldChar w:fldCharType="begin"/>
            </w:r>
            <w:r w:rsidRPr="00AA4677">
              <w:rPr>
                <w:noProof/>
                <w:webHidden/>
              </w:rPr>
              <w:instrText xml:space="preserve"> PAGEREF _Toc192678168 \h </w:instrText>
            </w:r>
            <w:r w:rsidRPr="00AA4677">
              <w:rPr>
                <w:noProof/>
                <w:webHidden/>
              </w:rPr>
            </w:r>
            <w:r w:rsidRPr="00AA4677">
              <w:rPr>
                <w:noProof/>
                <w:webHidden/>
              </w:rPr>
              <w:fldChar w:fldCharType="separate"/>
            </w:r>
            <w:r w:rsidRPr="00AA4677">
              <w:rPr>
                <w:noProof/>
                <w:webHidden/>
              </w:rPr>
              <w:t>40</w:t>
            </w:r>
            <w:r w:rsidRPr="00AA4677">
              <w:rPr>
                <w:noProof/>
                <w:webHidden/>
              </w:rPr>
              <w:fldChar w:fldCharType="end"/>
            </w:r>
          </w:hyperlink>
        </w:p>
        <w:p w14:paraId="386922A4" w14:textId="144D2773" w:rsidR="0030581A" w:rsidRPr="00AA4677" w:rsidRDefault="0030581A">
          <w:pPr>
            <w:pStyle w:val="TOC2"/>
            <w:tabs>
              <w:tab w:val="right" w:leader="dot" w:pos="9630"/>
            </w:tabs>
            <w:rPr>
              <w:rFonts w:eastAsiaTheme="minorEastAsia"/>
              <w:noProof/>
              <w:kern w:val="2"/>
              <w:szCs w:val="24"/>
              <w14:ligatures w14:val="standardContextual"/>
            </w:rPr>
          </w:pPr>
          <w:hyperlink w:anchor="_Toc192678169" w:history="1">
            <w:r w:rsidRPr="00AA4677">
              <w:rPr>
                <w:rStyle w:val="Hyperlink"/>
                <w:noProof/>
              </w:rPr>
              <w:t>3.1 Policy</w:t>
            </w:r>
            <w:r w:rsidRPr="00AA4677">
              <w:rPr>
                <w:noProof/>
                <w:webHidden/>
              </w:rPr>
              <w:tab/>
            </w:r>
            <w:r w:rsidRPr="00AA4677">
              <w:rPr>
                <w:noProof/>
                <w:webHidden/>
              </w:rPr>
              <w:fldChar w:fldCharType="begin"/>
            </w:r>
            <w:r w:rsidRPr="00AA4677">
              <w:rPr>
                <w:noProof/>
                <w:webHidden/>
              </w:rPr>
              <w:instrText xml:space="preserve"> PAGEREF _Toc192678169 \h </w:instrText>
            </w:r>
            <w:r w:rsidRPr="00AA4677">
              <w:rPr>
                <w:noProof/>
                <w:webHidden/>
              </w:rPr>
            </w:r>
            <w:r w:rsidRPr="00AA4677">
              <w:rPr>
                <w:noProof/>
                <w:webHidden/>
              </w:rPr>
              <w:fldChar w:fldCharType="separate"/>
            </w:r>
            <w:r w:rsidRPr="00AA4677">
              <w:rPr>
                <w:noProof/>
                <w:webHidden/>
              </w:rPr>
              <w:t>40</w:t>
            </w:r>
            <w:r w:rsidRPr="00AA4677">
              <w:rPr>
                <w:noProof/>
                <w:webHidden/>
              </w:rPr>
              <w:fldChar w:fldCharType="end"/>
            </w:r>
          </w:hyperlink>
        </w:p>
        <w:p w14:paraId="3462BCDA" w14:textId="219BB974" w:rsidR="0030581A" w:rsidRPr="00AA4677" w:rsidRDefault="0030581A">
          <w:pPr>
            <w:pStyle w:val="TOC2"/>
            <w:tabs>
              <w:tab w:val="right" w:leader="dot" w:pos="9630"/>
            </w:tabs>
            <w:rPr>
              <w:rFonts w:eastAsiaTheme="minorEastAsia"/>
              <w:noProof/>
              <w:kern w:val="2"/>
              <w:szCs w:val="24"/>
              <w14:ligatures w14:val="standardContextual"/>
            </w:rPr>
          </w:pPr>
          <w:hyperlink w:anchor="_Toc192678170" w:history="1">
            <w:r w:rsidRPr="00AA4677">
              <w:rPr>
                <w:rStyle w:val="Hyperlink"/>
                <w:noProof/>
              </w:rPr>
              <w:t>3.2 Definitions</w:t>
            </w:r>
            <w:r w:rsidRPr="00AA4677">
              <w:rPr>
                <w:noProof/>
                <w:webHidden/>
              </w:rPr>
              <w:tab/>
            </w:r>
            <w:r w:rsidRPr="00AA4677">
              <w:rPr>
                <w:noProof/>
                <w:webHidden/>
              </w:rPr>
              <w:fldChar w:fldCharType="begin"/>
            </w:r>
            <w:r w:rsidRPr="00AA4677">
              <w:rPr>
                <w:noProof/>
                <w:webHidden/>
              </w:rPr>
              <w:instrText xml:space="preserve"> PAGEREF _Toc192678170 \h </w:instrText>
            </w:r>
            <w:r w:rsidRPr="00AA4677">
              <w:rPr>
                <w:noProof/>
                <w:webHidden/>
              </w:rPr>
            </w:r>
            <w:r w:rsidRPr="00AA4677">
              <w:rPr>
                <w:noProof/>
                <w:webHidden/>
              </w:rPr>
              <w:fldChar w:fldCharType="separate"/>
            </w:r>
            <w:r w:rsidRPr="00AA4677">
              <w:rPr>
                <w:noProof/>
                <w:webHidden/>
              </w:rPr>
              <w:t>40</w:t>
            </w:r>
            <w:r w:rsidRPr="00AA4677">
              <w:rPr>
                <w:noProof/>
                <w:webHidden/>
              </w:rPr>
              <w:fldChar w:fldCharType="end"/>
            </w:r>
          </w:hyperlink>
        </w:p>
        <w:p w14:paraId="4AF3D7C7" w14:textId="0B68F8A1" w:rsidR="0030581A" w:rsidRPr="00AA4677" w:rsidRDefault="0030581A">
          <w:pPr>
            <w:pStyle w:val="TOC2"/>
            <w:tabs>
              <w:tab w:val="right" w:leader="dot" w:pos="9630"/>
            </w:tabs>
            <w:rPr>
              <w:rFonts w:eastAsiaTheme="minorEastAsia"/>
              <w:noProof/>
              <w:kern w:val="2"/>
              <w:szCs w:val="24"/>
              <w14:ligatures w14:val="standardContextual"/>
            </w:rPr>
          </w:pPr>
          <w:hyperlink w:anchor="_Toc192678171" w:history="1">
            <w:r w:rsidRPr="00AA4677">
              <w:rPr>
                <w:rStyle w:val="Hyperlink"/>
                <w:noProof/>
              </w:rPr>
              <w:t>3.3 Electronic Management System</w:t>
            </w:r>
            <w:r w:rsidRPr="00AA4677">
              <w:rPr>
                <w:noProof/>
                <w:webHidden/>
              </w:rPr>
              <w:tab/>
            </w:r>
            <w:r w:rsidRPr="00AA4677">
              <w:rPr>
                <w:noProof/>
                <w:webHidden/>
              </w:rPr>
              <w:fldChar w:fldCharType="begin"/>
            </w:r>
            <w:r w:rsidRPr="00AA4677">
              <w:rPr>
                <w:noProof/>
                <w:webHidden/>
              </w:rPr>
              <w:instrText xml:space="preserve"> PAGEREF _Toc192678171 \h </w:instrText>
            </w:r>
            <w:r w:rsidRPr="00AA4677">
              <w:rPr>
                <w:noProof/>
                <w:webHidden/>
              </w:rPr>
            </w:r>
            <w:r w:rsidRPr="00AA4677">
              <w:rPr>
                <w:noProof/>
                <w:webHidden/>
              </w:rPr>
              <w:fldChar w:fldCharType="separate"/>
            </w:r>
            <w:r w:rsidRPr="00AA4677">
              <w:rPr>
                <w:noProof/>
                <w:webHidden/>
              </w:rPr>
              <w:t>41</w:t>
            </w:r>
            <w:r w:rsidRPr="00AA4677">
              <w:rPr>
                <w:noProof/>
                <w:webHidden/>
              </w:rPr>
              <w:fldChar w:fldCharType="end"/>
            </w:r>
          </w:hyperlink>
        </w:p>
        <w:p w14:paraId="07A9CC4E" w14:textId="12811DA5" w:rsidR="0030581A" w:rsidRPr="00AA4677" w:rsidRDefault="0030581A">
          <w:pPr>
            <w:pStyle w:val="TOC2"/>
            <w:tabs>
              <w:tab w:val="right" w:leader="dot" w:pos="9630"/>
            </w:tabs>
            <w:rPr>
              <w:rFonts w:eastAsiaTheme="minorEastAsia"/>
              <w:noProof/>
              <w:kern w:val="2"/>
              <w:szCs w:val="24"/>
              <w14:ligatures w14:val="standardContextual"/>
            </w:rPr>
          </w:pPr>
          <w:hyperlink w:anchor="_Toc192678172" w:history="1">
            <w:r w:rsidRPr="00AA4677">
              <w:rPr>
                <w:rStyle w:val="Hyperlink"/>
                <w:noProof/>
              </w:rPr>
              <w:t>3.4 Human Subjects Research Determinations</w:t>
            </w:r>
            <w:r w:rsidRPr="00AA4677">
              <w:rPr>
                <w:noProof/>
                <w:webHidden/>
              </w:rPr>
              <w:tab/>
            </w:r>
            <w:r w:rsidRPr="00AA4677">
              <w:rPr>
                <w:noProof/>
                <w:webHidden/>
              </w:rPr>
              <w:fldChar w:fldCharType="begin"/>
            </w:r>
            <w:r w:rsidRPr="00AA4677">
              <w:rPr>
                <w:noProof/>
                <w:webHidden/>
              </w:rPr>
              <w:instrText xml:space="preserve"> PAGEREF _Toc192678172 \h </w:instrText>
            </w:r>
            <w:r w:rsidRPr="00AA4677">
              <w:rPr>
                <w:noProof/>
                <w:webHidden/>
              </w:rPr>
            </w:r>
            <w:r w:rsidRPr="00AA4677">
              <w:rPr>
                <w:noProof/>
                <w:webHidden/>
              </w:rPr>
              <w:fldChar w:fldCharType="separate"/>
            </w:r>
            <w:r w:rsidRPr="00AA4677">
              <w:rPr>
                <w:noProof/>
                <w:webHidden/>
              </w:rPr>
              <w:t>42</w:t>
            </w:r>
            <w:r w:rsidRPr="00AA4677">
              <w:rPr>
                <w:noProof/>
                <w:webHidden/>
              </w:rPr>
              <w:fldChar w:fldCharType="end"/>
            </w:r>
          </w:hyperlink>
        </w:p>
        <w:p w14:paraId="180F8C1A" w14:textId="5503A8EA" w:rsidR="0030581A" w:rsidRPr="00AA4677" w:rsidRDefault="0030581A">
          <w:pPr>
            <w:pStyle w:val="TOC2"/>
            <w:tabs>
              <w:tab w:val="right" w:leader="dot" w:pos="9630"/>
            </w:tabs>
            <w:rPr>
              <w:rFonts w:eastAsiaTheme="minorEastAsia"/>
              <w:noProof/>
              <w:kern w:val="2"/>
              <w:szCs w:val="24"/>
              <w14:ligatures w14:val="standardContextual"/>
            </w:rPr>
          </w:pPr>
          <w:hyperlink w:anchor="_Toc192678173" w:history="1">
            <w:r w:rsidRPr="00AA4677">
              <w:rPr>
                <w:rStyle w:val="Hyperlink"/>
                <w:noProof/>
              </w:rPr>
              <w:t>3.5 Exempt Studies</w:t>
            </w:r>
            <w:r w:rsidRPr="00AA4677">
              <w:rPr>
                <w:noProof/>
                <w:webHidden/>
              </w:rPr>
              <w:tab/>
            </w:r>
            <w:r w:rsidRPr="00AA4677">
              <w:rPr>
                <w:noProof/>
                <w:webHidden/>
              </w:rPr>
              <w:fldChar w:fldCharType="begin"/>
            </w:r>
            <w:r w:rsidRPr="00AA4677">
              <w:rPr>
                <w:noProof/>
                <w:webHidden/>
              </w:rPr>
              <w:instrText xml:space="preserve"> PAGEREF _Toc192678173 \h </w:instrText>
            </w:r>
            <w:r w:rsidRPr="00AA4677">
              <w:rPr>
                <w:noProof/>
                <w:webHidden/>
              </w:rPr>
            </w:r>
            <w:r w:rsidRPr="00AA4677">
              <w:rPr>
                <w:noProof/>
                <w:webHidden/>
              </w:rPr>
              <w:fldChar w:fldCharType="separate"/>
            </w:r>
            <w:r w:rsidRPr="00AA4677">
              <w:rPr>
                <w:noProof/>
                <w:webHidden/>
              </w:rPr>
              <w:t>44</w:t>
            </w:r>
            <w:r w:rsidRPr="00AA4677">
              <w:rPr>
                <w:noProof/>
                <w:webHidden/>
              </w:rPr>
              <w:fldChar w:fldCharType="end"/>
            </w:r>
          </w:hyperlink>
        </w:p>
        <w:p w14:paraId="277E8B07" w14:textId="42CAA73E" w:rsidR="0030581A" w:rsidRPr="00AA4677" w:rsidRDefault="0030581A">
          <w:pPr>
            <w:pStyle w:val="TOC2"/>
            <w:tabs>
              <w:tab w:val="right" w:leader="dot" w:pos="9630"/>
            </w:tabs>
            <w:rPr>
              <w:rFonts w:eastAsiaTheme="minorEastAsia"/>
              <w:noProof/>
              <w:kern w:val="2"/>
              <w:szCs w:val="24"/>
              <w14:ligatures w14:val="standardContextual"/>
            </w:rPr>
          </w:pPr>
          <w:hyperlink w:anchor="_Toc192678174" w:history="1">
            <w:r w:rsidRPr="00AA4677">
              <w:rPr>
                <w:rStyle w:val="Hyperlink"/>
                <w:noProof/>
              </w:rPr>
              <w:t>3.6 Expedited Review</w:t>
            </w:r>
            <w:r w:rsidRPr="00AA4677">
              <w:rPr>
                <w:noProof/>
                <w:webHidden/>
              </w:rPr>
              <w:tab/>
            </w:r>
            <w:r w:rsidRPr="00AA4677">
              <w:rPr>
                <w:noProof/>
                <w:webHidden/>
              </w:rPr>
              <w:fldChar w:fldCharType="begin"/>
            </w:r>
            <w:r w:rsidRPr="00AA4677">
              <w:rPr>
                <w:noProof/>
                <w:webHidden/>
              </w:rPr>
              <w:instrText xml:space="preserve"> PAGEREF _Toc192678174 \h </w:instrText>
            </w:r>
            <w:r w:rsidRPr="00AA4677">
              <w:rPr>
                <w:noProof/>
                <w:webHidden/>
              </w:rPr>
            </w:r>
            <w:r w:rsidRPr="00AA4677">
              <w:rPr>
                <w:noProof/>
                <w:webHidden/>
              </w:rPr>
              <w:fldChar w:fldCharType="separate"/>
            </w:r>
            <w:r w:rsidRPr="00AA4677">
              <w:rPr>
                <w:noProof/>
                <w:webHidden/>
              </w:rPr>
              <w:t>50</w:t>
            </w:r>
            <w:r w:rsidRPr="00AA4677">
              <w:rPr>
                <w:noProof/>
                <w:webHidden/>
              </w:rPr>
              <w:fldChar w:fldCharType="end"/>
            </w:r>
          </w:hyperlink>
        </w:p>
        <w:p w14:paraId="3CA84D41" w14:textId="27123DEB" w:rsidR="0030581A" w:rsidRPr="00AA4677" w:rsidRDefault="0030581A">
          <w:pPr>
            <w:pStyle w:val="TOC2"/>
            <w:tabs>
              <w:tab w:val="right" w:leader="dot" w:pos="9630"/>
            </w:tabs>
            <w:rPr>
              <w:rFonts w:eastAsiaTheme="minorEastAsia"/>
              <w:noProof/>
              <w:kern w:val="2"/>
              <w:szCs w:val="24"/>
              <w14:ligatures w14:val="standardContextual"/>
            </w:rPr>
          </w:pPr>
          <w:hyperlink w:anchor="_Toc192678175" w:history="1">
            <w:r w:rsidRPr="00AA4677">
              <w:rPr>
                <w:rStyle w:val="Hyperlink"/>
                <w:noProof/>
              </w:rPr>
              <w:t>3.7 Convened IRB Meetings</w:t>
            </w:r>
            <w:r w:rsidRPr="00AA4677">
              <w:rPr>
                <w:noProof/>
                <w:webHidden/>
              </w:rPr>
              <w:tab/>
            </w:r>
            <w:r w:rsidRPr="00AA4677">
              <w:rPr>
                <w:noProof/>
                <w:webHidden/>
              </w:rPr>
              <w:fldChar w:fldCharType="begin"/>
            </w:r>
            <w:r w:rsidRPr="00AA4677">
              <w:rPr>
                <w:noProof/>
                <w:webHidden/>
              </w:rPr>
              <w:instrText xml:space="preserve"> PAGEREF _Toc192678175 \h </w:instrText>
            </w:r>
            <w:r w:rsidRPr="00AA4677">
              <w:rPr>
                <w:noProof/>
                <w:webHidden/>
              </w:rPr>
            </w:r>
            <w:r w:rsidRPr="00AA4677">
              <w:rPr>
                <w:noProof/>
                <w:webHidden/>
              </w:rPr>
              <w:fldChar w:fldCharType="separate"/>
            </w:r>
            <w:r w:rsidRPr="00AA4677">
              <w:rPr>
                <w:noProof/>
                <w:webHidden/>
              </w:rPr>
              <w:t>57</w:t>
            </w:r>
            <w:r w:rsidRPr="00AA4677">
              <w:rPr>
                <w:noProof/>
                <w:webHidden/>
              </w:rPr>
              <w:fldChar w:fldCharType="end"/>
            </w:r>
          </w:hyperlink>
        </w:p>
        <w:p w14:paraId="1FA89BEB" w14:textId="22160940" w:rsidR="0030581A" w:rsidRPr="00AA4677" w:rsidRDefault="0030581A">
          <w:pPr>
            <w:pStyle w:val="TOC2"/>
            <w:tabs>
              <w:tab w:val="right" w:leader="dot" w:pos="9630"/>
            </w:tabs>
            <w:rPr>
              <w:rFonts w:eastAsiaTheme="minorEastAsia"/>
              <w:noProof/>
              <w:kern w:val="2"/>
              <w:szCs w:val="24"/>
              <w14:ligatures w14:val="standardContextual"/>
            </w:rPr>
          </w:pPr>
          <w:hyperlink w:anchor="_Toc192678176" w:history="1">
            <w:r w:rsidRPr="00AA4677">
              <w:rPr>
                <w:rStyle w:val="Hyperlink"/>
                <w:noProof/>
              </w:rPr>
              <w:t>3.8 Criteria for IRB Approval of Research</w:t>
            </w:r>
            <w:r w:rsidRPr="00AA4677">
              <w:rPr>
                <w:noProof/>
                <w:webHidden/>
              </w:rPr>
              <w:tab/>
            </w:r>
            <w:r w:rsidRPr="00AA4677">
              <w:rPr>
                <w:noProof/>
                <w:webHidden/>
              </w:rPr>
              <w:fldChar w:fldCharType="begin"/>
            </w:r>
            <w:r w:rsidRPr="00AA4677">
              <w:rPr>
                <w:noProof/>
                <w:webHidden/>
              </w:rPr>
              <w:instrText xml:space="preserve"> PAGEREF _Toc192678176 \h </w:instrText>
            </w:r>
            <w:r w:rsidRPr="00AA4677">
              <w:rPr>
                <w:noProof/>
                <w:webHidden/>
              </w:rPr>
            </w:r>
            <w:r w:rsidRPr="00AA4677">
              <w:rPr>
                <w:noProof/>
                <w:webHidden/>
              </w:rPr>
              <w:fldChar w:fldCharType="separate"/>
            </w:r>
            <w:r w:rsidRPr="00AA4677">
              <w:rPr>
                <w:noProof/>
                <w:webHidden/>
              </w:rPr>
              <w:t>63</w:t>
            </w:r>
            <w:r w:rsidRPr="00AA4677">
              <w:rPr>
                <w:noProof/>
                <w:webHidden/>
              </w:rPr>
              <w:fldChar w:fldCharType="end"/>
            </w:r>
          </w:hyperlink>
        </w:p>
        <w:p w14:paraId="22725007" w14:textId="44908136" w:rsidR="0030581A" w:rsidRPr="00AA4677" w:rsidRDefault="0030581A">
          <w:pPr>
            <w:pStyle w:val="TOC2"/>
            <w:tabs>
              <w:tab w:val="right" w:leader="dot" w:pos="9630"/>
            </w:tabs>
            <w:rPr>
              <w:rFonts w:eastAsiaTheme="minorEastAsia"/>
              <w:noProof/>
              <w:kern w:val="2"/>
              <w:szCs w:val="24"/>
              <w14:ligatures w14:val="standardContextual"/>
            </w:rPr>
          </w:pPr>
          <w:hyperlink w:anchor="_Toc192678177" w:history="1">
            <w:r w:rsidRPr="00AA4677">
              <w:rPr>
                <w:rStyle w:val="Hyperlink"/>
                <w:noProof/>
              </w:rPr>
              <w:t>3.9 Additional Considerations during IRB Review and Approval of Research</w:t>
            </w:r>
            <w:r w:rsidRPr="00AA4677">
              <w:rPr>
                <w:noProof/>
                <w:webHidden/>
              </w:rPr>
              <w:tab/>
            </w:r>
            <w:r w:rsidRPr="00AA4677">
              <w:rPr>
                <w:noProof/>
                <w:webHidden/>
              </w:rPr>
              <w:fldChar w:fldCharType="begin"/>
            </w:r>
            <w:r w:rsidRPr="00AA4677">
              <w:rPr>
                <w:noProof/>
                <w:webHidden/>
              </w:rPr>
              <w:instrText xml:space="preserve"> PAGEREF _Toc192678177 \h </w:instrText>
            </w:r>
            <w:r w:rsidRPr="00AA4677">
              <w:rPr>
                <w:noProof/>
                <w:webHidden/>
              </w:rPr>
            </w:r>
            <w:r w:rsidRPr="00AA4677">
              <w:rPr>
                <w:noProof/>
                <w:webHidden/>
              </w:rPr>
              <w:fldChar w:fldCharType="separate"/>
            </w:r>
            <w:r w:rsidRPr="00AA4677">
              <w:rPr>
                <w:noProof/>
                <w:webHidden/>
              </w:rPr>
              <w:t>70</w:t>
            </w:r>
            <w:r w:rsidRPr="00AA4677">
              <w:rPr>
                <w:noProof/>
                <w:webHidden/>
              </w:rPr>
              <w:fldChar w:fldCharType="end"/>
            </w:r>
          </w:hyperlink>
        </w:p>
        <w:p w14:paraId="1674E53A" w14:textId="67A7A576" w:rsidR="0030581A" w:rsidRPr="00AA4677" w:rsidRDefault="0030581A">
          <w:pPr>
            <w:pStyle w:val="TOC2"/>
            <w:tabs>
              <w:tab w:val="right" w:leader="dot" w:pos="9630"/>
            </w:tabs>
            <w:rPr>
              <w:rFonts w:eastAsiaTheme="minorEastAsia"/>
              <w:noProof/>
              <w:kern w:val="2"/>
              <w:szCs w:val="24"/>
              <w14:ligatures w14:val="standardContextual"/>
            </w:rPr>
          </w:pPr>
          <w:hyperlink w:anchor="_Toc192678178" w:history="1">
            <w:r w:rsidRPr="00AA4677">
              <w:rPr>
                <w:rStyle w:val="Hyperlink"/>
                <w:noProof/>
              </w:rPr>
              <w:t>3.10 Possible IRB Actions</w:t>
            </w:r>
            <w:r w:rsidRPr="00AA4677">
              <w:rPr>
                <w:noProof/>
                <w:webHidden/>
              </w:rPr>
              <w:tab/>
            </w:r>
            <w:r w:rsidRPr="00AA4677">
              <w:rPr>
                <w:noProof/>
                <w:webHidden/>
              </w:rPr>
              <w:fldChar w:fldCharType="begin"/>
            </w:r>
            <w:r w:rsidRPr="00AA4677">
              <w:rPr>
                <w:noProof/>
                <w:webHidden/>
              </w:rPr>
              <w:instrText xml:space="preserve"> PAGEREF _Toc192678178 \h </w:instrText>
            </w:r>
            <w:r w:rsidRPr="00AA4677">
              <w:rPr>
                <w:noProof/>
                <w:webHidden/>
              </w:rPr>
            </w:r>
            <w:r w:rsidRPr="00AA4677">
              <w:rPr>
                <w:noProof/>
                <w:webHidden/>
              </w:rPr>
              <w:fldChar w:fldCharType="separate"/>
            </w:r>
            <w:r w:rsidRPr="00AA4677">
              <w:rPr>
                <w:noProof/>
                <w:webHidden/>
              </w:rPr>
              <w:t>76</w:t>
            </w:r>
            <w:r w:rsidRPr="00AA4677">
              <w:rPr>
                <w:noProof/>
                <w:webHidden/>
              </w:rPr>
              <w:fldChar w:fldCharType="end"/>
            </w:r>
          </w:hyperlink>
        </w:p>
        <w:p w14:paraId="1D8A9CE4" w14:textId="34E8B95E" w:rsidR="0030581A" w:rsidRPr="00AA4677" w:rsidRDefault="0030581A">
          <w:pPr>
            <w:pStyle w:val="TOC2"/>
            <w:tabs>
              <w:tab w:val="right" w:leader="dot" w:pos="9630"/>
            </w:tabs>
            <w:rPr>
              <w:rFonts w:eastAsiaTheme="minorEastAsia"/>
              <w:noProof/>
              <w:kern w:val="2"/>
              <w:szCs w:val="24"/>
              <w14:ligatures w14:val="standardContextual"/>
            </w:rPr>
          </w:pPr>
          <w:hyperlink w:anchor="_Toc192678179" w:history="1">
            <w:r w:rsidRPr="00AA4677">
              <w:rPr>
                <w:rStyle w:val="Hyperlink"/>
                <w:noProof/>
              </w:rPr>
              <w:t>3.11 Study Suspension, Termination</w:t>
            </w:r>
            <w:r w:rsidRPr="00AA4677">
              <w:rPr>
                <w:noProof/>
                <w:webHidden/>
              </w:rPr>
              <w:tab/>
            </w:r>
            <w:r w:rsidRPr="00AA4677">
              <w:rPr>
                <w:noProof/>
                <w:webHidden/>
              </w:rPr>
              <w:fldChar w:fldCharType="begin"/>
            </w:r>
            <w:r w:rsidRPr="00AA4677">
              <w:rPr>
                <w:noProof/>
                <w:webHidden/>
              </w:rPr>
              <w:instrText xml:space="preserve"> PAGEREF _Toc192678179 \h </w:instrText>
            </w:r>
            <w:r w:rsidRPr="00AA4677">
              <w:rPr>
                <w:noProof/>
                <w:webHidden/>
              </w:rPr>
            </w:r>
            <w:r w:rsidRPr="00AA4677">
              <w:rPr>
                <w:noProof/>
                <w:webHidden/>
              </w:rPr>
              <w:fldChar w:fldCharType="separate"/>
            </w:r>
            <w:r w:rsidRPr="00AA4677">
              <w:rPr>
                <w:noProof/>
                <w:webHidden/>
              </w:rPr>
              <w:t>78</w:t>
            </w:r>
            <w:r w:rsidRPr="00AA4677">
              <w:rPr>
                <w:noProof/>
                <w:webHidden/>
              </w:rPr>
              <w:fldChar w:fldCharType="end"/>
            </w:r>
          </w:hyperlink>
        </w:p>
        <w:p w14:paraId="69B1A0DB" w14:textId="5DFE4944" w:rsidR="0030581A" w:rsidRPr="00AA4677" w:rsidRDefault="0030581A">
          <w:pPr>
            <w:pStyle w:val="TOC1"/>
            <w:rPr>
              <w:rFonts w:eastAsiaTheme="minorEastAsia"/>
              <w:noProof/>
              <w:kern w:val="2"/>
              <w:szCs w:val="24"/>
              <w14:ligatures w14:val="standardContextual"/>
            </w:rPr>
          </w:pPr>
          <w:hyperlink w:anchor="_Toc192678180" w:history="1">
            <w:r w:rsidRPr="00AA4677">
              <w:rPr>
                <w:rStyle w:val="Hyperlink"/>
                <w:noProof/>
              </w:rPr>
              <w:t>3.12 Continuing Review</w:t>
            </w:r>
            <w:r w:rsidRPr="00AA4677">
              <w:rPr>
                <w:noProof/>
                <w:webHidden/>
              </w:rPr>
              <w:tab/>
            </w:r>
            <w:r w:rsidRPr="00AA4677">
              <w:rPr>
                <w:noProof/>
                <w:webHidden/>
              </w:rPr>
              <w:fldChar w:fldCharType="begin"/>
            </w:r>
            <w:r w:rsidRPr="00AA4677">
              <w:rPr>
                <w:noProof/>
                <w:webHidden/>
              </w:rPr>
              <w:instrText xml:space="preserve"> PAGEREF _Toc192678180 \h </w:instrText>
            </w:r>
            <w:r w:rsidRPr="00AA4677">
              <w:rPr>
                <w:noProof/>
                <w:webHidden/>
              </w:rPr>
            </w:r>
            <w:r w:rsidRPr="00AA4677">
              <w:rPr>
                <w:noProof/>
                <w:webHidden/>
              </w:rPr>
              <w:fldChar w:fldCharType="separate"/>
            </w:r>
            <w:r w:rsidRPr="00AA4677">
              <w:rPr>
                <w:noProof/>
                <w:webHidden/>
              </w:rPr>
              <w:t>79</w:t>
            </w:r>
            <w:r w:rsidRPr="00AA4677">
              <w:rPr>
                <w:noProof/>
                <w:webHidden/>
              </w:rPr>
              <w:fldChar w:fldCharType="end"/>
            </w:r>
          </w:hyperlink>
        </w:p>
        <w:p w14:paraId="5E74DD14" w14:textId="569516C9" w:rsidR="0030581A" w:rsidRPr="00AA4677" w:rsidRDefault="0030581A">
          <w:pPr>
            <w:pStyle w:val="TOC2"/>
            <w:tabs>
              <w:tab w:val="right" w:leader="dot" w:pos="9630"/>
            </w:tabs>
            <w:rPr>
              <w:rFonts w:eastAsiaTheme="minorEastAsia"/>
              <w:noProof/>
              <w:kern w:val="2"/>
              <w:szCs w:val="24"/>
              <w14:ligatures w14:val="standardContextual"/>
            </w:rPr>
          </w:pPr>
          <w:hyperlink w:anchor="_Toc192678181" w:history="1">
            <w:r w:rsidRPr="00AA4677">
              <w:rPr>
                <w:rStyle w:val="Hyperlink"/>
                <w:noProof/>
              </w:rPr>
              <w:t>3.13 Amendment of an Approved Protocol</w:t>
            </w:r>
            <w:r w:rsidRPr="00AA4677">
              <w:rPr>
                <w:noProof/>
                <w:webHidden/>
              </w:rPr>
              <w:tab/>
            </w:r>
            <w:r w:rsidRPr="00AA4677">
              <w:rPr>
                <w:noProof/>
                <w:webHidden/>
              </w:rPr>
              <w:fldChar w:fldCharType="begin"/>
            </w:r>
            <w:r w:rsidRPr="00AA4677">
              <w:rPr>
                <w:noProof/>
                <w:webHidden/>
              </w:rPr>
              <w:instrText xml:space="preserve"> PAGEREF _Toc192678181 \h </w:instrText>
            </w:r>
            <w:r w:rsidRPr="00AA4677">
              <w:rPr>
                <w:noProof/>
                <w:webHidden/>
              </w:rPr>
            </w:r>
            <w:r w:rsidRPr="00AA4677">
              <w:rPr>
                <w:noProof/>
                <w:webHidden/>
              </w:rPr>
              <w:fldChar w:fldCharType="separate"/>
            </w:r>
            <w:r w:rsidRPr="00AA4677">
              <w:rPr>
                <w:noProof/>
                <w:webHidden/>
              </w:rPr>
              <w:t>83</w:t>
            </w:r>
            <w:r w:rsidRPr="00AA4677">
              <w:rPr>
                <w:noProof/>
                <w:webHidden/>
              </w:rPr>
              <w:fldChar w:fldCharType="end"/>
            </w:r>
          </w:hyperlink>
        </w:p>
        <w:p w14:paraId="44523B35" w14:textId="632CFFEA" w:rsidR="0030581A" w:rsidRPr="00AA4677" w:rsidRDefault="0030581A">
          <w:pPr>
            <w:pStyle w:val="TOC2"/>
            <w:tabs>
              <w:tab w:val="right" w:leader="dot" w:pos="9630"/>
            </w:tabs>
            <w:rPr>
              <w:rFonts w:eastAsiaTheme="minorEastAsia"/>
              <w:noProof/>
              <w:kern w:val="2"/>
              <w:szCs w:val="24"/>
              <w14:ligatures w14:val="standardContextual"/>
            </w:rPr>
          </w:pPr>
          <w:hyperlink w:anchor="_Toc192678182" w:history="1">
            <w:r w:rsidRPr="00AA4677">
              <w:rPr>
                <w:rStyle w:val="Hyperlink"/>
                <w:noProof/>
              </w:rPr>
              <w:t>3.14 Closure of Protocols</w:t>
            </w:r>
            <w:r w:rsidRPr="00AA4677">
              <w:rPr>
                <w:noProof/>
                <w:webHidden/>
              </w:rPr>
              <w:tab/>
            </w:r>
            <w:r w:rsidRPr="00AA4677">
              <w:rPr>
                <w:noProof/>
                <w:webHidden/>
              </w:rPr>
              <w:fldChar w:fldCharType="begin"/>
            </w:r>
            <w:r w:rsidRPr="00AA4677">
              <w:rPr>
                <w:noProof/>
                <w:webHidden/>
              </w:rPr>
              <w:instrText xml:space="preserve"> PAGEREF _Toc192678182 \h </w:instrText>
            </w:r>
            <w:r w:rsidRPr="00AA4677">
              <w:rPr>
                <w:noProof/>
                <w:webHidden/>
              </w:rPr>
            </w:r>
            <w:r w:rsidRPr="00AA4677">
              <w:rPr>
                <w:noProof/>
                <w:webHidden/>
              </w:rPr>
              <w:fldChar w:fldCharType="separate"/>
            </w:r>
            <w:r w:rsidRPr="00AA4677">
              <w:rPr>
                <w:noProof/>
                <w:webHidden/>
              </w:rPr>
              <w:t>85</w:t>
            </w:r>
            <w:r w:rsidRPr="00AA4677">
              <w:rPr>
                <w:noProof/>
                <w:webHidden/>
              </w:rPr>
              <w:fldChar w:fldCharType="end"/>
            </w:r>
          </w:hyperlink>
        </w:p>
        <w:p w14:paraId="21B62C29" w14:textId="0EBC79B2" w:rsidR="0030581A" w:rsidRPr="00AA4677" w:rsidRDefault="0030581A">
          <w:pPr>
            <w:pStyle w:val="TOC2"/>
            <w:tabs>
              <w:tab w:val="right" w:leader="dot" w:pos="9630"/>
            </w:tabs>
            <w:rPr>
              <w:rFonts w:eastAsiaTheme="minorEastAsia"/>
              <w:noProof/>
              <w:kern w:val="2"/>
              <w:szCs w:val="24"/>
              <w14:ligatures w14:val="standardContextual"/>
            </w:rPr>
          </w:pPr>
          <w:hyperlink w:anchor="_Toc192678183" w:history="1">
            <w:r w:rsidRPr="00AA4677">
              <w:rPr>
                <w:rStyle w:val="Hyperlink"/>
                <w:noProof/>
              </w:rPr>
              <w:t>3.15 Reporting IRB Actions</w:t>
            </w:r>
            <w:r w:rsidRPr="00AA4677">
              <w:rPr>
                <w:noProof/>
                <w:webHidden/>
              </w:rPr>
              <w:tab/>
            </w:r>
            <w:r w:rsidRPr="00AA4677">
              <w:rPr>
                <w:noProof/>
                <w:webHidden/>
              </w:rPr>
              <w:fldChar w:fldCharType="begin"/>
            </w:r>
            <w:r w:rsidRPr="00AA4677">
              <w:rPr>
                <w:noProof/>
                <w:webHidden/>
              </w:rPr>
              <w:instrText xml:space="preserve"> PAGEREF _Toc192678183 \h </w:instrText>
            </w:r>
            <w:r w:rsidRPr="00AA4677">
              <w:rPr>
                <w:noProof/>
                <w:webHidden/>
              </w:rPr>
            </w:r>
            <w:r w:rsidRPr="00AA4677">
              <w:rPr>
                <w:noProof/>
                <w:webHidden/>
              </w:rPr>
              <w:fldChar w:fldCharType="separate"/>
            </w:r>
            <w:r w:rsidRPr="00AA4677">
              <w:rPr>
                <w:noProof/>
                <w:webHidden/>
              </w:rPr>
              <w:t>85</w:t>
            </w:r>
            <w:r w:rsidRPr="00AA4677">
              <w:rPr>
                <w:noProof/>
                <w:webHidden/>
              </w:rPr>
              <w:fldChar w:fldCharType="end"/>
            </w:r>
          </w:hyperlink>
        </w:p>
        <w:p w14:paraId="64C8D471" w14:textId="77F00129" w:rsidR="0030581A" w:rsidRPr="00AA4677" w:rsidRDefault="0030581A">
          <w:pPr>
            <w:pStyle w:val="TOC2"/>
            <w:tabs>
              <w:tab w:val="right" w:leader="dot" w:pos="9630"/>
            </w:tabs>
            <w:rPr>
              <w:rFonts w:eastAsiaTheme="minorEastAsia"/>
              <w:noProof/>
              <w:kern w:val="2"/>
              <w:szCs w:val="24"/>
              <w14:ligatures w14:val="standardContextual"/>
            </w:rPr>
          </w:pPr>
          <w:hyperlink w:anchor="_Toc192678184" w:history="1">
            <w:r w:rsidRPr="00AA4677">
              <w:rPr>
                <w:rStyle w:val="Hyperlink"/>
                <w:noProof/>
              </w:rPr>
              <w:t>3.16 Appeal of the IRB Decisions</w:t>
            </w:r>
            <w:r w:rsidRPr="00AA4677">
              <w:rPr>
                <w:noProof/>
                <w:webHidden/>
              </w:rPr>
              <w:tab/>
            </w:r>
            <w:r w:rsidRPr="00AA4677">
              <w:rPr>
                <w:noProof/>
                <w:webHidden/>
              </w:rPr>
              <w:fldChar w:fldCharType="begin"/>
            </w:r>
            <w:r w:rsidRPr="00AA4677">
              <w:rPr>
                <w:noProof/>
                <w:webHidden/>
              </w:rPr>
              <w:instrText xml:space="preserve"> PAGEREF _Toc192678184 \h </w:instrText>
            </w:r>
            <w:r w:rsidRPr="00AA4677">
              <w:rPr>
                <w:noProof/>
                <w:webHidden/>
              </w:rPr>
            </w:r>
            <w:r w:rsidRPr="00AA4677">
              <w:rPr>
                <w:noProof/>
                <w:webHidden/>
              </w:rPr>
              <w:fldChar w:fldCharType="separate"/>
            </w:r>
            <w:r w:rsidRPr="00AA4677">
              <w:rPr>
                <w:noProof/>
                <w:webHidden/>
              </w:rPr>
              <w:t>86</w:t>
            </w:r>
            <w:r w:rsidRPr="00AA4677">
              <w:rPr>
                <w:noProof/>
                <w:webHidden/>
              </w:rPr>
              <w:fldChar w:fldCharType="end"/>
            </w:r>
          </w:hyperlink>
        </w:p>
        <w:p w14:paraId="078AF20F" w14:textId="221E7D5B" w:rsidR="0030581A" w:rsidRPr="00AA4677" w:rsidRDefault="0030581A">
          <w:pPr>
            <w:pStyle w:val="TOC1"/>
            <w:rPr>
              <w:rFonts w:eastAsiaTheme="minorEastAsia"/>
              <w:noProof/>
              <w:kern w:val="2"/>
              <w:szCs w:val="24"/>
              <w14:ligatures w14:val="standardContextual"/>
            </w:rPr>
          </w:pPr>
          <w:hyperlink w:anchor="_Toc192678185" w:history="1">
            <w:r w:rsidRPr="00AA4677">
              <w:rPr>
                <w:rStyle w:val="Hyperlink"/>
                <w:noProof/>
              </w:rPr>
              <w:t>4 IRB Documentation and Records</w:t>
            </w:r>
            <w:r w:rsidRPr="00AA4677">
              <w:rPr>
                <w:noProof/>
                <w:webHidden/>
              </w:rPr>
              <w:tab/>
            </w:r>
            <w:r w:rsidRPr="00AA4677">
              <w:rPr>
                <w:noProof/>
                <w:webHidden/>
              </w:rPr>
              <w:fldChar w:fldCharType="begin"/>
            </w:r>
            <w:r w:rsidRPr="00AA4677">
              <w:rPr>
                <w:noProof/>
                <w:webHidden/>
              </w:rPr>
              <w:instrText xml:space="preserve"> PAGEREF _Toc192678185 \h </w:instrText>
            </w:r>
            <w:r w:rsidRPr="00AA4677">
              <w:rPr>
                <w:noProof/>
                <w:webHidden/>
              </w:rPr>
            </w:r>
            <w:r w:rsidRPr="00AA4677">
              <w:rPr>
                <w:noProof/>
                <w:webHidden/>
              </w:rPr>
              <w:fldChar w:fldCharType="separate"/>
            </w:r>
            <w:r w:rsidRPr="00AA4677">
              <w:rPr>
                <w:noProof/>
                <w:webHidden/>
              </w:rPr>
              <w:t>86</w:t>
            </w:r>
            <w:r w:rsidRPr="00AA4677">
              <w:rPr>
                <w:noProof/>
                <w:webHidden/>
              </w:rPr>
              <w:fldChar w:fldCharType="end"/>
            </w:r>
          </w:hyperlink>
        </w:p>
        <w:p w14:paraId="7874D85A" w14:textId="0E6D2DFC" w:rsidR="0030581A" w:rsidRPr="00AA4677" w:rsidRDefault="0030581A">
          <w:pPr>
            <w:pStyle w:val="TOC2"/>
            <w:tabs>
              <w:tab w:val="right" w:leader="dot" w:pos="9630"/>
            </w:tabs>
            <w:rPr>
              <w:rFonts w:eastAsiaTheme="minorEastAsia"/>
              <w:noProof/>
              <w:kern w:val="2"/>
              <w:szCs w:val="24"/>
              <w14:ligatures w14:val="standardContextual"/>
            </w:rPr>
          </w:pPr>
          <w:hyperlink w:anchor="_Toc192678186" w:history="1">
            <w:r w:rsidRPr="00AA4677">
              <w:rPr>
                <w:rStyle w:val="Hyperlink"/>
                <w:noProof/>
              </w:rPr>
              <w:t>4.1 Policy</w:t>
            </w:r>
            <w:r w:rsidRPr="00AA4677">
              <w:rPr>
                <w:noProof/>
                <w:webHidden/>
              </w:rPr>
              <w:tab/>
            </w:r>
            <w:r w:rsidRPr="00AA4677">
              <w:rPr>
                <w:noProof/>
                <w:webHidden/>
              </w:rPr>
              <w:fldChar w:fldCharType="begin"/>
            </w:r>
            <w:r w:rsidRPr="00AA4677">
              <w:rPr>
                <w:noProof/>
                <w:webHidden/>
              </w:rPr>
              <w:instrText xml:space="preserve"> PAGEREF _Toc192678186 \h </w:instrText>
            </w:r>
            <w:r w:rsidRPr="00AA4677">
              <w:rPr>
                <w:noProof/>
                <w:webHidden/>
              </w:rPr>
            </w:r>
            <w:r w:rsidRPr="00AA4677">
              <w:rPr>
                <w:noProof/>
                <w:webHidden/>
              </w:rPr>
              <w:fldChar w:fldCharType="separate"/>
            </w:r>
            <w:r w:rsidRPr="00AA4677">
              <w:rPr>
                <w:noProof/>
                <w:webHidden/>
              </w:rPr>
              <w:t>86</w:t>
            </w:r>
            <w:r w:rsidRPr="00AA4677">
              <w:rPr>
                <w:noProof/>
                <w:webHidden/>
              </w:rPr>
              <w:fldChar w:fldCharType="end"/>
            </w:r>
          </w:hyperlink>
        </w:p>
        <w:p w14:paraId="359CE9A9" w14:textId="50E48C16" w:rsidR="0030581A" w:rsidRPr="00AA4677" w:rsidRDefault="0030581A">
          <w:pPr>
            <w:pStyle w:val="TOC2"/>
            <w:tabs>
              <w:tab w:val="right" w:leader="dot" w:pos="9630"/>
            </w:tabs>
            <w:rPr>
              <w:rFonts w:eastAsiaTheme="minorEastAsia"/>
              <w:noProof/>
              <w:kern w:val="2"/>
              <w:szCs w:val="24"/>
              <w14:ligatures w14:val="standardContextual"/>
            </w:rPr>
          </w:pPr>
          <w:hyperlink w:anchor="_Toc192678187" w:history="1">
            <w:r w:rsidRPr="00AA4677">
              <w:rPr>
                <w:rStyle w:val="Hyperlink"/>
                <w:noProof/>
              </w:rPr>
              <w:t>4.2 IRB Records</w:t>
            </w:r>
            <w:r w:rsidRPr="00AA4677">
              <w:rPr>
                <w:noProof/>
                <w:webHidden/>
              </w:rPr>
              <w:tab/>
            </w:r>
            <w:r w:rsidRPr="00AA4677">
              <w:rPr>
                <w:noProof/>
                <w:webHidden/>
              </w:rPr>
              <w:fldChar w:fldCharType="begin"/>
            </w:r>
            <w:r w:rsidRPr="00AA4677">
              <w:rPr>
                <w:noProof/>
                <w:webHidden/>
              </w:rPr>
              <w:instrText xml:space="preserve"> PAGEREF _Toc192678187 \h </w:instrText>
            </w:r>
            <w:r w:rsidRPr="00AA4677">
              <w:rPr>
                <w:noProof/>
                <w:webHidden/>
              </w:rPr>
            </w:r>
            <w:r w:rsidRPr="00AA4677">
              <w:rPr>
                <w:noProof/>
                <w:webHidden/>
              </w:rPr>
              <w:fldChar w:fldCharType="separate"/>
            </w:r>
            <w:r w:rsidRPr="00AA4677">
              <w:rPr>
                <w:noProof/>
                <w:webHidden/>
              </w:rPr>
              <w:t>86</w:t>
            </w:r>
            <w:r w:rsidRPr="00AA4677">
              <w:rPr>
                <w:noProof/>
                <w:webHidden/>
              </w:rPr>
              <w:fldChar w:fldCharType="end"/>
            </w:r>
          </w:hyperlink>
        </w:p>
        <w:p w14:paraId="5FBCC0B3" w14:textId="7FD8B974" w:rsidR="0030581A" w:rsidRPr="00AA4677" w:rsidRDefault="0030581A">
          <w:pPr>
            <w:pStyle w:val="TOC2"/>
            <w:tabs>
              <w:tab w:val="right" w:leader="dot" w:pos="9630"/>
            </w:tabs>
            <w:rPr>
              <w:rFonts w:eastAsiaTheme="minorEastAsia"/>
              <w:noProof/>
              <w:kern w:val="2"/>
              <w:szCs w:val="24"/>
              <w14:ligatures w14:val="standardContextual"/>
            </w:rPr>
          </w:pPr>
          <w:hyperlink w:anchor="_Toc192678188" w:history="1">
            <w:r w:rsidRPr="00AA4677">
              <w:rPr>
                <w:rStyle w:val="Hyperlink"/>
                <w:noProof/>
              </w:rPr>
              <w:t>4.3 IRB Study Files</w:t>
            </w:r>
            <w:r w:rsidRPr="00AA4677">
              <w:rPr>
                <w:noProof/>
                <w:webHidden/>
              </w:rPr>
              <w:tab/>
            </w:r>
            <w:r w:rsidRPr="00AA4677">
              <w:rPr>
                <w:noProof/>
                <w:webHidden/>
              </w:rPr>
              <w:fldChar w:fldCharType="begin"/>
            </w:r>
            <w:r w:rsidRPr="00AA4677">
              <w:rPr>
                <w:noProof/>
                <w:webHidden/>
              </w:rPr>
              <w:instrText xml:space="preserve"> PAGEREF _Toc192678188 \h </w:instrText>
            </w:r>
            <w:r w:rsidRPr="00AA4677">
              <w:rPr>
                <w:noProof/>
                <w:webHidden/>
              </w:rPr>
            </w:r>
            <w:r w:rsidRPr="00AA4677">
              <w:rPr>
                <w:noProof/>
                <w:webHidden/>
              </w:rPr>
              <w:fldChar w:fldCharType="separate"/>
            </w:r>
            <w:r w:rsidRPr="00AA4677">
              <w:rPr>
                <w:noProof/>
                <w:webHidden/>
              </w:rPr>
              <w:t>87</w:t>
            </w:r>
            <w:r w:rsidRPr="00AA4677">
              <w:rPr>
                <w:noProof/>
                <w:webHidden/>
              </w:rPr>
              <w:fldChar w:fldCharType="end"/>
            </w:r>
          </w:hyperlink>
        </w:p>
        <w:p w14:paraId="673977BB" w14:textId="195A6461" w:rsidR="0030581A" w:rsidRPr="00AA4677" w:rsidRDefault="0030581A">
          <w:pPr>
            <w:pStyle w:val="TOC2"/>
            <w:tabs>
              <w:tab w:val="right" w:leader="dot" w:pos="9630"/>
            </w:tabs>
            <w:rPr>
              <w:rFonts w:eastAsiaTheme="minorEastAsia"/>
              <w:noProof/>
              <w:kern w:val="2"/>
              <w:szCs w:val="24"/>
              <w14:ligatures w14:val="standardContextual"/>
            </w:rPr>
          </w:pPr>
          <w:hyperlink w:anchor="_Toc192678189" w:history="1">
            <w:r w:rsidRPr="00AA4677">
              <w:rPr>
                <w:rStyle w:val="Hyperlink"/>
                <w:noProof/>
              </w:rPr>
              <w:t>4.4 IRB Minutes</w:t>
            </w:r>
            <w:r w:rsidRPr="00AA4677">
              <w:rPr>
                <w:noProof/>
                <w:webHidden/>
              </w:rPr>
              <w:tab/>
            </w:r>
            <w:r w:rsidRPr="00AA4677">
              <w:rPr>
                <w:noProof/>
                <w:webHidden/>
              </w:rPr>
              <w:fldChar w:fldCharType="begin"/>
            </w:r>
            <w:r w:rsidRPr="00AA4677">
              <w:rPr>
                <w:noProof/>
                <w:webHidden/>
              </w:rPr>
              <w:instrText xml:space="preserve"> PAGEREF _Toc192678189 \h </w:instrText>
            </w:r>
            <w:r w:rsidRPr="00AA4677">
              <w:rPr>
                <w:noProof/>
                <w:webHidden/>
              </w:rPr>
            </w:r>
            <w:r w:rsidRPr="00AA4677">
              <w:rPr>
                <w:noProof/>
                <w:webHidden/>
              </w:rPr>
              <w:fldChar w:fldCharType="separate"/>
            </w:r>
            <w:r w:rsidRPr="00AA4677">
              <w:rPr>
                <w:noProof/>
                <w:webHidden/>
              </w:rPr>
              <w:t>89</w:t>
            </w:r>
            <w:r w:rsidRPr="00AA4677">
              <w:rPr>
                <w:noProof/>
                <w:webHidden/>
              </w:rPr>
              <w:fldChar w:fldCharType="end"/>
            </w:r>
          </w:hyperlink>
        </w:p>
        <w:p w14:paraId="22B31F92" w14:textId="5B52B4E8" w:rsidR="0030581A" w:rsidRPr="00AA4677" w:rsidRDefault="0030581A">
          <w:pPr>
            <w:pStyle w:val="TOC2"/>
            <w:tabs>
              <w:tab w:val="right" w:leader="dot" w:pos="9630"/>
            </w:tabs>
            <w:rPr>
              <w:rFonts w:eastAsiaTheme="minorEastAsia"/>
              <w:noProof/>
              <w:kern w:val="2"/>
              <w:szCs w:val="24"/>
              <w14:ligatures w14:val="standardContextual"/>
            </w:rPr>
          </w:pPr>
          <w:hyperlink w:anchor="_Toc192678190" w:history="1">
            <w:r w:rsidRPr="00AA4677">
              <w:rPr>
                <w:rStyle w:val="Hyperlink"/>
                <w:noProof/>
              </w:rPr>
              <w:t>4.5 IRB Membership Roster</w:t>
            </w:r>
            <w:r w:rsidRPr="00AA4677">
              <w:rPr>
                <w:noProof/>
                <w:webHidden/>
              </w:rPr>
              <w:tab/>
            </w:r>
            <w:r w:rsidRPr="00AA4677">
              <w:rPr>
                <w:noProof/>
                <w:webHidden/>
              </w:rPr>
              <w:fldChar w:fldCharType="begin"/>
            </w:r>
            <w:r w:rsidRPr="00AA4677">
              <w:rPr>
                <w:noProof/>
                <w:webHidden/>
              </w:rPr>
              <w:instrText xml:space="preserve"> PAGEREF _Toc192678190 \h </w:instrText>
            </w:r>
            <w:r w:rsidRPr="00AA4677">
              <w:rPr>
                <w:noProof/>
                <w:webHidden/>
              </w:rPr>
            </w:r>
            <w:r w:rsidRPr="00AA4677">
              <w:rPr>
                <w:noProof/>
                <w:webHidden/>
              </w:rPr>
              <w:fldChar w:fldCharType="separate"/>
            </w:r>
            <w:r w:rsidRPr="00AA4677">
              <w:rPr>
                <w:noProof/>
                <w:webHidden/>
              </w:rPr>
              <w:t>91</w:t>
            </w:r>
            <w:r w:rsidRPr="00AA4677">
              <w:rPr>
                <w:noProof/>
                <w:webHidden/>
              </w:rPr>
              <w:fldChar w:fldCharType="end"/>
            </w:r>
          </w:hyperlink>
        </w:p>
        <w:p w14:paraId="4CCEE753" w14:textId="762657E2" w:rsidR="0030581A" w:rsidRPr="00AA4677" w:rsidRDefault="0030581A">
          <w:pPr>
            <w:pStyle w:val="TOC2"/>
            <w:tabs>
              <w:tab w:val="right" w:leader="dot" w:pos="9630"/>
            </w:tabs>
            <w:rPr>
              <w:rFonts w:eastAsiaTheme="minorEastAsia"/>
              <w:noProof/>
              <w:kern w:val="2"/>
              <w:szCs w:val="24"/>
              <w14:ligatures w14:val="standardContextual"/>
            </w:rPr>
          </w:pPr>
          <w:hyperlink w:anchor="_Toc192678191" w:history="1">
            <w:r w:rsidRPr="00AA4677">
              <w:rPr>
                <w:rStyle w:val="Hyperlink"/>
                <w:noProof/>
              </w:rPr>
              <w:t>4.6 Documentation of Exemptions</w:t>
            </w:r>
            <w:r w:rsidRPr="00AA4677">
              <w:rPr>
                <w:noProof/>
                <w:webHidden/>
              </w:rPr>
              <w:tab/>
            </w:r>
            <w:r w:rsidRPr="00AA4677">
              <w:rPr>
                <w:noProof/>
                <w:webHidden/>
              </w:rPr>
              <w:fldChar w:fldCharType="begin"/>
            </w:r>
            <w:r w:rsidRPr="00AA4677">
              <w:rPr>
                <w:noProof/>
                <w:webHidden/>
              </w:rPr>
              <w:instrText xml:space="preserve"> PAGEREF _Toc192678191 \h </w:instrText>
            </w:r>
            <w:r w:rsidRPr="00AA4677">
              <w:rPr>
                <w:noProof/>
                <w:webHidden/>
              </w:rPr>
            </w:r>
            <w:r w:rsidRPr="00AA4677">
              <w:rPr>
                <w:noProof/>
                <w:webHidden/>
              </w:rPr>
              <w:fldChar w:fldCharType="separate"/>
            </w:r>
            <w:r w:rsidRPr="00AA4677">
              <w:rPr>
                <w:noProof/>
                <w:webHidden/>
              </w:rPr>
              <w:t>92</w:t>
            </w:r>
            <w:r w:rsidRPr="00AA4677">
              <w:rPr>
                <w:noProof/>
                <w:webHidden/>
              </w:rPr>
              <w:fldChar w:fldCharType="end"/>
            </w:r>
          </w:hyperlink>
        </w:p>
        <w:p w14:paraId="388D3957" w14:textId="532B584B" w:rsidR="0030581A" w:rsidRPr="00AA4677" w:rsidRDefault="0030581A">
          <w:pPr>
            <w:pStyle w:val="TOC2"/>
            <w:tabs>
              <w:tab w:val="right" w:leader="dot" w:pos="9630"/>
            </w:tabs>
            <w:rPr>
              <w:rFonts w:eastAsiaTheme="minorEastAsia"/>
              <w:noProof/>
              <w:kern w:val="2"/>
              <w:szCs w:val="24"/>
              <w14:ligatures w14:val="standardContextual"/>
            </w:rPr>
          </w:pPr>
          <w:hyperlink w:anchor="_Toc192678192" w:history="1">
            <w:r w:rsidRPr="00AA4677">
              <w:rPr>
                <w:rStyle w:val="Hyperlink"/>
                <w:noProof/>
              </w:rPr>
              <w:t>4.7 Documentation of Expedited Reviews</w:t>
            </w:r>
            <w:r w:rsidRPr="00AA4677">
              <w:rPr>
                <w:noProof/>
                <w:webHidden/>
              </w:rPr>
              <w:tab/>
            </w:r>
            <w:r w:rsidRPr="00AA4677">
              <w:rPr>
                <w:noProof/>
                <w:webHidden/>
              </w:rPr>
              <w:fldChar w:fldCharType="begin"/>
            </w:r>
            <w:r w:rsidRPr="00AA4677">
              <w:rPr>
                <w:noProof/>
                <w:webHidden/>
              </w:rPr>
              <w:instrText xml:space="preserve"> PAGEREF _Toc192678192 \h </w:instrText>
            </w:r>
            <w:r w:rsidRPr="00AA4677">
              <w:rPr>
                <w:noProof/>
                <w:webHidden/>
              </w:rPr>
            </w:r>
            <w:r w:rsidRPr="00AA4677">
              <w:rPr>
                <w:noProof/>
                <w:webHidden/>
              </w:rPr>
              <w:fldChar w:fldCharType="separate"/>
            </w:r>
            <w:r w:rsidRPr="00AA4677">
              <w:rPr>
                <w:noProof/>
                <w:webHidden/>
              </w:rPr>
              <w:t>92</w:t>
            </w:r>
            <w:r w:rsidRPr="00AA4677">
              <w:rPr>
                <w:noProof/>
                <w:webHidden/>
              </w:rPr>
              <w:fldChar w:fldCharType="end"/>
            </w:r>
          </w:hyperlink>
        </w:p>
        <w:p w14:paraId="1CDD7E72" w14:textId="2C27CAAF" w:rsidR="0030581A" w:rsidRPr="00AA4677" w:rsidRDefault="0030581A">
          <w:pPr>
            <w:pStyle w:val="TOC2"/>
            <w:tabs>
              <w:tab w:val="right" w:leader="dot" w:pos="9630"/>
            </w:tabs>
            <w:rPr>
              <w:rFonts w:eastAsiaTheme="minorEastAsia"/>
              <w:noProof/>
              <w:kern w:val="2"/>
              <w:szCs w:val="24"/>
              <w14:ligatures w14:val="standardContextual"/>
            </w:rPr>
          </w:pPr>
          <w:hyperlink w:anchor="_Toc192678193" w:history="1">
            <w:r w:rsidRPr="00AA4677">
              <w:rPr>
                <w:rStyle w:val="Hyperlink"/>
                <w:noProof/>
              </w:rPr>
              <w:t>4.8 Access to IRB Records</w:t>
            </w:r>
            <w:r w:rsidRPr="00AA4677">
              <w:rPr>
                <w:noProof/>
                <w:webHidden/>
              </w:rPr>
              <w:tab/>
            </w:r>
            <w:r w:rsidRPr="00AA4677">
              <w:rPr>
                <w:noProof/>
                <w:webHidden/>
              </w:rPr>
              <w:fldChar w:fldCharType="begin"/>
            </w:r>
            <w:r w:rsidRPr="00AA4677">
              <w:rPr>
                <w:noProof/>
                <w:webHidden/>
              </w:rPr>
              <w:instrText xml:space="preserve"> PAGEREF _Toc192678193 \h </w:instrText>
            </w:r>
            <w:r w:rsidRPr="00AA4677">
              <w:rPr>
                <w:noProof/>
                <w:webHidden/>
              </w:rPr>
            </w:r>
            <w:r w:rsidRPr="00AA4677">
              <w:rPr>
                <w:noProof/>
                <w:webHidden/>
              </w:rPr>
              <w:fldChar w:fldCharType="separate"/>
            </w:r>
            <w:r w:rsidRPr="00AA4677">
              <w:rPr>
                <w:noProof/>
                <w:webHidden/>
              </w:rPr>
              <w:t>92</w:t>
            </w:r>
            <w:r w:rsidRPr="00AA4677">
              <w:rPr>
                <w:noProof/>
                <w:webHidden/>
              </w:rPr>
              <w:fldChar w:fldCharType="end"/>
            </w:r>
          </w:hyperlink>
        </w:p>
        <w:p w14:paraId="7848ABF5" w14:textId="251D4999" w:rsidR="0030581A" w:rsidRPr="00AA4677" w:rsidRDefault="0030581A">
          <w:pPr>
            <w:pStyle w:val="TOC2"/>
            <w:tabs>
              <w:tab w:val="right" w:leader="dot" w:pos="9630"/>
            </w:tabs>
            <w:rPr>
              <w:rFonts w:eastAsiaTheme="minorEastAsia"/>
              <w:noProof/>
              <w:kern w:val="2"/>
              <w:szCs w:val="24"/>
              <w14:ligatures w14:val="standardContextual"/>
            </w:rPr>
          </w:pPr>
          <w:hyperlink w:anchor="_Toc192678194" w:history="1">
            <w:r w:rsidRPr="00AA4677">
              <w:rPr>
                <w:rStyle w:val="Hyperlink"/>
                <w:noProof/>
              </w:rPr>
              <w:t>4.9 Record Retention</w:t>
            </w:r>
            <w:r w:rsidRPr="00AA4677">
              <w:rPr>
                <w:noProof/>
                <w:webHidden/>
              </w:rPr>
              <w:tab/>
            </w:r>
            <w:r w:rsidRPr="00AA4677">
              <w:rPr>
                <w:noProof/>
                <w:webHidden/>
              </w:rPr>
              <w:fldChar w:fldCharType="begin"/>
            </w:r>
            <w:r w:rsidRPr="00AA4677">
              <w:rPr>
                <w:noProof/>
                <w:webHidden/>
              </w:rPr>
              <w:instrText xml:space="preserve"> PAGEREF _Toc192678194 \h </w:instrText>
            </w:r>
            <w:r w:rsidRPr="00AA4677">
              <w:rPr>
                <w:noProof/>
                <w:webHidden/>
              </w:rPr>
            </w:r>
            <w:r w:rsidRPr="00AA4677">
              <w:rPr>
                <w:noProof/>
                <w:webHidden/>
              </w:rPr>
              <w:fldChar w:fldCharType="separate"/>
            </w:r>
            <w:r w:rsidRPr="00AA4677">
              <w:rPr>
                <w:noProof/>
                <w:webHidden/>
              </w:rPr>
              <w:t>93</w:t>
            </w:r>
            <w:r w:rsidRPr="00AA4677">
              <w:rPr>
                <w:noProof/>
                <w:webHidden/>
              </w:rPr>
              <w:fldChar w:fldCharType="end"/>
            </w:r>
          </w:hyperlink>
        </w:p>
        <w:p w14:paraId="16F9E053" w14:textId="3E806932" w:rsidR="0030581A" w:rsidRPr="00AA4677" w:rsidRDefault="0030581A">
          <w:pPr>
            <w:pStyle w:val="TOC1"/>
            <w:rPr>
              <w:rFonts w:eastAsiaTheme="minorEastAsia"/>
              <w:noProof/>
              <w:kern w:val="2"/>
              <w:szCs w:val="24"/>
              <w14:ligatures w14:val="standardContextual"/>
            </w:rPr>
          </w:pPr>
          <w:hyperlink w:anchor="_Toc192678195" w:history="1">
            <w:r w:rsidRPr="00AA4677">
              <w:rPr>
                <w:rStyle w:val="Hyperlink"/>
                <w:noProof/>
              </w:rPr>
              <w:t>5 Obtaining Informed Consent from Research Subjects</w:t>
            </w:r>
            <w:r w:rsidRPr="00AA4677">
              <w:rPr>
                <w:noProof/>
                <w:webHidden/>
              </w:rPr>
              <w:tab/>
            </w:r>
            <w:r w:rsidRPr="00AA4677">
              <w:rPr>
                <w:noProof/>
                <w:webHidden/>
              </w:rPr>
              <w:fldChar w:fldCharType="begin"/>
            </w:r>
            <w:r w:rsidRPr="00AA4677">
              <w:rPr>
                <w:noProof/>
                <w:webHidden/>
              </w:rPr>
              <w:instrText xml:space="preserve"> PAGEREF _Toc192678195 \h </w:instrText>
            </w:r>
            <w:r w:rsidRPr="00AA4677">
              <w:rPr>
                <w:noProof/>
                <w:webHidden/>
              </w:rPr>
            </w:r>
            <w:r w:rsidRPr="00AA4677">
              <w:rPr>
                <w:noProof/>
                <w:webHidden/>
              </w:rPr>
              <w:fldChar w:fldCharType="separate"/>
            </w:r>
            <w:r w:rsidRPr="00AA4677">
              <w:rPr>
                <w:noProof/>
                <w:webHidden/>
              </w:rPr>
              <w:t>94</w:t>
            </w:r>
            <w:r w:rsidRPr="00AA4677">
              <w:rPr>
                <w:noProof/>
                <w:webHidden/>
              </w:rPr>
              <w:fldChar w:fldCharType="end"/>
            </w:r>
          </w:hyperlink>
        </w:p>
        <w:p w14:paraId="0B1F8F9F" w14:textId="3BF39997" w:rsidR="0030581A" w:rsidRPr="00AA4677" w:rsidRDefault="0030581A">
          <w:pPr>
            <w:pStyle w:val="TOC2"/>
            <w:tabs>
              <w:tab w:val="right" w:leader="dot" w:pos="9630"/>
            </w:tabs>
            <w:rPr>
              <w:rFonts w:eastAsiaTheme="minorEastAsia"/>
              <w:noProof/>
              <w:kern w:val="2"/>
              <w:szCs w:val="24"/>
              <w14:ligatures w14:val="standardContextual"/>
            </w:rPr>
          </w:pPr>
          <w:hyperlink w:anchor="_Toc192678196" w:history="1">
            <w:r w:rsidRPr="00AA4677">
              <w:rPr>
                <w:rStyle w:val="Hyperlink"/>
                <w:noProof/>
              </w:rPr>
              <w:t>5.1 Policy</w:t>
            </w:r>
            <w:r w:rsidRPr="00AA4677">
              <w:rPr>
                <w:noProof/>
                <w:webHidden/>
              </w:rPr>
              <w:tab/>
            </w:r>
            <w:r w:rsidRPr="00AA4677">
              <w:rPr>
                <w:noProof/>
                <w:webHidden/>
              </w:rPr>
              <w:fldChar w:fldCharType="begin"/>
            </w:r>
            <w:r w:rsidRPr="00AA4677">
              <w:rPr>
                <w:noProof/>
                <w:webHidden/>
              </w:rPr>
              <w:instrText xml:space="preserve"> PAGEREF _Toc192678196 \h </w:instrText>
            </w:r>
            <w:r w:rsidRPr="00AA4677">
              <w:rPr>
                <w:noProof/>
                <w:webHidden/>
              </w:rPr>
            </w:r>
            <w:r w:rsidRPr="00AA4677">
              <w:rPr>
                <w:noProof/>
                <w:webHidden/>
              </w:rPr>
              <w:fldChar w:fldCharType="separate"/>
            </w:r>
            <w:r w:rsidRPr="00AA4677">
              <w:rPr>
                <w:noProof/>
                <w:webHidden/>
              </w:rPr>
              <w:t>94</w:t>
            </w:r>
            <w:r w:rsidRPr="00AA4677">
              <w:rPr>
                <w:noProof/>
                <w:webHidden/>
              </w:rPr>
              <w:fldChar w:fldCharType="end"/>
            </w:r>
          </w:hyperlink>
        </w:p>
        <w:p w14:paraId="54D57478" w14:textId="0CD78E47" w:rsidR="0030581A" w:rsidRPr="00AA4677" w:rsidRDefault="0030581A">
          <w:pPr>
            <w:pStyle w:val="TOC2"/>
            <w:tabs>
              <w:tab w:val="right" w:leader="dot" w:pos="9630"/>
            </w:tabs>
            <w:rPr>
              <w:rFonts w:eastAsiaTheme="minorEastAsia"/>
              <w:noProof/>
              <w:kern w:val="2"/>
              <w:szCs w:val="24"/>
              <w14:ligatures w14:val="standardContextual"/>
            </w:rPr>
          </w:pPr>
          <w:hyperlink w:anchor="_Toc192678197" w:history="1">
            <w:r w:rsidRPr="00AA4677">
              <w:rPr>
                <w:rStyle w:val="Hyperlink"/>
                <w:noProof/>
              </w:rPr>
              <w:t>5.2 Definitions</w:t>
            </w:r>
            <w:r w:rsidRPr="00AA4677">
              <w:rPr>
                <w:noProof/>
                <w:webHidden/>
              </w:rPr>
              <w:tab/>
            </w:r>
            <w:r w:rsidRPr="00AA4677">
              <w:rPr>
                <w:noProof/>
                <w:webHidden/>
              </w:rPr>
              <w:fldChar w:fldCharType="begin"/>
            </w:r>
            <w:r w:rsidRPr="00AA4677">
              <w:rPr>
                <w:noProof/>
                <w:webHidden/>
              </w:rPr>
              <w:instrText xml:space="preserve"> PAGEREF _Toc192678197 \h </w:instrText>
            </w:r>
            <w:r w:rsidRPr="00AA4677">
              <w:rPr>
                <w:noProof/>
                <w:webHidden/>
              </w:rPr>
            </w:r>
            <w:r w:rsidRPr="00AA4677">
              <w:rPr>
                <w:noProof/>
                <w:webHidden/>
              </w:rPr>
              <w:fldChar w:fldCharType="separate"/>
            </w:r>
            <w:r w:rsidRPr="00AA4677">
              <w:rPr>
                <w:noProof/>
                <w:webHidden/>
              </w:rPr>
              <w:t>95</w:t>
            </w:r>
            <w:r w:rsidRPr="00AA4677">
              <w:rPr>
                <w:noProof/>
                <w:webHidden/>
              </w:rPr>
              <w:fldChar w:fldCharType="end"/>
            </w:r>
          </w:hyperlink>
        </w:p>
        <w:p w14:paraId="1BE1F1CB" w14:textId="41F80336" w:rsidR="0030581A" w:rsidRPr="00AA4677" w:rsidRDefault="0030581A">
          <w:pPr>
            <w:pStyle w:val="TOC2"/>
            <w:tabs>
              <w:tab w:val="right" w:leader="dot" w:pos="9630"/>
            </w:tabs>
            <w:rPr>
              <w:rFonts w:eastAsiaTheme="minorEastAsia"/>
              <w:noProof/>
              <w:kern w:val="2"/>
              <w:szCs w:val="24"/>
              <w14:ligatures w14:val="standardContextual"/>
            </w:rPr>
          </w:pPr>
          <w:hyperlink w:anchor="_Toc192678198" w:history="1">
            <w:r w:rsidRPr="00AA4677">
              <w:rPr>
                <w:rStyle w:val="Hyperlink"/>
                <w:noProof/>
              </w:rPr>
              <w:t>5.3 General Requirements</w:t>
            </w:r>
            <w:r w:rsidRPr="00AA4677">
              <w:rPr>
                <w:noProof/>
                <w:webHidden/>
              </w:rPr>
              <w:tab/>
            </w:r>
            <w:r w:rsidRPr="00AA4677">
              <w:rPr>
                <w:noProof/>
                <w:webHidden/>
              </w:rPr>
              <w:fldChar w:fldCharType="begin"/>
            </w:r>
            <w:r w:rsidRPr="00AA4677">
              <w:rPr>
                <w:noProof/>
                <w:webHidden/>
              </w:rPr>
              <w:instrText xml:space="preserve"> PAGEREF _Toc192678198 \h </w:instrText>
            </w:r>
            <w:r w:rsidRPr="00AA4677">
              <w:rPr>
                <w:noProof/>
                <w:webHidden/>
              </w:rPr>
            </w:r>
            <w:r w:rsidRPr="00AA4677">
              <w:rPr>
                <w:noProof/>
                <w:webHidden/>
              </w:rPr>
              <w:fldChar w:fldCharType="separate"/>
            </w:r>
            <w:r w:rsidRPr="00AA4677">
              <w:rPr>
                <w:noProof/>
                <w:webHidden/>
              </w:rPr>
              <w:t>95</w:t>
            </w:r>
            <w:r w:rsidRPr="00AA4677">
              <w:rPr>
                <w:noProof/>
                <w:webHidden/>
              </w:rPr>
              <w:fldChar w:fldCharType="end"/>
            </w:r>
          </w:hyperlink>
        </w:p>
        <w:p w14:paraId="4605B630" w14:textId="0A54CF78" w:rsidR="0030581A" w:rsidRPr="00AA4677" w:rsidRDefault="0030581A">
          <w:pPr>
            <w:pStyle w:val="TOC2"/>
            <w:tabs>
              <w:tab w:val="right" w:leader="dot" w:pos="9630"/>
            </w:tabs>
            <w:rPr>
              <w:rFonts w:eastAsiaTheme="minorEastAsia"/>
              <w:noProof/>
              <w:kern w:val="2"/>
              <w:szCs w:val="24"/>
              <w14:ligatures w14:val="standardContextual"/>
            </w:rPr>
          </w:pPr>
          <w:hyperlink w:anchor="_Toc192678199" w:history="1">
            <w:r w:rsidRPr="00AA4677">
              <w:rPr>
                <w:rStyle w:val="Hyperlink"/>
                <w:noProof/>
              </w:rPr>
              <w:t>5.4 Informed Consent Process</w:t>
            </w:r>
            <w:r w:rsidRPr="00AA4677">
              <w:rPr>
                <w:noProof/>
                <w:webHidden/>
              </w:rPr>
              <w:tab/>
            </w:r>
            <w:r w:rsidRPr="00AA4677">
              <w:rPr>
                <w:noProof/>
                <w:webHidden/>
              </w:rPr>
              <w:fldChar w:fldCharType="begin"/>
            </w:r>
            <w:r w:rsidRPr="00AA4677">
              <w:rPr>
                <w:noProof/>
                <w:webHidden/>
              </w:rPr>
              <w:instrText xml:space="preserve"> PAGEREF _Toc192678199 \h </w:instrText>
            </w:r>
            <w:r w:rsidRPr="00AA4677">
              <w:rPr>
                <w:noProof/>
                <w:webHidden/>
              </w:rPr>
            </w:r>
            <w:r w:rsidRPr="00AA4677">
              <w:rPr>
                <w:noProof/>
                <w:webHidden/>
              </w:rPr>
              <w:fldChar w:fldCharType="separate"/>
            </w:r>
            <w:r w:rsidRPr="00AA4677">
              <w:rPr>
                <w:noProof/>
                <w:webHidden/>
              </w:rPr>
              <w:t>96</w:t>
            </w:r>
            <w:r w:rsidRPr="00AA4677">
              <w:rPr>
                <w:noProof/>
                <w:webHidden/>
              </w:rPr>
              <w:fldChar w:fldCharType="end"/>
            </w:r>
          </w:hyperlink>
        </w:p>
        <w:p w14:paraId="642B272D" w14:textId="4790FEC6" w:rsidR="0030581A" w:rsidRPr="00AA4677" w:rsidRDefault="0030581A">
          <w:pPr>
            <w:pStyle w:val="TOC2"/>
            <w:tabs>
              <w:tab w:val="right" w:leader="dot" w:pos="9630"/>
            </w:tabs>
            <w:rPr>
              <w:rFonts w:eastAsiaTheme="minorEastAsia"/>
              <w:noProof/>
              <w:kern w:val="2"/>
              <w:szCs w:val="24"/>
              <w14:ligatures w14:val="standardContextual"/>
            </w:rPr>
          </w:pPr>
          <w:hyperlink w:anchor="_Toc192678200" w:history="1">
            <w:r w:rsidRPr="00AA4677">
              <w:rPr>
                <w:rStyle w:val="Hyperlink"/>
                <w:noProof/>
              </w:rPr>
              <w:t>5.5 Determining a potential adult subject's ability to consent to research</w:t>
            </w:r>
            <w:r w:rsidRPr="00AA4677">
              <w:rPr>
                <w:noProof/>
                <w:webHidden/>
              </w:rPr>
              <w:tab/>
            </w:r>
            <w:r w:rsidRPr="00AA4677">
              <w:rPr>
                <w:noProof/>
                <w:webHidden/>
              </w:rPr>
              <w:fldChar w:fldCharType="begin"/>
            </w:r>
            <w:r w:rsidRPr="00AA4677">
              <w:rPr>
                <w:noProof/>
                <w:webHidden/>
              </w:rPr>
              <w:instrText xml:space="preserve"> PAGEREF _Toc192678200 \h </w:instrText>
            </w:r>
            <w:r w:rsidRPr="00AA4677">
              <w:rPr>
                <w:noProof/>
                <w:webHidden/>
              </w:rPr>
            </w:r>
            <w:r w:rsidRPr="00AA4677">
              <w:rPr>
                <w:noProof/>
                <w:webHidden/>
              </w:rPr>
              <w:fldChar w:fldCharType="separate"/>
            </w:r>
            <w:r w:rsidRPr="00AA4677">
              <w:rPr>
                <w:noProof/>
                <w:webHidden/>
              </w:rPr>
              <w:t>98</w:t>
            </w:r>
            <w:r w:rsidRPr="00AA4677">
              <w:rPr>
                <w:noProof/>
                <w:webHidden/>
              </w:rPr>
              <w:fldChar w:fldCharType="end"/>
            </w:r>
          </w:hyperlink>
        </w:p>
        <w:p w14:paraId="668ADE15" w14:textId="7759A448" w:rsidR="0030581A" w:rsidRPr="00AA4677" w:rsidRDefault="0030581A">
          <w:pPr>
            <w:pStyle w:val="TOC2"/>
            <w:tabs>
              <w:tab w:val="right" w:leader="dot" w:pos="9630"/>
            </w:tabs>
            <w:rPr>
              <w:rFonts w:eastAsiaTheme="minorEastAsia"/>
              <w:noProof/>
              <w:kern w:val="2"/>
              <w:szCs w:val="24"/>
              <w14:ligatures w14:val="standardContextual"/>
            </w:rPr>
          </w:pPr>
          <w:hyperlink w:anchor="_Toc192678201" w:history="1">
            <w:r w:rsidRPr="00AA4677">
              <w:rPr>
                <w:rStyle w:val="Hyperlink"/>
                <w:noProof/>
              </w:rPr>
              <w:t>5.6 Basic Elements of Informed Consent</w:t>
            </w:r>
            <w:r w:rsidRPr="00AA4677">
              <w:rPr>
                <w:noProof/>
                <w:webHidden/>
              </w:rPr>
              <w:tab/>
            </w:r>
            <w:r w:rsidRPr="00AA4677">
              <w:rPr>
                <w:noProof/>
                <w:webHidden/>
              </w:rPr>
              <w:fldChar w:fldCharType="begin"/>
            </w:r>
            <w:r w:rsidRPr="00AA4677">
              <w:rPr>
                <w:noProof/>
                <w:webHidden/>
              </w:rPr>
              <w:instrText xml:space="preserve"> PAGEREF _Toc192678201 \h </w:instrText>
            </w:r>
            <w:r w:rsidRPr="00AA4677">
              <w:rPr>
                <w:noProof/>
                <w:webHidden/>
              </w:rPr>
            </w:r>
            <w:r w:rsidRPr="00AA4677">
              <w:rPr>
                <w:noProof/>
                <w:webHidden/>
              </w:rPr>
              <w:fldChar w:fldCharType="separate"/>
            </w:r>
            <w:r w:rsidRPr="00AA4677">
              <w:rPr>
                <w:noProof/>
                <w:webHidden/>
              </w:rPr>
              <w:t>98</w:t>
            </w:r>
            <w:r w:rsidRPr="00AA4677">
              <w:rPr>
                <w:noProof/>
                <w:webHidden/>
              </w:rPr>
              <w:fldChar w:fldCharType="end"/>
            </w:r>
          </w:hyperlink>
        </w:p>
        <w:p w14:paraId="7876CBAE" w14:textId="5E6B9D97" w:rsidR="0030581A" w:rsidRPr="00AA4677" w:rsidRDefault="0030581A">
          <w:pPr>
            <w:pStyle w:val="TOC2"/>
            <w:tabs>
              <w:tab w:val="right" w:leader="dot" w:pos="9630"/>
            </w:tabs>
            <w:rPr>
              <w:rFonts w:eastAsiaTheme="minorEastAsia"/>
              <w:noProof/>
              <w:kern w:val="2"/>
              <w:szCs w:val="24"/>
              <w14:ligatures w14:val="standardContextual"/>
            </w:rPr>
          </w:pPr>
          <w:hyperlink w:anchor="_Toc192678202" w:history="1">
            <w:r w:rsidRPr="00AA4677">
              <w:rPr>
                <w:rStyle w:val="Hyperlink"/>
                <w:noProof/>
              </w:rPr>
              <w:t>5.7 Documentation of Informed Consent</w:t>
            </w:r>
            <w:r w:rsidRPr="00AA4677">
              <w:rPr>
                <w:noProof/>
                <w:webHidden/>
              </w:rPr>
              <w:tab/>
            </w:r>
            <w:r w:rsidRPr="00AA4677">
              <w:rPr>
                <w:noProof/>
                <w:webHidden/>
              </w:rPr>
              <w:fldChar w:fldCharType="begin"/>
            </w:r>
            <w:r w:rsidRPr="00AA4677">
              <w:rPr>
                <w:noProof/>
                <w:webHidden/>
              </w:rPr>
              <w:instrText xml:space="preserve"> PAGEREF _Toc192678202 \h </w:instrText>
            </w:r>
            <w:r w:rsidRPr="00AA4677">
              <w:rPr>
                <w:noProof/>
                <w:webHidden/>
              </w:rPr>
            </w:r>
            <w:r w:rsidRPr="00AA4677">
              <w:rPr>
                <w:noProof/>
                <w:webHidden/>
              </w:rPr>
              <w:fldChar w:fldCharType="separate"/>
            </w:r>
            <w:r w:rsidRPr="00AA4677">
              <w:rPr>
                <w:noProof/>
                <w:webHidden/>
              </w:rPr>
              <w:t>101</w:t>
            </w:r>
            <w:r w:rsidRPr="00AA4677">
              <w:rPr>
                <w:noProof/>
                <w:webHidden/>
              </w:rPr>
              <w:fldChar w:fldCharType="end"/>
            </w:r>
          </w:hyperlink>
        </w:p>
        <w:p w14:paraId="0070BC50" w14:textId="594E89BE" w:rsidR="0030581A" w:rsidRPr="00AA4677" w:rsidRDefault="0030581A">
          <w:pPr>
            <w:pStyle w:val="TOC2"/>
            <w:tabs>
              <w:tab w:val="right" w:leader="dot" w:pos="9630"/>
            </w:tabs>
            <w:rPr>
              <w:rFonts w:eastAsiaTheme="minorEastAsia"/>
              <w:noProof/>
              <w:kern w:val="2"/>
              <w:szCs w:val="24"/>
              <w14:ligatures w14:val="standardContextual"/>
            </w:rPr>
          </w:pPr>
          <w:hyperlink w:anchor="_Toc192678203" w:history="1">
            <w:r w:rsidRPr="00AA4677">
              <w:rPr>
                <w:rStyle w:val="Hyperlink"/>
                <w:noProof/>
              </w:rPr>
              <w:t>5.8 Special Consent Circumstances</w:t>
            </w:r>
            <w:r w:rsidRPr="00AA4677">
              <w:rPr>
                <w:noProof/>
                <w:webHidden/>
              </w:rPr>
              <w:tab/>
            </w:r>
            <w:r w:rsidRPr="00AA4677">
              <w:rPr>
                <w:noProof/>
                <w:webHidden/>
              </w:rPr>
              <w:fldChar w:fldCharType="begin"/>
            </w:r>
            <w:r w:rsidRPr="00AA4677">
              <w:rPr>
                <w:noProof/>
                <w:webHidden/>
              </w:rPr>
              <w:instrText xml:space="preserve"> PAGEREF _Toc192678203 \h </w:instrText>
            </w:r>
            <w:r w:rsidRPr="00AA4677">
              <w:rPr>
                <w:noProof/>
                <w:webHidden/>
              </w:rPr>
            </w:r>
            <w:r w:rsidRPr="00AA4677">
              <w:rPr>
                <w:noProof/>
                <w:webHidden/>
              </w:rPr>
              <w:fldChar w:fldCharType="separate"/>
            </w:r>
            <w:r w:rsidRPr="00AA4677">
              <w:rPr>
                <w:noProof/>
                <w:webHidden/>
              </w:rPr>
              <w:t>102</w:t>
            </w:r>
            <w:r w:rsidRPr="00AA4677">
              <w:rPr>
                <w:noProof/>
                <w:webHidden/>
              </w:rPr>
              <w:fldChar w:fldCharType="end"/>
            </w:r>
          </w:hyperlink>
        </w:p>
        <w:p w14:paraId="7FF50454" w14:textId="289A7BB5" w:rsidR="0030581A" w:rsidRPr="00AA4677" w:rsidRDefault="0030581A">
          <w:pPr>
            <w:pStyle w:val="TOC2"/>
            <w:tabs>
              <w:tab w:val="right" w:leader="dot" w:pos="9630"/>
            </w:tabs>
            <w:rPr>
              <w:rFonts w:eastAsiaTheme="minorEastAsia"/>
              <w:noProof/>
              <w:kern w:val="2"/>
              <w:szCs w:val="24"/>
              <w14:ligatures w14:val="standardContextual"/>
            </w:rPr>
          </w:pPr>
          <w:hyperlink w:anchor="_Toc192678204" w:history="1">
            <w:r w:rsidRPr="00AA4677">
              <w:rPr>
                <w:rStyle w:val="Hyperlink"/>
                <w:noProof/>
              </w:rPr>
              <w:t>5.9 Consent Monitoring</w:t>
            </w:r>
            <w:r w:rsidRPr="00AA4677">
              <w:rPr>
                <w:noProof/>
                <w:webHidden/>
              </w:rPr>
              <w:tab/>
            </w:r>
            <w:r w:rsidRPr="00AA4677">
              <w:rPr>
                <w:noProof/>
                <w:webHidden/>
              </w:rPr>
              <w:fldChar w:fldCharType="begin"/>
            </w:r>
            <w:r w:rsidRPr="00AA4677">
              <w:rPr>
                <w:noProof/>
                <w:webHidden/>
              </w:rPr>
              <w:instrText xml:space="preserve"> PAGEREF _Toc192678204 \h </w:instrText>
            </w:r>
            <w:r w:rsidRPr="00AA4677">
              <w:rPr>
                <w:noProof/>
                <w:webHidden/>
              </w:rPr>
            </w:r>
            <w:r w:rsidRPr="00AA4677">
              <w:rPr>
                <w:noProof/>
                <w:webHidden/>
              </w:rPr>
              <w:fldChar w:fldCharType="separate"/>
            </w:r>
            <w:r w:rsidRPr="00AA4677">
              <w:rPr>
                <w:noProof/>
                <w:webHidden/>
              </w:rPr>
              <w:t>104</w:t>
            </w:r>
            <w:r w:rsidRPr="00AA4677">
              <w:rPr>
                <w:noProof/>
                <w:webHidden/>
              </w:rPr>
              <w:fldChar w:fldCharType="end"/>
            </w:r>
          </w:hyperlink>
        </w:p>
        <w:p w14:paraId="75B3FE5A" w14:textId="09249F9F" w:rsidR="0030581A" w:rsidRPr="00AA4677" w:rsidRDefault="0030581A">
          <w:pPr>
            <w:pStyle w:val="TOC2"/>
            <w:tabs>
              <w:tab w:val="right" w:leader="dot" w:pos="9630"/>
            </w:tabs>
            <w:rPr>
              <w:rFonts w:eastAsiaTheme="minorEastAsia"/>
              <w:noProof/>
              <w:kern w:val="2"/>
              <w:szCs w:val="24"/>
              <w14:ligatures w14:val="standardContextual"/>
            </w:rPr>
          </w:pPr>
          <w:hyperlink w:anchor="_Toc192678205" w:history="1">
            <w:r w:rsidRPr="00AA4677">
              <w:rPr>
                <w:rStyle w:val="Hyperlink"/>
                <w:noProof/>
              </w:rPr>
              <w:t>5.10 Subject Withdrawal or Termination</w:t>
            </w:r>
            <w:r w:rsidRPr="00AA4677">
              <w:rPr>
                <w:noProof/>
                <w:webHidden/>
              </w:rPr>
              <w:tab/>
            </w:r>
            <w:r w:rsidRPr="00AA4677">
              <w:rPr>
                <w:noProof/>
                <w:webHidden/>
              </w:rPr>
              <w:fldChar w:fldCharType="begin"/>
            </w:r>
            <w:r w:rsidRPr="00AA4677">
              <w:rPr>
                <w:noProof/>
                <w:webHidden/>
              </w:rPr>
              <w:instrText xml:space="preserve"> PAGEREF _Toc192678205 \h </w:instrText>
            </w:r>
            <w:r w:rsidRPr="00AA4677">
              <w:rPr>
                <w:noProof/>
                <w:webHidden/>
              </w:rPr>
            </w:r>
            <w:r w:rsidRPr="00AA4677">
              <w:rPr>
                <w:noProof/>
                <w:webHidden/>
              </w:rPr>
              <w:fldChar w:fldCharType="separate"/>
            </w:r>
            <w:r w:rsidRPr="00AA4677">
              <w:rPr>
                <w:noProof/>
                <w:webHidden/>
              </w:rPr>
              <w:t>105</w:t>
            </w:r>
            <w:r w:rsidRPr="00AA4677">
              <w:rPr>
                <w:noProof/>
                <w:webHidden/>
              </w:rPr>
              <w:fldChar w:fldCharType="end"/>
            </w:r>
          </w:hyperlink>
        </w:p>
        <w:p w14:paraId="1531C765" w14:textId="7683BBBE" w:rsidR="0030581A" w:rsidRPr="00AA4677" w:rsidRDefault="0030581A">
          <w:pPr>
            <w:pStyle w:val="TOC2"/>
            <w:tabs>
              <w:tab w:val="right" w:leader="dot" w:pos="9630"/>
            </w:tabs>
            <w:rPr>
              <w:rFonts w:eastAsiaTheme="minorEastAsia"/>
              <w:noProof/>
              <w:kern w:val="2"/>
              <w:szCs w:val="24"/>
              <w14:ligatures w14:val="standardContextual"/>
            </w:rPr>
          </w:pPr>
          <w:hyperlink w:anchor="_Toc192678206" w:history="1">
            <w:r w:rsidRPr="00AA4677">
              <w:rPr>
                <w:rStyle w:val="Hyperlink"/>
                <w:noProof/>
              </w:rPr>
              <w:t>5.11 Waiver or Alteration of Informed Consent</w:t>
            </w:r>
            <w:r w:rsidRPr="00AA4677">
              <w:rPr>
                <w:noProof/>
                <w:webHidden/>
              </w:rPr>
              <w:tab/>
            </w:r>
            <w:r w:rsidRPr="00AA4677">
              <w:rPr>
                <w:noProof/>
                <w:webHidden/>
              </w:rPr>
              <w:fldChar w:fldCharType="begin"/>
            </w:r>
            <w:r w:rsidRPr="00AA4677">
              <w:rPr>
                <w:noProof/>
                <w:webHidden/>
              </w:rPr>
              <w:instrText xml:space="preserve"> PAGEREF _Toc192678206 \h </w:instrText>
            </w:r>
            <w:r w:rsidRPr="00AA4677">
              <w:rPr>
                <w:noProof/>
                <w:webHidden/>
              </w:rPr>
            </w:r>
            <w:r w:rsidRPr="00AA4677">
              <w:rPr>
                <w:noProof/>
                <w:webHidden/>
              </w:rPr>
              <w:fldChar w:fldCharType="separate"/>
            </w:r>
            <w:r w:rsidRPr="00AA4677">
              <w:rPr>
                <w:noProof/>
                <w:webHidden/>
              </w:rPr>
              <w:t>106</w:t>
            </w:r>
            <w:r w:rsidRPr="00AA4677">
              <w:rPr>
                <w:noProof/>
                <w:webHidden/>
              </w:rPr>
              <w:fldChar w:fldCharType="end"/>
            </w:r>
          </w:hyperlink>
        </w:p>
        <w:p w14:paraId="31BB3B8B" w14:textId="226FD328" w:rsidR="0030581A" w:rsidRPr="00AA4677" w:rsidRDefault="0030581A">
          <w:pPr>
            <w:pStyle w:val="TOC2"/>
            <w:tabs>
              <w:tab w:val="right" w:leader="dot" w:pos="9630"/>
            </w:tabs>
            <w:rPr>
              <w:rFonts w:eastAsiaTheme="minorEastAsia"/>
              <w:noProof/>
              <w:kern w:val="2"/>
              <w:szCs w:val="24"/>
              <w14:ligatures w14:val="standardContextual"/>
            </w:rPr>
          </w:pPr>
          <w:hyperlink w:anchor="_Toc192678207" w:history="1">
            <w:r w:rsidRPr="00AA4677">
              <w:rPr>
                <w:rStyle w:val="Hyperlink"/>
                <w:noProof/>
              </w:rPr>
              <w:t>5.12 Waiver of Documentation of Informed Consent</w:t>
            </w:r>
            <w:r w:rsidRPr="00AA4677">
              <w:rPr>
                <w:noProof/>
                <w:webHidden/>
              </w:rPr>
              <w:tab/>
            </w:r>
            <w:r w:rsidRPr="00AA4677">
              <w:rPr>
                <w:noProof/>
                <w:webHidden/>
              </w:rPr>
              <w:fldChar w:fldCharType="begin"/>
            </w:r>
            <w:r w:rsidRPr="00AA4677">
              <w:rPr>
                <w:noProof/>
                <w:webHidden/>
              </w:rPr>
              <w:instrText xml:space="preserve"> PAGEREF _Toc192678207 \h </w:instrText>
            </w:r>
            <w:r w:rsidRPr="00AA4677">
              <w:rPr>
                <w:noProof/>
                <w:webHidden/>
              </w:rPr>
            </w:r>
            <w:r w:rsidRPr="00AA4677">
              <w:rPr>
                <w:noProof/>
                <w:webHidden/>
              </w:rPr>
              <w:fldChar w:fldCharType="separate"/>
            </w:r>
            <w:r w:rsidRPr="00AA4677">
              <w:rPr>
                <w:noProof/>
                <w:webHidden/>
              </w:rPr>
              <w:t>108</w:t>
            </w:r>
            <w:r w:rsidRPr="00AA4677">
              <w:rPr>
                <w:noProof/>
                <w:webHidden/>
              </w:rPr>
              <w:fldChar w:fldCharType="end"/>
            </w:r>
          </w:hyperlink>
        </w:p>
        <w:p w14:paraId="76E812C4" w14:textId="45DB2A93" w:rsidR="0030581A" w:rsidRPr="00AA4677" w:rsidRDefault="0030581A">
          <w:pPr>
            <w:pStyle w:val="TOC2"/>
            <w:tabs>
              <w:tab w:val="right" w:leader="dot" w:pos="9630"/>
            </w:tabs>
            <w:rPr>
              <w:rFonts w:eastAsiaTheme="minorEastAsia"/>
              <w:noProof/>
              <w:kern w:val="2"/>
              <w:szCs w:val="24"/>
              <w14:ligatures w14:val="standardContextual"/>
            </w:rPr>
          </w:pPr>
          <w:hyperlink w:anchor="_Toc192678208" w:history="1">
            <w:r w:rsidRPr="00AA4677">
              <w:rPr>
                <w:rStyle w:val="Hyperlink"/>
                <w:noProof/>
              </w:rPr>
              <w:t>5.13 Waiver of Informed Consent for Planned Emergency Research</w:t>
            </w:r>
            <w:r w:rsidRPr="00AA4677">
              <w:rPr>
                <w:noProof/>
                <w:webHidden/>
              </w:rPr>
              <w:tab/>
            </w:r>
            <w:r w:rsidRPr="00AA4677">
              <w:rPr>
                <w:noProof/>
                <w:webHidden/>
              </w:rPr>
              <w:fldChar w:fldCharType="begin"/>
            </w:r>
            <w:r w:rsidRPr="00AA4677">
              <w:rPr>
                <w:noProof/>
                <w:webHidden/>
              </w:rPr>
              <w:instrText xml:space="preserve"> PAGEREF _Toc192678208 \h </w:instrText>
            </w:r>
            <w:r w:rsidRPr="00AA4677">
              <w:rPr>
                <w:noProof/>
                <w:webHidden/>
              </w:rPr>
            </w:r>
            <w:r w:rsidRPr="00AA4677">
              <w:rPr>
                <w:noProof/>
                <w:webHidden/>
              </w:rPr>
              <w:fldChar w:fldCharType="separate"/>
            </w:r>
            <w:r w:rsidRPr="00AA4677">
              <w:rPr>
                <w:noProof/>
                <w:webHidden/>
              </w:rPr>
              <w:t>109</w:t>
            </w:r>
            <w:r w:rsidRPr="00AA4677">
              <w:rPr>
                <w:noProof/>
                <w:webHidden/>
              </w:rPr>
              <w:fldChar w:fldCharType="end"/>
            </w:r>
          </w:hyperlink>
        </w:p>
        <w:p w14:paraId="4024F026" w14:textId="756F5F21" w:rsidR="0030581A" w:rsidRPr="00AA4677" w:rsidRDefault="0030581A">
          <w:pPr>
            <w:pStyle w:val="TOC2"/>
            <w:tabs>
              <w:tab w:val="right" w:leader="dot" w:pos="9630"/>
            </w:tabs>
            <w:rPr>
              <w:rFonts w:eastAsiaTheme="minorEastAsia"/>
              <w:noProof/>
              <w:kern w:val="2"/>
              <w:szCs w:val="24"/>
              <w14:ligatures w14:val="standardContextual"/>
            </w:rPr>
          </w:pPr>
          <w:hyperlink w:anchor="_Toc192678209" w:history="1">
            <w:r w:rsidRPr="00AA4677">
              <w:rPr>
                <w:rStyle w:val="Hyperlink"/>
                <w:noProof/>
              </w:rPr>
              <w:t>5.14 Posting of Clinical Trial Consent Forms</w:t>
            </w:r>
            <w:r w:rsidRPr="00AA4677">
              <w:rPr>
                <w:noProof/>
                <w:webHidden/>
              </w:rPr>
              <w:tab/>
            </w:r>
            <w:r w:rsidRPr="00AA4677">
              <w:rPr>
                <w:noProof/>
                <w:webHidden/>
              </w:rPr>
              <w:fldChar w:fldCharType="begin"/>
            </w:r>
            <w:r w:rsidRPr="00AA4677">
              <w:rPr>
                <w:noProof/>
                <w:webHidden/>
              </w:rPr>
              <w:instrText xml:space="preserve"> PAGEREF _Toc192678209 \h </w:instrText>
            </w:r>
            <w:r w:rsidRPr="00AA4677">
              <w:rPr>
                <w:noProof/>
                <w:webHidden/>
              </w:rPr>
            </w:r>
            <w:r w:rsidRPr="00AA4677">
              <w:rPr>
                <w:noProof/>
                <w:webHidden/>
              </w:rPr>
              <w:fldChar w:fldCharType="separate"/>
            </w:r>
            <w:r w:rsidRPr="00AA4677">
              <w:rPr>
                <w:noProof/>
                <w:webHidden/>
              </w:rPr>
              <w:t>114</w:t>
            </w:r>
            <w:r w:rsidRPr="00AA4677">
              <w:rPr>
                <w:noProof/>
                <w:webHidden/>
              </w:rPr>
              <w:fldChar w:fldCharType="end"/>
            </w:r>
          </w:hyperlink>
        </w:p>
        <w:p w14:paraId="641DC0E3" w14:textId="53EF630E" w:rsidR="0030581A" w:rsidRPr="00AA4677" w:rsidRDefault="0030581A">
          <w:pPr>
            <w:pStyle w:val="TOC1"/>
            <w:rPr>
              <w:rFonts w:eastAsiaTheme="minorEastAsia"/>
              <w:noProof/>
              <w:kern w:val="2"/>
              <w:szCs w:val="24"/>
              <w14:ligatures w14:val="standardContextual"/>
            </w:rPr>
          </w:pPr>
          <w:hyperlink w:anchor="_Toc192678210" w:history="1">
            <w:r w:rsidRPr="00AA4677">
              <w:rPr>
                <w:rStyle w:val="Hyperlink"/>
                <w:noProof/>
              </w:rPr>
              <w:t>6 Vulnerable Subjects in Research</w:t>
            </w:r>
            <w:r w:rsidRPr="00AA4677">
              <w:rPr>
                <w:noProof/>
                <w:webHidden/>
              </w:rPr>
              <w:tab/>
            </w:r>
            <w:r w:rsidRPr="00AA4677">
              <w:rPr>
                <w:noProof/>
                <w:webHidden/>
              </w:rPr>
              <w:fldChar w:fldCharType="begin"/>
            </w:r>
            <w:r w:rsidRPr="00AA4677">
              <w:rPr>
                <w:noProof/>
                <w:webHidden/>
              </w:rPr>
              <w:instrText xml:space="preserve"> PAGEREF _Toc192678210 \h </w:instrText>
            </w:r>
            <w:r w:rsidRPr="00AA4677">
              <w:rPr>
                <w:noProof/>
                <w:webHidden/>
              </w:rPr>
            </w:r>
            <w:r w:rsidRPr="00AA4677">
              <w:rPr>
                <w:noProof/>
                <w:webHidden/>
              </w:rPr>
              <w:fldChar w:fldCharType="separate"/>
            </w:r>
            <w:r w:rsidRPr="00AA4677">
              <w:rPr>
                <w:noProof/>
                <w:webHidden/>
              </w:rPr>
              <w:t>114</w:t>
            </w:r>
            <w:r w:rsidRPr="00AA4677">
              <w:rPr>
                <w:noProof/>
                <w:webHidden/>
              </w:rPr>
              <w:fldChar w:fldCharType="end"/>
            </w:r>
          </w:hyperlink>
        </w:p>
        <w:p w14:paraId="647DB18F" w14:textId="0BE0C129" w:rsidR="0030581A" w:rsidRPr="00AA4677" w:rsidRDefault="0030581A">
          <w:pPr>
            <w:pStyle w:val="TOC2"/>
            <w:tabs>
              <w:tab w:val="right" w:leader="dot" w:pos="9630"/>
            </w:tabs>
            <w:rPr>
              <w:rFonts w:eastAsiaTheme="minorEastAsia"/>
              <w:noProof/>
              <w:kern w:val="2"/>
              <w:szCs w:val="24"/>
              <w14:ligatures w14:val="standardContextual"/>
            </w:rPr>
          </w:pPr>
          <w:hyperlink w:anchor="_Toc192678211" w:history="1">
            <w:r w:rsidRPr="00AA4677">
              <w:rPr>
                <w:rStyle w:val="Hyperlink"/>
                <w:noProof/>
              </w:rPr>
              <w:t>6.1 Policy</w:t>
            </w:r>
            <w:r w:rsidRPr="00AA4677">
              <w:rPr>
                <w:noProof/>
                <w:webHidden/>
              </w:rPr>
              <w:tab/>
            </w:r>
            <w:r w:rsidRPr="00AA4677">
              <w:rPr>
                <w:noProof/>
                <w:webHidden/>
              </w:rPr>
              <w:fldChar w:fldCharType="begin"/>
            </w:r>
            <w:r w:rsidRPr="00AA4677">
              <w:rPr>
                <w:noProof/>
                <w:webHidden/>
              </w:rPr>
              <w:instrText xml:space="preserve"> PAGEREF _Toc192678211 \h </w:instrText>
            </w:r>
            <w:r w:rsidRPr="00AA4677">
              <w:rPr>
                <w:noProof/>
                <w:webHidden/>
              </w:rPr>
            </w:r>
            <w:r w:rsidRPr="00AA4677">
              <w:rPr>
                <w:noProof/>
                <w:webHidden/>
              </w:rPr>
              <w:fldChar w:fldCharType="separate"/>
            </w:r>
            <w:r w:rsidRPr="00AA4677">
              <w:rPr>
                <w:noProof/>
                <w:webHidden/>
              </w:rPr>
              <w:t>114</w:t>
            </w:r>
            <w:r w:rsidRPr="00AA4677">
              <w:rPr>
                <w:noProof/>
                <w:webHidden/>
              </w:rPr>
              <w:fldChar w:fldCharType="end"/>
            </w:r>
          </w:hyperlink>
        </w:p>
        <w:p w14:paraId="4511A6C5" w14:textId="41E6B35C" w:rsidR="0030581A" w:rsidRPr="00AA4677" w:rsidRDefault="0030581A">
          <w:pPr>
            <w:pStyle w:val="TOC2"/>
            <w:tabs>
              <w:tab w:val="right" w:leader="dot" w:pos="9630"/>
            </w:tabs>
            <w:rPr>
              <w:rFonts w:eastAsiaTheme="minorEastAsia"/>
              <w:noProof/>
              <w:kern w:val="2"/>
              <w:szCs w:val="24"/>
              <w14:ligatures w14:val="standardContextual"/>
            </w:rPr>
          </w:pPr>
          <w:hyperlink w:anchor="_Toc192678212" w:history="1">
            <w:r w:rsidRPr="00AA4677">
              <w:rPr>
                <w:rStyle w:val="Hyperlink"/>
                <w:noProof/>
              </w:rPr>
              <w:t>6.2 Definitions</w:t>
            </w:r>
            <w:r w:rsidRPr="00AA4677">
              <w:rPr>
                <w:noProof/>
                <w:webHidden/>
              </w:rPr>
              <w:tab/>
            </w:r>
            <w:r w:rsidRPr="00AA4677">
              <w:rPr>
                <w:noProof/>
                <w:webHidden/>
              </w:rPr>
              <w:fldChar w:fldCharType="begin"/>
            </w:r>
            <w:r w:rsidRPr="00AA4677">
              <w:rPr>
                <w:noProof/>
                <w:webHidden/>
              </w:rPr>
              <w:instrText xml:space="preserve"> PAGEREF _Toc192678212 \h </w:instrText>
            </w:r>
            <w:r w:rsidRPr="00AA4677">
              <w:rPr>
                <w:noProof/>
                <w:webHidden/>
              </w:rPr>
            </w:r>
            <w:r w:rsidRPr="00AA4677">
              <w:rPr>
                <w:noProof/>
                <w:webHidden/>
              </w:rPr>
              <w:fldChar w:fldCharType="separate"/>
            </w:r>
            <w:r w:rsidRPr="00AA4677">
              <w:rPr>
                <w:noProof/>
                <w:webHidden/>
              </w:rPr>
              <w:t>115</w:t>
            </w:r>
            <w:r w:rsidRPr="00AA4677">
              <w:rPr>
                <w:noProof/>
                <w:webHidden/>
              </w:rPr>
              <w:fldChar w:fldCharType="end"/>
            </w:r>
          </w:hyperlink>
        </w:p>
        <w:p w14:paraId="5137BC04" w14:textId="571D6CAA" w:rsidR="0030581A" w:rsidRPr="00AA4677" w:rsidRDefault="0030581A">
          <w:pPr>
            <w:pStyle w:val="TOC2"/>
            <w:tabs>
              <w:tab w:val="right" w:leader="dot" w:pos="9630"/>
            </w:tabs>
            <w:rPr>
              <w:rFonts w:eastAsiaTheme="minorEastAsia"/>
              <w:noProof/>
              <w:kern w:val="2"/>
              <w:szCs w:val="24"/>
              <w14:ligatures w14:val="standardContextual"/>
            </w:rPr>
          </w:pPr>
          <w:hyperlink w:anchor="_Toc192678213" w:history="1">
            <w:r w:rsidRPr="00AA4677">
              <w:rPr>
                <w:rStyle w:val="Hyperlink"/>
                <w:noProof/>
              </w:rPr>
              <w:t>6.3 Involvement of Vulnerable Populations</w:t>
            </w:r>
            <w:r w:rsidRPr="00AA4677">
              <w:rPr>
                <w:noProof/>
                <w:webHidden/>
              </w:rPr>
              <w:tab/>
            </w:r>
            <w:r w:rsidRPr="00AA4677">
              <w:rPr>
                <w:noProof/>
                <w:webHidden/>
              </w:rPr>
              <w:fldChar w:fldCharType="begin"/>
            </w:r>
            <w:r w:rsidRPr="00AA4677">
              <w:rPr>
                <w:noProof/>
                <w:webHidden/>
              </w:rPr>
              <w:instrText xml:space="preserve"> PAGEREF _Toc192678213 \h </w:instrText>
            </w:r>
            <w:r w:rsidRPr="00AA4677">
              <w:rPr>
                <w:noProof/>
                <w:webHidden/>
              </w:rPr>
            </w:r>
            <w:r w:rsidRPr="00AA4677">
              <w:rPr>
                <w:noProof/>
                <w:webHidden/>
              </w:rPr>
              <w:fldChar w:fldCharType="separate"/>
            </w:r>
            <w:r w:rsidRPr="00AA4677">
              <w:rPr>
                <w:noProof/>
                <w:webHidden/>
              </w:rPr>
              <w:t>117</w:t>
            </w:r>
            <w:r w:rsidRPr="00AA4677">
              <w:rPr>
                <w:noProof/>
                <w:webHidden/>
              </w:rPr>
              <w:fldChar w:fldCharType="end"/>
            </w:r>
          </w:hyperlink>
        </w:p>
        <w:p w14:paraId="6234C73C" w14:textId="376E8EE7" w:rsidR="0030581A" w:rsidRPr="00AA4677" w:rsidRDefault="0030581A">
          <w:pPr>
            <w:pStyle w:val="TOC2"/>
            <w:tabs>
              <w:tab w:val="right" w:leader="dot" w:pos="9630"/>
            </w:tabs>
            <w:rPr>
              <w:rFonts w:eastAsiaTheme="minorEastAsia"/>
              <w:noProof/>
              <w:kern w:val="2"/>
              <w:szCs w:val="24"/>
              <w14:ligatures w14:val="standardContextual"/>
            </w:rPr>
          </w:pPr>
          <w:hyperlink w:anchor="_Toc192678214" w:history="1">
            <w:r w:rsidRPr="00AA4677">
              <w:rPr>
                <w:rStyle w:val="Hyperlink"/>
                <w:noProof/>
              </w:rPr>
              <w:t>6.4 FWA and the 45 CFR 46 Subparts</w:t>
            </w:r>
            <w:r w:rsidRPr="00AA4677">
              <w:rPr>
                <w:noProof/>
                <w:webHidden/>
              </w:rPr>
              <w:tab/>
            </w:r>
            <w:r w:rsidRPr="00AA4677">
              <w:rPr>
                <w:noProof/>
                <w:webHidden/>
              </w:rPr>
              <w:fldChar w:fldCharType="begin"/>
            </w:r>
            <w:r w:rsidRPr="00AA4677">
              <w:rPr>
                <w:noProof/>
                <w:webHidden/>
              </w:rPr>
              <w:instrText xml:space="preserve"> PAGEREF _Toc192678214 \h </w:instrText>
            </w:r>
            <w:r w:rsidRPr="00AA4677">
              <w:rPr>
                <w:noProof/>
                <w:webHidden/>
              </w:rPr>
            </w:r>
            <w:r w:rsidRPr="00AA4677">
              <w:rPr>
                <w:noProof/>
                <w:webHidden/>
              </w:rPr>
              <w:fldChar w:fldCharType="separate"/>
            </w:r>
            <w:r w:rsidRPr="00AA4677">
              <w:rPr>
                <w:noProof/>
                <w:webHidden/>
              </w:rPr>
              <w:t>118</w:t>
            </w:r>
            <w:r w:rsidRPr="00AA4677">
              <w:rPr>
                <w:noProof/>
                <w:webHidden/>
              </w:rPr>
              <w:fldChar w:fldCharType="end"/>
            </w:r>
          </w:hyperlink>
        </w:p>
        <w:p w14:paraId="1DCC2436" w14:textId="04826C9C" w:rsidR="0030581A" w:rsidRPr="00AA4677" w:rsidRDefault="0030581A">
          <w:pPr>
            <w:pStyle w:val="TOC2"/>
            <w:tabs>
              <w:tab w:val="right" w:leader="dot" w:pos="9630"/>
            </w:tabs>
            <w:rPr>
              <w:rFonts w:eastAsiaTheme="minorEastAsia"/>
              <w:noProof/>
              <w:kern w:val="2"/>
              <w:szCs w:val="24"/>
              <w14:ligatures w14:val="standardContextual"/>
            </w:rPr>
          </w:pPr>
          <w:hyperlink w:anchor="_Toc192678215" w:history="1">
            <w:r w:rsidRPr="00AA4677">
              <w:rPr>
                <w:rStyle w:val="Hyperlink"/>
                <w:noProof/>
              </w:rPr>
              <w:t>6.5 Procedures</w:t>
            </w:r>
            <w:r w:rsidRPr="00AA4677">
              <w:rPr>
                <w:noProof/>
                <w:webHidden/>
              </w:rPr>
              <w:tab/>
            </w:r>
            <w:r w:rsidRPr="00AA4677">
              <w:rPr>
                <w:noProof/>
                <w:webHidden/>
              </w:rPr>
              <w:fldChar w:fldCharType="begin"/>
            </w:r>
            <w:r w:rsidRPr="00AA4677">
              <w:rPr>
                <w:noProof/>
                <w:webHidden/>
              </w:rPr>
              <w:instrText xml:space="preserve"> PAGEREF _Toc192678215 \h </w:instrText>
            </w:r>
            <w:r w:rsidRPr="00AA4677">
              <w:rPr>
                <w:noProof/>
                <w:webHidden/>
              </w:rPr>
            </w:r>
            <w:r w:rsidRPr="00AA4677">
              <w:rPr>
                <w:noProof/>
                <w:webHidden/>
              </w:rPr>
              <w:fldChar w:fldCharType="separate"/>
            </w:r>
            <w:r w:rsidRPr="00AA4677">
              <w:rPr>
                <w:noProof/>
                <w:webHidden/>
              </w:rPr>
              <w:t>118</w:t>
            </w:r>
            <w:r w:rsidRPr="00AA4677">
              <w:rPr>
                <w:noProof/>
                <w:webHidden/>
              </w:rPr>
              <w:fldChar w:fldCharType="end"/>
            </w:r>
          </w:hyperlink>
        </w:p>
        <w:p w14:paraId="3B95F62C" w14:textId="099FDDB1" w:rsidR="0030581A" w:rsidRPr="00AA4677" w:rsidRDefault="0030581A">
          <w:pPr>
            <w:pStyle w:val="TOC2"/>
            <w:tabs>
              <w:tab w:val="right" w:leader="dot" w:pos="9630"/>
            </w:tabs>
            <w:rPr>
              <w:rFonts w:eastAsiaTheme="minorEastAsia"/>
              <w:noProof/>
              <w:kern w:val="2"/>
              <w:szCs w:val="24"/>
              <w14:ligatures w14:val="standardContextual"/>
            </w:rPr>
          </w:pPr>
          <w:hyperlink w:anchor="_Toc192678216" w:history="1">
            <w:r w:rsidRPr="00AA4677">
              <w:rPr>
                <w:rStyle w:val="Hyperlink"/>
                <w:noProof/>
              </w:rPr>
              <w:t>6.6 Research Involving Pregnant Women, Human Fetuses and Neonates</w:t>
            </w:r>
            <w:r w:rsidRPr="00AA4677">
              <w:rPr>
                <w:noProof/>
                <w:webHidden/>
              </w:rPr>
              <w:tab/>
            </w:r>
            <w:r w:rsidRPr="00AA4677">
              <w:rPr>
                <w:noProof/>
                <w:webHidden/>
              </w:rPr>
              <w:fldChar w:fldCharType="begin"/>
            </w:r>
            <w:r w:rsidRPr="00AA4677">
              <w:rPr>
                <w:noProof/>
                <w:webHidden/>
              </w:rPr>
              <w:instrText xml:space="preserve"> PAGEREF _Toc192678216 \h </w:instrText>
            </w:r>
            <w:r w:rsidRPr="00AA4677">
              <w:rPr>
                <w:noProof/>
                <w:webHidden/>
              </w:rPr>
            </w:r>
            <w:r w:rsidRPr="00AA4677">
              <w:rPr>
                <w:noProof/>
                <w:webHidden/>
              </w:rPr>
              <w:fldChar w:fldCharType="separate"/>
            </w:r>
            <w:r w:rsidRPr="00AA4677">
              <w:rPr>
                <w:noProof/>
                <w:webHidden/>
              </w:rPr>
              <w:t>119</w:t>
            </w:r>
            <w:r w:rsidRPr="00AA4677">
              <w:rPr>
                <w:noProof/>
                <w:webHidden/>
              </w:rPr>
              <w:fldChar w:fldCharType="end"/>
            </w:r>
          </w:hyperlink>
        </w:p>
        <w:p w14:paraId="0311C590" w14:textId="1A254201" w:rsidR="0030581A" w:rsidRPr="00AA4677" w:rsidRDefault="0030581A">
          <w:pPr>
            <w:pStyle w:val="TOC2"/>
            <w:tabs>
              <w:tab w:val="right" w:leader="dot" w:pos="9630"/>
            </w:tabs>
            <w:rPr>
              <w:rFonts w:eastAsiaTheme="minorEastAsia"/>
              <w:noProof/>
              <w:kern w:val="2"/>
              <w:szCs w:val="24"/>
              <w14:ligatures w14:val="standardContextual"/>
            </w:rPr>
          </w:pPr>
          <w:hyperlink w:anchor="_Toc192678217" w:history="1">
            <w:r w:rsidRPr="00AA4677">
              <w:rPr>
                <w:rStyle w:val="Hyperlink"/>
                <w:noProof/>
              </w:rPr>
              <w:t>6.7 Research Involving Prisoners</w:t>
            </w:r>
            <w:r w:rsidRPr="00AA4677">
              <w:rPr>
                <w:noProof/>
                <w:webHidden/>
              </w:rPr>
              <w:tab/>
            </w:r>
            <w:r w:rsidRPr="00AA4677">
              <w:rPr>
                <w:noProof/>
                <w:webHidden/>
              </w:rPr>
              <w:fldChar w:fldCharType="begin"/>
            </w:r>
            <w:r w:rsidRPr="00AA4677">
              <w:rPr>
                <w:noProof/>
                <w:webHidden/>
              </w:rPr>
              <w:instrText xml:space="preserve"> PAGEREF _Toc192678217 \h </w:instrText>
            </w:r>
            <w:r w:rsidRPr="00AA4677">
              <w:rPr>
                <w:noProof/>
                <w:webHidden/>
              </w:rPr>
            </w:r>
            <w:r w:rsidRPr="00AA4677">
              <w:rPr>
                <w:noProof/>
                <w:webHidden/>
              </w:rPr>
              <w:fldChar w:fldCharType="separate"/>
            </w:r>
            <w:r w:rsidRPr="00AA4677">
              <w:rPr>
                <w:noProof/>
                <w:webHidden/>
              </w:rPr>
              <w:t>124</w:t>
            </w:r>
            <w:r w:rsidRPr="00AA4677">
              <w:rPr>
                <w:noProof/>
                <w:webHidden/>
              </w:rPr>
              <w:fldChar w:fldCharType="end"/>
            </w:r>
          </w:hyperlink>
        </w:p>
        <w:p w14:paraId="5BD4D50A" w14:textId="4A094205" w:rsidR="0030581A" w:rsidRPr="00AA4677" w:rsidRDefault="0030581A">
          <w:pPr>
            <w:pStyle w:val="TOC2"/>
            <w:tabs>
              <w:tab w:val="right" w:leader="dot" w:pos="9630"/>
            </w:tabs>
            <w:rPr>
              <w:rFonts w:eastAsiaTheme="minorEastAsia"/>
              <w:noProof/>
              <w:kern w:val="2"/>
              <w:szCs w:val="24"/>
              <w14:ligatures w14:val="standardContextual"/>
            </w:rPr>
          </w:pPr>
          <w:hyperlink w:anchor="_Toc192678218" w:history="1">
            <w:r w:rsidRPr="00AA4677">
              <w:rPr>
                <w:rStyle w:val="Hyperlink"/>
                <w:noProof/>
              </w:rPr>
              <w:t>6.8 Research Involving Children</w:t>
            </w:r>
            <w:r w:rsidRPr="00AA4677">
              <w:rPr>
                <w:noProof/>
                <w:webHidden/>
              </w:rPr>
              <w:tab/>
            </w:r>
            <w:r w:rsidRPr="00AA4677">
              <w:rPr>
                <w:noProof/>
                <w:webHidden/>
              </w:rPr>
              <w:fldChar w:fldCharType="begin"/>
            </w:r>
            <w:r w:rsidRPr="00AA4677">
              <w:rPr>
                <w:noProof/>
                <w:webHidden/>
              </w:rPr>
              <w:instrText xml:space="preserve"> PAGEREF _Toc192678218 \h </w:instrText>
            </w:r>
            <w:r w:rsidRPr="00AA4677">
              <w:rPr>
                <w:noProof/>
                <w:webHidden/>
              </w:rPr>
            </w:r>
            <w:r w:rsidRPr="00AA4677">
              <w:rPr>
                <w:noProof/>
                <w:webHidden/>
              </w:rPr>
              <w:fldChar w:fldCharType="separate"/>
            </w:r>
            <w:r w:rsidRPr="00AA4677">
              <w:rPr>
                <w:noProof/>
                <w:webHidden/>
              </w:rPr>
              <w:t>134</w:t>
            </w:r>
            <w:r w:rsidRPr="00AA4677">
              <w:rPr>
                <w:noProof/>
                <w:webHidden/>
              </w:rPr>
              <w:fldChar w:fldCharType="end"/>
            </w:r>
          </w:hyperlink>
        </w:p>
        <w:p w14:paraId="0EFDD587" w14:textId="29B11661" w:rsidR="0030581A" w:rsidRPr="00AA4677" w:rsidRDefault="0030581A">
          <w:pPr>
            <w:pStyle w:val="TOC2"/>
            <w:tabs>
              <w:tab w:val="right" w:leader="dot" w:pos="9630"/>
            </w:tabs>
            <w:rPr>
              <w:rFonts w:eastAsiaTheme="minorEastAsia"/>
              <w:noProof/>
              <w:kern w:val="2"/>
              <w:szCs w:val="24"/>
              <w14:ligatures w14:val="standardContextual"/>
            </w:rPr>
          </w:pPr>
          <w:hyperlink w:anchor="_Toc192678219" w:history="1">
            <w:r w:rsidRPr="00AA4677">
              <w:rPr>
                <w:rStyle w:val="Hyperlink"/>
                <w:noProof/>
              </w:rPr>
              <w:t>6.9 Persons with Impaired Decision-Making Capacity</w:t>
            </w:r>
            <w:r w:rsidRPr="00AA4677">
              <w:rPr>
                <w:noProof/>
                <w:webHidden/>
              </w:rPr>
              <w:tab/>
            </w:r>
            <w:r w:rsidRPr="00AA4677">
              <w:rPr>
                <w:noProof/>
                <w:webHidden/>
              </w:rPr>
              <w:fldChar w:fldCharType="begin"/>
            </w:r>
            <w:r w:rsidRPr="00AA4677">
              <w:rPr>
                <w:noProof/>
                <w:webHidden/>
              </w:rPr>
              <w:instrText xml:space="preserve"> PAGEREF _Toc192678219 \h </w:instrText>
            </w:r>
            <w:r w:rsidRPr="00AA4677">
              <w:rPr>
                <w:noProof/>
                <w:webHidden/>
              </w:rPr>
            </w:r>
            <w:r w:rsidRPr="00AA4677">
              <w:rPr>
                <w:noProof/>
                <w:webHidden/>
              </w:rPr>
              <w:fldChar w:fldCharType="separate"/>
            </w:r>
            <w:r w:rsidRPr="00AA4677">
              <w:rPr>
                <w:noProof/>
                <w:webHidden/>
              </w:rPr>
              <w:t>139</w:t>
            </w:r>
            <w:r w:rsidRPr="00AA4677">
              <w:rPr>
                <w:noProof/>
                <w:webHidden/>
              </w:rPr>
              <w:fldChar w:fldCharType="end"/>
            </w:r>
          </w:hyperlink>
        </w:p>
        <w:p w14:paraId="3AF54DF2" w14:textId="5ADC817D" w:rsidR="0030581A" w:rsidRPr="00AA4677" w:rsidRDefault="0030581A">
          <w:pPr>
            <w:pStyle w:val="TOC1"/>
            <w:rPr>
              <w:rFonts w:eastAsiaTheme="minorEastAsia"/>
              <w:noProof/>
              <w:kern w:val="2"/>
              <w:szCs w:val="24"/>
              <w14:ligatures w14:val="standardContextual"/>
            </w:rPr>
          </w:pPr>
          <w:hyperlink w:anchor="_Toc192678220" w:history="1">
            <w:r w:rsidRPr="00AA4677">
              <w:rPr>
                <w:rStyle w:val="Hyperlink"/>
                <w:noProof/>
              </w:rPr>
              <w:t>7 FDA-Regulated Research</w:t>
            </w:r>
            <w:r w:rsidRPr="00AA4677">
              <w:rPr>
                <w:noProof/>
                <w:webHidden/>
              </w:rPr>
              <w:tab/>
            </w:r>
            <w:r w:rsidRPr="00AA4677">
              <w:rPr>
                <w:noProof/>
                <w:webHidden/>
              </w:rPr>
              <w:fldChar w:fldCharType="begin"/>
            </w:r>
            <w:r w:rsidRPr="00AA4677">
              <w:rPr>
                <w:noProof/>
                <w:webHidden/>
              </w:rPr>
              <w:instrText xml:space="preserve"> PAGEREF _Toc192678220 \h </w:instrText>
            </w:r>
            <w:r w:rsidRPr="00AA4677">
              <w:rPr>
                <w:noProof/>
                <w:webHidden/>
              </w:rPr>
            </w:r>
            <w:r w:rsidRPr="00AA4677">
              <w:rPr>
                <w:noProof/>
                <w:webHidden/>
              </w:rPr>
              <w:fldChar w:fldCharType="separate"/>
            </w:r>
            <w:r w:rsidRPr="00AA4677">
              <w:rPr>
                <w:noProof/>
                <w:webHidden/>
              </w:rPr>
              <w:t>143</w:t>
            </w:r>
            <w:r w:rsidRPr="00AA4677">
              <w:rPr>
                <w:noProof/>
                <w:webHidden/>
              </w:rPr>
              <w:fldChar w:fldCharType="end"/>
            </w:r>
          </w:hyperlink>
        </w:p>
        <w:p w14:paraId="6FBC15B4" w14:textId="599093B1" w:rsidR="0030581A" w:rsidRPr="00AA4677" w:rsidRDefault="0030581A">
          <w:pPr>
            <w:pStyle w:val="TOC2"/>
            <w:tabs>
              <w:tab w:val="right" w:leader="dot" w:pos="9630"/>
            </w:tabs>
            <w:rPr>
              <w:rFonts w:eastAsiaTheme="minorEastAsia"/>
              <w:noProof/>
              <w:kern w:val="2"/>
              <w:szCs w:val="24"/>
              <w14:ligatures w14:val="standardContextual"/>
            </w:rPr>
          </w:pPr>
          <w:hyperlink w:anchor="_Toc192678221" w:history="1">
            <w:r w:rsidRPr="00AA4677">
              <w:rPr>
                <w:rStyle w:val="Hyperlink"/>
                <w:noProof/>
              </w:rPr>
              <w:t>7.1  Definitions</w:t>
            </w:r>
            <w:r w:rsidRPr="00AA4677">
              <w:rPr>
                <w:noProof/>
                <w:webHidden/>
              </w:rPr>
              <w:tab/>
            </w:r>
            <w:r w:rsidRPr="00AA4677">
              <w:rPr>
                <w:noProof/>
                <w:webHidden/>
              </w:rPr>
              <w:fldChar w:fldCharType="begin"/>
            </w:r>
            <w:r w:rsidRPr="00AA4677">
              <w:rPr>
                <w:noProof/>
                <w:webHidden/>
              </w:rPr>
              <w:instrText xml:space="preserve"> PAGEREF _Toc192678221 \h </w:instrText>
            </w:r>
            <w:r w:rsidRPr="00AA4677">
              <w:rPr>
                <w:noProof/>
                <w:webHidden/>
              </w:rPr>
            </w:r>
            <w:r w:rsidRPr="00AA4677">
              <w:rPr>
                <w:noProof/>
                <w:webHidden/>
              </w:rPr>
              <w:fldChar w:fldCharType="separate"/>
            </w:r>
            <w:r w:rsidRPr="00AA4677">
              <w:rPr>
                <w:noProof/>
                <w:webHidden/>
              </w:rPr>
              <w:t>143</w:t>
            </w:r>
            <w:r w:rsidRPr="00AA4677">
              <w:rPr>
                <w:noProof/>
                <w:webHidden/>
              </w:rPr>
              <w:fldChar w:fldCharType="end"/>
            </w:r>
          </w:hyperlink>
        </w:p>
        <w:p w14:paraId="1D997D99" w14:textId="5857F3EA" w:rsidR="0030581A" w:rsidRPr="00AA4677" w:rsidRDefault="0030581A">
          <w:pPr>
            <w:pStyle w:val="TOC2"/>
            <w:tabs>
              <w:tab w:val="right" w:leader="dot" w:pos="9630"/>
            </w:tabs>
            <w:rPr>
              <w:rFonts w:eastAsiaTheme="minorEastAsia"/>
              <w:noProof/>
              <w:kern w:val="2"/>
              <w:szCs w:val="24"/>
              <w14:ligatures w14:val="standardContextual"/>
            </w:rPr>
          </w:pPr>
          <w:hyperlink w:anchor="_Toc192678222" w:history="1">
            <w:r w:rsidRPr="00AA4677">
              <w:rPr>
                <w:rStyle w:val="Hyperlink"/>
                <w:noProof/>
              </w:rPr>
              <w:t>7.2  FDA Exemptions</w:t>
            </w:r>
            <w:r w:rsidRPr="00AA4677">
              <w:rPr>
                <w:noProof/>
                <w:webHidden/>
              </w:rPr>
              <w:tab/>
            </w:r>
            <w:r w:rsidRPr="00AA4677">
              <w:rPr>
                <w:noProof/>
                <w:webHidden/>
              </w:rPr>
              <w:fldChar w:fldCharType="begin"/>
            </w:r>
            <w:r w:rsidRPr="00AA4677">
              <w:rPr>
                <w:noProof/>
                <w:webHidden/>
              </w:rPr>
              <w:instrText xml:space="preserve"> PAGEREF _Toc192678222 \h </w:instrText>
            </w:r>
            <w:r w:rsidRPr="00AA4677">
              <w:rPr>
                <w:noProof/>
                <w:webHidden/>
              </w:rPr>
            </w:r>
            <w:r w:rsidRPr="00AA4677">
              <w:rPr>
                <w:noProof/>
                <w:webHidden/>
              </w:rPr>
              <w:fldChar w:fldCharType="separate"/>
            </w:r>
            <w:r w:rsidRPr="00AA4677">
              <w:rPr>
                <w:noProof/>
                <w:webHidden/>
              </w:rPr>
              <w:t>145</w:t>
            </w:r>
            <w:r w:rsidRPr="00AA4677">
              <w:rPr>
                <w:noProof/>
                <w:webHidden/>
              </w:rPr>
              <w:fldChar w:fldCharType="end"/>
            </w:r>
          </w:hyperlink>
        </w:p>
        <w:p w14:paraId="24741CF1" w14:textId="02788F0E" w:rsidR="0030581A" w:rsidRPr="00AA4677" w:rsidRDefault="0030581A">
          <w:pPr>
            <w:pStyle w:val="TOC2"/>
            <w:tabs>
              <w:tab w:val="right" w:leader="dot" w:pos="9630"/>
            </w:tabs>
            <w:rPr>
              <w:rFonts w:eastAsiaTheme="minorEastAsia"/>
              <w:noProof/>
              <w:kern w:val="2"/>
              <w:szCs w:val="24"/>
              <w14:ligatures w14:val="standardContextual"/>
            </w:rPr>
          </w:pPr>
          <w:hyperlink w:anchor="_Toc192678223" w:history="1">
            <w:r w:rsidRPr="00AA4677">
              <w:rPr>
                <w:rStyle w:val="Hyperlink"/>
                <w:noProof/>
              </w:rPr>
              <w:t>7.3  Clinical Investigations of Articles Regulated as Drugs or Devices</w:t>
            </w:r>
            <w:r w:rsidRPr="00AA4677">
              <w:rPr>
                <w:noProof/>
                <w:webHidden/>
              </w:rPr>
              <w:tab/>
            </w:r>
            <w:r w:rsidRPr="00AA4677">
              <w:rPr>
                <w:noProof/>
                <w:webHidden/>
              </w:rPr>
              <w:fldChar w:fldCharType="begin"/>
            </w:r>
            <w:r w:rsidRPr="00AA4677">
              <w:rPr>
                <w:noProof/>
                <w:webHidden/>
              </w:rPr>
              <w:instrText xml:space="preserve"> PAGEREF _Toc192678223 \h </w:instrText>
            </w:r>
            <w:r w:rsidRPr="00AA4677">
              <w:rPr>
                <w:noProof/>
                <w:webHidden/>
              </w:rPr>
            </w:r>
            <w:r w:rsidRPr="00AA4677">
              <w:rPr>
                <w:noProof/>
                <w:webHidden/>
              </w:rPr>
              <w:fldChar w:fldCharType="separate"/>
            </w:r>
            <w:r w:rsidRPr="00AA4677">
              <w:rPr>
                <w:noProof/>
                <w:webHidden/>
              </w:rPr>
              <w:t>145</w:t>
            </w:r>
            <w:r w:rsidRPr="00AA4677">
              <w:rPr>
                <w:noProof/>
                <w:webHidden/>
              </w:rPr>
              <w:fldChar w:fldCharType="end"/>
            </w:r>
          </w:hyperlink>
        </w:p>
        <w:p w14:paraId="15871289" w14:textId="70E56FC9" w:rsidR="0030581A" w:rsidRPr="00AA4677" w:rsidRDefault="0030581A">
          <w:pPr>
            <w:pStyle w:val="TOC2"/>
            <w:tabs>
              <w:tab w:val="right" w:leader="dot" w:pos="9630"/>
            </w:tabs>
            <w:rPr>
              <w:rFonts w:eastAsiaTheme="minorEastAsia"/>
              <w:noProof/>
              <w:kern w:val="2"/>
              <w:szCs w:val="24"/>
              <w14:ligatures w14:val="standardContextual"/>
            </w:rPr>
          </w:pPr>
          <w:hyperlink w:anchor="_Toc192678224" w:history="1">
            <w:r w:rsidRPr="00AA4677">
              <w:rPr>
                <w:rStyle w:val="Hyperlink"/>
                <w:noProof/>
              </w:rPr>
              <w:t>7.4  Diagnostic or Treatment Use of Humanitarian Use Devices</w:t>
            </w:r>
            <w:r w:rsidRPr="00AA4677">
              <w:rPr>
                <w:noProof/>
                <w:webHidden/>
              </w:rPr>
              <w:tab/>
            </w:r>
            <w:r w:rsidRPr="00AA4677">
              <w:rPr>
                <w:noProof/>
                <w:webHidden/>
              </w:rPr>
              <w:fldChar w:fldCharType="begin"/>
            </w:r>
            <w:r w:rsidRPr="00AA4677">
              <w:rPr>
                <w:noProof/>
                <w:webHidden/>
              </w:rPr>
              <w:instrText xml:space="preserve"> PAGEREF _Toc192678224 \h </w:instrText>
            </w:r>
            <w:r w:rsidRPr="00AA4677">
              <w:rPr>
                <w:noProof/>
                <w:webHidden/>
              </w:rPr>
            </w:r>
            <w:r w:rsidRPr="00AA4677">
              <w:rPr>
                <w:noProof/>
                <w:webHidden/>
              </w:rPr>
              <w:fldChar w:fldCharType="separate"/>
            </w:r>
            <w:r w:rsidRPr="00AA4677">
              <w:rPr>
                <w:noProof/>
                <w:webHidden/>
              </w:rPr>
              <w:t>150</w:t>
            </w:r>
            <w:r w:rsidRPr="00AA4677">
              <w:rPr>
                <w:noProof/>
                <w:webHidden/>
              </w:rPr>
              <w:fldChar w:fldCharType="end"/>
            </w:r>
          </w:hyperlink>
        </w:p>
        <w:p w14:paraId="79DEC218" w14:textId="1E9BA1DA" w:rsidR="0030581A" w:rsidRPr="00AA4677" w:rsidRDefault="0030581A">
          <w:pPr>
            <w:pStyle w:val="TOC2"/>
            <w:tabs>
              <w:tab w:val="right" w:leader="dot" w:pos="9630"/>
            </w:tabs>
            <w:rPr>
              <w:rFonts w:eastAsiaTheme="minorEastAsia"/>
              <w:noProof/>
              <w:kern w:val="2"/>
              <w:szCs w:val="24"/>
              <w14:ligatures w14:val="standardContextual"/>
            </w:rPr>
          </w:pPr>
          <w:hyperlink w:anchor="_Toc192678225" w:history="1">
            <w:r w:rsidRPr="00AA4677">
              <w:rPr>
                <w:rStyle w:val="Hyperlink"/>
                <w:noProof/>
              </w:rPr>
              <w:t>7.5  Expanded Access to Investigational Drugs, Biologics, and Devices</w:t>
            </w:r>
            <w:r w:rsidRPr="00AA4677">
              <w:rPr>
                <w:noProof/>
                <w:webHidden/>
              </w:rPr>
              <w:tab/>
            </w:r>
            <w:r w:rsidRPr="00AA4677">
              <w:rPr>
                <w:noProof/>
                <w:webHidden/>
              </w:rPr>
              <w:fldChar w:fldCharType="begin"/>
            </w:r>
            <w:r w:rsidRPr="00AA4677">
              <w:rPr>
                <w:noProof/>
                <w:webHidden/>
              </w:rPr>
              <w:instrText xml:space="preserve"> PAGEREF _Toc192678225 \h </w:instrText>
            </w:r>
            <w:r w:rsidRPr="00AA4677">
              <w:rPr>
                <w:noProof/>
                <w:webHidden/>
              </w:rPr>
            </w:r>
            <w:r w:rsidRPr="00AA4677">
              <w:rPr>
                <w:noProof/>
                <w:webHidden/>
              </w:rPr>
              <w:fldChar w:fldCharType="separate"/>
            </w:r>
            <w:r w:rsidRPr="00AA4677">
              <w:rPr>
                <w:noProof/>
                <w:webHidden/>
              </w:rPr>
              <w:t>154</w:t>
            </w:r>
            <w:r w:rsidRPr="00AA4677">
              <w:rPr>
                <w:noProof/>
                <w:webHidden/>
              </w:rPr>
              <w:fldChar w:fldCharType="end"/>
            </w:r>
          </w:hyperlink>
        </w:p>
        <w:p w14:paraId="71C918FD" w14:textId="57DBCD56" w:rsidR="0030581A" w:rsidRPr="00AA4677" w:rsidRDefault="0030581A">
          <w:pPr>
            <w:pStyle w:val="TOC2"/>
            <w:tabs>
              <w:tab w:val="right" w:leader="dot" w:pos="9630"/>
            </w:tabs>
            <w:rPr>
              <w:rFonts w:eastAsiaTheme="minorEastAsia"/>
              <w:noProof/>
              <w:kern w:val="2"/>
              <w:szCs w:val="24"/>
              <w14:ligatures w14:val="standardContextual"/>
            </w:rPr>
          </w:pPr>
          <w:hyperlink w:anchor="_Toc192678226" w:history="1">
            <w:r w:rsidRPr="00AA4677">
              <w:rPr>
                <w:rStyle w:val="Hyperlink"/>
                <w:noProof/>
              </w:rPr>
              <w:t>7.6  Charging Subjects for Investigational Products</w:t>
            </w:r>
            <w:r w:rsidRPr="00AA4677">
              <w:rPr>
                <w:noProof/>
                <w:webHidden/>
              </w:rPr>
              <w:tab/>
            </w:r>
            <w:r w:rsidRPr="00AA4677">
              <w:rPr>
                <w:noProof/>
                <w:webHidden/>
              </w:rPr>
              <w:fldChar w:fldCharType="begin"/>
            </w:r>
            <w:r w:rsidRPr="00AA4677">
              <w:rPr>
                <w:noProof/>
                <w:webHidden/>
              </w:rPr>
              <w:instrText xml:space="preserve"> PAGEREF _Toc192678226 \h </w:instrText>
            </w:r>
            <w:r w:rsidRPr="00AA4677">
              <w:rPr>
                <w:noProof/>
                <w:webHidden/>
              </w:rPr>
            </w:r>
            <w:r w:rsidRPr="00AA4677">
              <w:rPr>
                <w:noProof/>
                <w:webHidden/>
              </w:rPr>
              <w:fldChar w:fldCharType="separate"/>
            </w:r>
            <w:r w:rsidRPr="00AA4677">
              <w:rPr>
                <w:noProof/>
                <w:webHidden/>
              </w:rPr>
              <w:t>166</w:t>
            </w:r>
            <w:r w:rsidRPr="00AA4677">
              <w:rPr>
                <w:noProof/>
                <w:webHidden/>
              </w:rPr>
              <w:fldChar w:fldCharType="end"/>
            </w:r>
          </w:hyperlink>
        </w:p>
        <w:p w14:paraId="4AD08EEE" w14:textId="1F46CB59" w:rsidR="0030581A" w:rsidRPr="00AA4677" w:rsidRDefault="0030581A">
          <w:pPr>
            <w:pStyle w:val="TOC2"/>
            <w:tabs>
              <w:tab w:val="right" w:leader="dot" w:pos="9630"/>
            </w:tabs>
            <w:rPr>
              <w:rFonts w:eastAsiaTheme="minorEastAsia"/>
              <w:noProof/>
              <w:kern w:val="2"/>
              <w:szCs w:val="24"/>
              <w14:ligatures w14:val="standardContextual"/>
            </w:rPr>
          </w:pPr>
          <w:hyperlink w:anchor="_Toc192678227" w:history="1">
            <w:r w:rsidRPr="00AA4677">
              <w:rPr>
                <w:rStyle w:val="Hyperlink"/>
                <w:noProof/>
              </w:rPr>
              <w:t>7.7  Responsibilities for FDA-Regulated Research</w:t>
            </w:r>
            <w:r w:rsidRPr="00AA4677">
              <w:rPr>
                <w:noProof/>
                <w:webHidden/>
              </w:rPr>
              <w:tab/>
            </w:r>
            <w:r w:rsidRPr="00AA4677">
              <w:rPr>
                <w:noProof/>
                <w:webHidden/>
              </w:rPr>
              <w:fldChar w:fldCharType="begin"/>
            </w:r>
            <w:r w:rsidRPr="00AA4677">
              <w:rPr>
                <w:noProof/>
                <w:webHidden/>
              </w:rPr>
              <w:instrText xml:space="preserve"> PAGEREF _Toc192678227 \h </w:instrText>
            </w:r>
            <w:r w:rsidRPr="00AA4677">
              <w:rPr>
                <w:noProof/>
                <w:webHidden/>
              </w:rPr>
            </w:r>
            <w:r w:rsidRPr="00AA4677">
              <w:rPr>
                <w:noProof/>
                <w:webHidden/>
              </w:rPr>
              <w:fldChar w:fldCharType="separate"/>
            </w:r>
            <w:r w:rsidRPr="00AA4677">
              <w:rPr>
                <w:noProof/>
                <w:webHidden/>
              </w:rPr>
              <w:t>167</w:t>
            </w:r>
            <w:r w:rsidRPr="00AA4677">
              <w:rPr>
                <w:noProof/>
                <w:webHidden/>
              </w:rPr>
              <w:fldChar w:fldCharType="end"/>
            </w:r>
          </w:hyperlink>
        </w:p>
        <w:p w14:paraId="3E082564" w14:textId="54C01870" w:rsidR="0030581A" w:rsidRPr="00AA4677" w:rsidRDefault="0030581A">
          <w:pPr>
            <w:pStyle w:val="TOC2"/>
            <w:tabs>
              <w:tab w:val="right" w:leader="dot" w:pos="9630"/>
            </w:tabs>
            <w:rPr>
              <w:rFonts w:eastAsiaTheme="minorEastAsia"/>
              <w:noProof/>
              <w:kern w:val="2"/>
              <w:szCs w:val="24"/>
              <w14:ligatures w14:val="standardContextual"/>
            </w:rPr>
          </w:pPr>
          <w:hyperlink w:anchor="_Toc192678228" w:history="1">
            <w:r w:rsidRPr="00AA4677">
              <w:rPr>
                <w:rStyle w:val="Hyperlink"/>
                <w:noProof/>
              </w:rPr>
              <w:t>7.8 Policy on Research with Dietary Supplements</w:t>
            </w:r>
            <w:r w:rsidRPr="00AA4677">
              <w:rPr>
                <w:noProof/>
                <w:webHidden/>
              </w:rPr>
              <w:tab/>
            </w:r>
            <w:r w:rsidRPr="00AA4677">
              <w:rPr>
                <w:noProof/>
                <w:webHidden/>
              </w:rPr>
              <w:fldChar w:fldCharType="begin"/>
            </w:r>
            <w:r w:rsidRPr="00AA4677">
              <w:rPr>
                <w:noProof/>
                <w:webHidden/>
              </w:rPr>
              <w:instrText xml:space="preserve"> PAGEREF _Toc192678228 \h </w:instrText>
            </w:r>
            <w:r w:rsidRPr="00AA4677">
              <w:rPr>
                <w:noProof/>
                <w:webHidden/>
              </w:rPr>
            </w:r>
            <w:r w:rsidRPr="00AA4677">
              <w:rPr>
                <w:noProof/>
                <w:webHidden/>
              </w:rPr>
              <w:fldChar w:fldCharType="separate"/>
            </w:r>
            <w:r w:rsidRPr="00AA4677">
              <w:rPr>
                <w:noProof/>
                <w:webHidden/>
              </w:rPr>
              <w:t>176</w:t>
            </w:r>
            <w:r w:rsidRPr="00AA4677">
              <w:rPr>
                <w:noProof/>
                <w:webHidden/>
              </w:rPr>
              <w:fldChar w:fldCharType="end"/>
            </w:r>
          </w:hyperlink>
        </w:p>
        <w:p w14:paraId="598F3A81" w14:textId="1A710BDC" w:rsidR="0030581A" w:rsidRPr="00AA4677" w:rsidRDefault="0030581A">
          <w:pPr>
            <w:pStyle w:val="TOC1"/>
            <w:rPr>
              <w:rFonts w:eastAsiaTheme="minorEastAsia"/>
              <w:noProof/>
              <w:kern w:val="2"/>
              <w:szCs w:val="24"/>
              <w14:ligatures w14:val="standardContextual"/>
            </w:rPr>
          </w:pPr>
          <w:hyperlink w:anchor="_Toc192678229" w:history="1">
            <w:r w:rsidRPr="00AA4677">
              <w:rPr>
                <w:rStyle w:val="Hyperlink"/>
                <w:noProof/>
              </w:rPr>
              <w:t>8 Unanticipated Problems Involving Risks to Subjects or Others (a type of ‘Reportable New Information-RNI’)</w:t>
            </w:r>
            <w:r w:rsidRPr="00AA4677">
              <w:rPr>
                <w:noProof/>
                <w:webHidden/>
              </w:rPr>
              <w:tab/>
            </w:r>
            <w:r w:rsidRPr="00AA4677">
              <w:rPr>
                <w:noProof/>
                <w:webHidden/>
              </w:rPr>
              <w:fldChar w:fldCharType="begin"/>
            </w:r>
            <w:r w:rsidRPr="00AA4677">
              <w:rPr>
                <w:noProof/>
                <w:webHidden/>
              </w:rPr>
              <w:instrText xml:space="preserve"> PAGEREF _Toc192678229 \h </w:instrText>
            </w:r>
            <w:r w:rsidRPr="00AA4677">
              <w:rPr>
                <w:noProof/>
                <w:webHidden/>
              </w:rPr>
            </w:r>
            <w:r w:rsidRPr="00AA4677">
              <w:rPr>
                <w:noProof/>
                <w:webHidden/>
              </w:rPr>
              <w:fldChar w:fldCharType="separate"/>
            </w:r>
            <w:r w:rsidRPr="00AA4677">
              <w:rPr>
                <w:noProof/>
                <w:webHidden/>
              </w:rPr>
              <w:t>177</w:t>
            </w:r>
            <w:r w:rsidRPr="00AA4677">
              <w:rPr>
                <w:noProof/>
                <w:webHidden/>
              </w:rPr>
              <w:fldChar w:fldCharType="end"/>
            </w:r>
          </w:hyperlink>
        </w:p>
        <w:p w14:paraId="66C44426" w14:textId="5A2347FD" w:rsidR="0030581A" w:rsidRPr="00AA4677" w:rsidRDefault="0030581A">
          <w:pPr>
            <w:pStyle w:val="TOC2"/>
            <w:tabs>
              <w:tab w:val="right" w:leader="dot" w:pos="9630"/>
            </w:tabs>
            <w:rPr>
              <w:rFonts w:eastAsiaTheme="minorEastAsia"/>
              <w:noProof/>
              <w:kern w:val="2"/>
              <w:szCs w:val="24"/>
              <w14:ligatures w14:val="standardContextual"/>
            </w:rPr>
          </w:pPr>
          <w:hyperlink w:anchor="_Toc192678230" w:history="1">
            <w:r w:rsidRPr="00AA4677">
              <w:rPr>
                <w:rStyle w:val="Hyperlink"/>
                <w:noProof/>
              </w:rPr>
              <w:t>8.1 Policy</w:t>
            </w:r>
            <w:r w:rsidRPr="00AA4677">
              <w:rPr>
                <w:noProof/>
                <w:webHidden/>
              </w:rPr>
              <w:tab/>
            </w:r>
            <w:r w:rsidRPr="00AA4677">
              <w:rPr>
                <w:noProof/>
                <w:webHidden/>
              </w:rPr>
              <w:fldChar w:fldCharType="begin"/>
            </w:r>
            <w:r w:rsidRPr="00AA4677">
              <w:rPr>
                <w:noProof/>
                <w:webHidden/>
              </w:rPr>
              <w:instrText xml:space="preserve"> PAGEREF _Toc192678230 \h </w:instrText>
            </w:r>
            <w:r w:rsidRPr="00AA4677">
              <w:rPr>
                <w:noProof/>
                <w:webHidden/>
              </w:rPr>
            </w:r>
            <w:r w:rsidRPr="00AA4677">
              <w:rPr>
                <w:noProof/>
                <w:webHidden/>
              </w:rPr>
              <w:fldChar w:fldCharType="separate"/>
            </w:r>
            <w:r w:rsidRPr="00AA4677">
              <w:rPr>
                <w:noProof/>
                <w:webHidden/>
              </w:rPr>
              <w:t>177</w:t>
            </w:r>
            <w:r w:rsidRPr="00AA4677">
              <w:rPr>
                <w:noProof/>
                <w:webHidden/>
              </w:rPr>
              <w:fldChar w:fldCharType="end"/>
            </w:r>
          </w:hyperlink>
        </w:p>
        <w:p w14:paraId="1277451E" w14:textId="11589A9E" w:rsidR="0030581A" w:rsidRPr="00AA4677" w:rsidRDefault="0030581A">
          <w:pPr>
            <w:pStyle w:val="TOC2"/>
            <w:tabs>
              <w:tab w:val="right" w:leader="dot" w:pos="9630"/>
            </w:tabs>
            <w:rPr>
              <w:rFonts w:eastAsiaTheme="minorEastAsia"/>
              <w:noProof/>
              <w:kern w:val="2"/>
              <w:szCs w:val="24"/>
              <w14:ligatures w14:val="standardContextual"/>
            </w:rPr>
          </w:pPr>
          <w:hyperlink w:anchor="_Toc192678231" w:history="1">
            <w:r w:rsidRPr="00AA4677">
              <w:rPr>
                <w:rStyle w:val="Hyperlink"/>
                <w:noProof/>
              </w:rPr>
              <w:t>8.2 Definitions</w:t>
            </w:r>
            <w:r w:rsidRPr="00AA4677">
              <w:rPr>
                <w:noProof/>
                <w:webHidden/>
              </w:rPr>
              <w:tab/>
            </w:r>
            <w:r w:rsidRPr="00AA4677">
              <w:rPr>
                <w:noProof/>
                <w:webHidden/>
              </w:rPr>
              <w:fldChar w:fldCharType="begin"/>
            </w:r>
            <w:r w:rsidRPr="00AA4677">
              <w:rPr>
                <w:noProof/>
                <w:webHidden/>
              </w:rPr>
              <w:instrText xml:space="preserve"> PAGEREF _Toc192678231 \h </w:instrText>
            </w:r>
            <w:r w:rsidRPr="00AA4677">
              <w:rPr>
                <w:noProof/>
                <w:webHidden/>
              </w:rPr>
            </w:r>
            <w:r w:rsidRPr="00AA4677">
              <w:rPr>
                <w:noProof/>
                <w:webHidden/>
              </w:rPr>
              <w:fldChar w:fldCharType="separate"/>
            </w:r>
            <w:r w:rsidRPr="00AA4677">
              <w:rPr>
                <w:noProof/>
                <w:webHidden/>
              </w:rPr>
              <w:t>177</w:t>
            </w:r>
            <w:r w:rsidRPr="00AA4677">
              <w:rPr>
                <w:noProof/>
                <w:webHidden/>
              </w:rPr>
              <w:fldChar w:fldCharType="end"/>
            </w:r>
          </w:hyperlink>
        </w:p>
        <w:p w14:paraId="04A3452D" w14:textId="214736A0" w:rsidR="0030581A" w:rsidRPr="00AA4677" w:rsidRDefault="0030581A">
          <w:pPr>
            <w:pStyle w:val="TOC2"/>
            <w:tabs>
              <w:tab w:val="right" w:leader="dot" w:pos="9630"/>
            </w:tabs>
            <w:rPr>
              <w:rFonts w:eastAsiaTheme="minorEastAsia"/>
              <w:noProof/>
              <w:kern w:val="2"/>
              <w:szCs w:val="24"/>
              <w14:ligatures w14:val="standardContextual"/>
            </w:rPr>
          </w:pPr>
          <w:hyperlink w:anchor="_Toc192678232" w:history="1">
            <w:r w:rsidRPr="00AA4677">
              <w:rPr>
                <w:rStyle w:val="Hyperlink"/>
                <w:noProof/>
              </w:rPr>
              <w:t>8.3 Procedures</w:t>
            </w:r>
            <w:r w:rsidRPr="00AA4677">
              <w:rPr>
                <w:noProof/>
                <w:webHidden/>
              </w:rPr>
              <w:tab/>
            </w:r>
            <w:r w:rsidRPr="00AA4677">
              <w:rPr>
                <w:noProof/>
                <w:webHidden/>
              </w:rPr>
              <w:fldChar w:fldCharType="begin"/>
            </w:r>
            <w:r w:rsidRPr="00AA4677">
              <w:rPr>
                <w:noProof/>
                <w:webHidden/>
              </w:rPr>
              <w:instrText xml:space="preserve"> PAGEREF _Toc192678232 \h </w:instrText>
            </w:r>
            <w:r w:rsidRPr="00AA4677">
              <w:rPr>
                <w:noProof/>
                <w:webHidden/>
              </w:rPr>
            </w:r>
            <w:r w:rsidRPr="00AA4677">
              <w:rPr>
                <w:noProof/>
                <w:webHidden/>
              </w:rPr>
              <w:fldChar w:fldCharType="separate"/>
            </w:r>
            <w:r w:rsidRPr="00AA4677">
              <w:rPr>
                <w:noProof/>
                <w:webHidden/>
              </w:rPr>
              <w:t>178</w:t>
            </w:r>
            <w:r w:rsidRPr="00AA4677">
              <w:rPr>
                <w:noProof/>
                <w:webHidden/>
              </w:rPr>
              <w:fldChar w:fldCharType="end"/>
            </w:r>
          </w:hyperlink>
        </w:p>
        <w:p w14:paraId="06A18872" w14:textId="41725D1E" w:rsidR="0030581A" w:rsidRPr="00AA4677" w:rsidRDefault="0030581A">
          <w:pPr>
            <w:pStyle w:val="TOC1"/>
            <w:rPr>
              <w:rFonts w:eastAsiaTheme="minorEastAsia"/>
              <w:noProof/>
              <w:kern w:val="2"/>
              <w:szCs w:val="24"/>
              <w14:ligatures w14:val="standardContextual"/>
            </w:rPr>
          </w:pPr>
          <w:hyperlink w:anchor="_Toc192678233" w:history="1">
            <w:r w:rsidRPr="00AA4677">
              <w:rPr>
                <w:rStyle w:val="Hyperlink"/>
                <w:noProof/>
              </w:rPr>
              <w:t>9  Protocol Exceptions or Deviations</w:t>
            </w:r>
            <w:r w:rsidRPr="00AA4677">
              <w:rPr>
                <w:noProof/>
                <w:webHidden/>
              </w:rPr>
              <w:tab/>
            </w:r>
            <w:r w:rsidRPr="00AA4677">
              <w:rPr>
                <w:noProof/>
                <w:webHidden/>
              </w:rPr>
              <w:fldChar w:fldCharType="begin"/>
            </w:r>
            <w:r w:rsidRPr="00AA4677">
              <w:rPr>
                <w:noProof/>
                <w:webHidden/>
              </w:rPr>
              <w:instrText xml:space="preserve"> PAGEREF _Toc192678233 \h </w:instrText>
            </w:r>
            <w:r w:rsidRPr="00AA4677">
              <w:rPr>
                <w:noProof/>
                <w:webHidden/>
              </w:rPr>
            </w:r>
            <w:r w:rsidRPr="00AA4677">
              <w:rPr>
                <w:noProof/>
                <w:webHidden/>
              </w:rPr>
              <w:fldChar w:fldCharType="separate"/>
            </w:r>
            <w:r w:rsidRPr="00AA4677">
              <w:rPr>
                <w:noProof/>
                <w:webHidden/>
              </w:rPr>
              <w:t>181</w:t>
            </w:r>
            <w:r w:rsidRPr="00AA4677">
              <w:rPr>
                <w:noProof/>
                <w:webHidden/>
              </w:rPr>
              <w:fldChar w:fldCharType="end"/>
            </w:r>
          </w:hyperlink>
        </w:p>
        <w:p w14:paraId="7DFC409F" w14:textId="571B41DB" w:rsidR="0030581A" w:rsidRPr="00AA4677" w:rsidRDefault="0030581A">
          <w:pPr>
            <w:pStyle w:val="TOC2"/>
            <w:tabs>
              <w:tab w:val="right" w:leader="dot" w:pos="9630"/>
            </w:tabs>
            <w:rPr>
              <w:rFonts w:eastAsiaTheme="minorEastAsia"/>
              <w:noProof/>
              <w:kern w:val="2"/>
              <w:szCs w:val="24"/>
              <w14:ligatures w14:val="standardContextual"/>
            </w:rPr>
          </w:pPr>
          <w:hyperlink w:anchor="_Toc192678234" w:history="1">
            <w:r w:rsidRPr="00AA4677">
              <w:rPr>
                <w:rStyle w:val="Hyperlink"/>
                <w:noProof/>
              </w:rPr>
              <w:t>9.1  Policy</w:t>
            </w:r>
            <w:r w:rsidRPr="00AA4677">
              <w:rPr>
                <w:noProof/>
                <w:webHidden/>
              </w:rPr>
              <w:tab/>
            </w:r>
            <w:r w:rsidRPr="00AA4677">
              <w:rPr>
                <w:noProof/>
                <w:webHidden/>
              </w:rPr>
              <w:fldChar w:fldCharType="begin"/>
            </w:r>
            <w:r w:rsidRPr="00AA4677">
              <w:rPr>
                <w:noProof/>
                <w:webHidden/>
              </w:rPr>
              <w:instrText xml:space="preserve"> PAGEREF _Toc192678234 \h </w:instrText>
            </w:r>
            <w:r w:rsidRPr="00AA4677">
              <w:rPr>
                <w:noProof/>
                <w:webHidden/>
              </w:rPr>
            </w:r>
            <w:r w:rsidRPr="00AA4677">
              <w:rPr>
                <w:noProof/>
                <w:webHidden/>
              </w:rPr>
              <w:fldChar w:fldCharType="separate"/>
            </w:r>
            <w:r w:rsidRPr="00AA4677">
              <w:rPr>
                <w:noProof/>
                <w:webHidden/>
              </w:rPr>
              <w:t>181</w:t>
            </w:r>
            <w:r w:rsidRPr="00AA4677">
              <w:rPr>
                <w:noProof/>
                <w:webHidden/>
              </w:rPr>
              <w:fldChar w:fldCharType="end"/>
            </w:r>
          </w:hyperlink>
        </w:p>
        <w:p w14:paraId="51481157" w14:textId="03DE8EE3" w:rsidR="0030581A" w:rsidRPr="00AA4677" w:rsidRDefault="0030581A">
          <w:pPr>
            <w:pStyle w:val="TOC2"/>
            <w:tabs>
              <w:tab w:val="right" w:leader="dot" w:pos="9630"/>
            </w:tabs>
            <w:rPr>
              <w:rFonts w:eastAsiaTheme="minorEastAsia"/>
              <w:noProof/>
              <w:kern w:val="2"/>
              <w:szCs w:val="24"/>
              <w14:ligatures w14:val="standardContextual"/>
            </w:rPr>
          </w:pPr>
          <w:hyperlink w:anchor="_Toc192678235" w:history="1">
            <w:r w:rsidRPr="00AA4677">
              <w:rPr>
                <w:rStyle w:val="Hyperlink"/>
                <w:noProof/>
              </w:rPr>
              <w:t>9.3 Protocol Deviations (a type of ‘Reportable New Information; RNI)</w:t>
            </w:r>
            <w:r w:rsidRPr="00AA4677">
              <w:rPr>
                <w:noProof/>
                <w:webHidden/>
              </w:rPr>
              <w:tab/>
            </w:r>
            <w:r w:rsidRPr="00AA4677">
              <w:rPr>
                <w:noProof/>
                <w:webHidden/>
              </w:rPr>
              <w:fldChar w:fldCharType="begin"/>
            </w:r>
            <w:r w:rsidRPr="00AA4677">
              <w:rPr>
                <w:noProof/>
                <w:webHidden/>
              </w:rPr>
              <w:instrText xml:space="preserve"> PAGEREF _Toc192678235 \h </w:instrText>
            </w:r>
            <w:r w:rsidRPr="00AA4677">
              <w:rPr>
                <w:noProof/>
                <w:webHidden/>
              </w:rPr>
            </w:r>
            <w:r w:rsidRPr="00AA4677">
              <w:rPr>
                <w:noProof/>
                <w:webHidden/>
              </w:rPr>
              <w:fldChar w:fldCharType="separate"/>
            </w:r>
            <w:r w:rsidRPr="00AA4677">
              <w:rPr>
                <w:noProof/>
                <w:webHidden/>
              </w:rPr>
              <w:t>182</w:t>
            </w:r>
            <w:r w:rsidRPr="00AA4677">
              <w:rPr>
                <w:noProof/>
                <w:webHidden/>
              </w:rPr>
              <w:fldChar w:fldCharType="end"/>
            </w:r>
          </w:hyperlink>
        </w:p>
        <w:p w14:paraId="54CE20EE" w14:textId="40E6DAA8" w:rsidR="0030581A" w:rsidRPr="00AA4677" w:rsidRDefault="0030581A">
          <w:pPr>
            <w:pStyle w:val="TOC2"/>
            <w:tabs>
              <w:tab w:val="right" w:leader="dot" w:pos="9630"/>
            </w:tabs>
            <w:rPr>
              <w:rFonts w:eastAsiaTheme="minorEastAsia"/>
              <w:noProof/>
              <w:kern w:val="2"/>
              <w:szCs w:val="24"/>
              <w14:ligatures w14:val="standardContextual"/>
            </w:rPr>
          </w:pPr>
          <w:hyperlink w:anchor="_Toc192678236" w:history="1">
            <w:r w:rsidRPr="00AA4677">
              <w:rPr>
                <w:rStyle w:val="Hyperlink"/>
                <w:noProof/>
              </w:rPr>
              <w:t>9.4 Reporting &amp; Review</w:t>
            </w:r>
            <w:r w:rsidRPr="00AA4677">
              <w:rPr>
                <w:noProof/>
                <w:webHidden/>
              </w:rPr>
              <w:tab/>
            </w:r>
            <w:r w:rsidRPr="00AA4677">
              <w:rPr>
                <w:noProof/>
                <w:webHidden/>
              </w:rPr>
              <w:fldChar w:fldCharType="begin"/>
            </w:r>
            <w:r w:rsidRPr="00AA4677">
              <w:rPr>
                <w:noProof/>
                <w:webHidden/>
              </w:rPr>
              <w:instrText xml:space="preserve"> PAGEREF _Toc192678236 \h </w:instrText>
            </w:r>
            <w:r w:rsidRPr="00AA4677">
              <w:rPr>
                <w:noProof/>
                <w:webHidden/>
              </w:rPr>
            </w:r>
            <w:r w:rsidRPr="00AA4677">
              <w:rPr>
                <w:noProof/>
                <w:webHidden/>
              </w:rPr>
              <w:fldChar w:fldCharType="separate"/>
            </w:r>
            <w:r w:rsidRPr="00AA4677">
              <w:rPr>
                <w:noProof/>
                <w:webHidden/>
              </w:rPr>
              <w:t>182</w:t>
            </w:r>
            <w:r w:rsidRPr="00AA4677">
              <w:rPr>
                <w:noProof/>
                <w:webHidden/>
              </w:rPr>
              <w:fldChar w:fldCharType="end"/>
            </w:r>
          </w:hyperlink>
        </w:p>
        <w:p w14:paraId="02D21AA3" w14:textId="0FA36ACF" w:rsidR="0030581A" w:rsidRPr="00AA4677" w:rsidRDefault="0030581A">
          <w:pPr>
            <w:pStyle w:val="TOC1"/>
            <w:rPr>
              <w:rFonts w:eastAsiaTheme="minorEastAsia"/>
              <w:noProof/>
              <w:kern w:val="2"/>
              <w:szCs w:val="24"/>
              <w14:ligatures w14:val="standardContextual"/>
            </w:rPr>
          </w:pPr>
          <w:hyperlink w:anchor="_Toc192678237" w:history="1">
            <w:r w:rsidRPr="00AA4677">
              <w:rPr>
                <w:rStyle w:val="Hyperlink"/>
                <w:noProof/>
              </w:rPr>
              <w:t>10 Complaints and Non-compliance (types of ‘Reportable New Information- RNI’)</w:t>
            </w:r>
            <w:r w:rsidRPr="00AA4677">
              <w:rPr>
                <w:noProof/>
                <w:webHidden/>
              </w:rPr>
              <w:tab/>
            </w:r>
            <w:r w:rsidRPr="00AA4677">
              <w:rPr>
                <w:noProof/>
                <w:webHidden/>
              </w:rPr>
              <w:fldChar w:fldCharType="begin"/>
            </w:r>
            <w:r w:rsidRPr="00AA4677">
              <w:rPr>
                <w:noProof/>
                <w:webHidden/>
              </w:rPr>
              <w:instrText xml:space="preserve"> PAGEREF _Toc192678237 \h </w:instrText>
            </w:r>
            <w:r w:rsidRPr="00AA4677">
              <w:rPr>
                <w:noProof/>
                <w:webHidden/>
              </w:rPr>
            </w:r>
            <w:r w:rsidRPr="00AA4677">
              <w:rPr>
                <w:noProof/>
                <w:webHidden/>
              </w:rPr>
              <w:fldChar w:fldCharType="separate"/>
            </w:r>
            <w:r w:rsidRPr="00AA4677">
              <w:rPr>
                <w:noProof/>
                <w:webHidden/>
              </w:rPr>
              <w:t>183</w:t>
            </w:r>
            <w:r w:rsidRPr="00AA4677">
              <w:rPr>
                <w:noProof/>
                <w:webHidden/>
              </w:rPr>
              <w:fldChar w:fldCharType="end"/>
            </w:r>
          </w:hyperlink>
        </w:p>
        <w:p w14:paraId="5154A054" w14:textId="02EA9554" w:rsidR="0030581A" w:rsidRPr="00AA4677" w:rsidRDefault="0030581A">
          <w:pPr>
            <w:pStyle w:val="TOC2"/>
            <w:tabs>
              <w:tab w:val="right" w:leader="dot" w:pos="9630"/>
            </w:tabs>
            <w:rPr>
              <w:rFonts w:eastAsiaTheme="minorEastAsia"/>
              <w:noProof/>
              <w:kern w:val="2"/>
              <w:szCs w:val="24"/>
              <w14:ligatures w14:val="standardContextual"/>
            </w:rPr>
          </w:pPr>
          <w:hyperlink w:anchor="_Toc192678238" w:history="1">
            <w:r w:rsidRPr="00AA4677">
              <w:rPr>
                <w:rStyle w:val="Hyperlink"/>
                <w:noProof/>
              </w:rPr>
              <w:t>10.1 Policy</w:t>
            </w:r>
            <w:r w:rsidRPr="00AA4677">
              <w:rPr>
                <w:noProof/>
                <w:webHidden/>
              </w:rPr>
              <w:tab/>
            </w:r>
            <w:r w:rsidRPr="00AA4677">
              <w:rPr>
                <w:noProof/>
                <w:webHidden/>
              </w:rPr>
              <w:fldChar w:fldCharType="begin"/>
            </w:r>
            <w:r w:rsidRPr="00AA4677">
              <w:rPr>
                <w:noProof/>
                <w:webHidden/>
              </w:rPr>
              <w:instrText xml:space="preserve"> PAGEREF _Toc192678238 \h </w:instrText>
            </w:r>
            <w:r w:rsidRPr="00AA4677">
              <w:rPr>
                <w:noProof/>
                <w:webHidden/>
              </w:rPr>
            </w:r>
            <w:r w:rsidRPr="00AA4677">
              <w:rPr>
                <w:noProof/>
                <w:webHidden/>
              </w:rPr>
              <w:fldChar w:fldCharType="separate"/>
            </w:r>
            <w:r w:rsidRPr="00AA4677">
              <w:rPr>
                <w:noProof/>
                <w:webHidden/>
              </w:rPr>
              <w:t>183</w:t>
            </w:r>
            <w:r w:rsidRPr="00AA4677">
              <w:rPr>
                <w:noProof/>
                <w:webHidden/>
              </w:rPr>
              <w:fldChar w:fldCharType="end"/>
            </w:r>
          </w:hyperlink>
        </w:p>
        <w:p w14:paraId="36978A70" w14:textId="0334B262" w:rsidR="0030581A" w:rsidRPr="00AA4677" w:rsidRDefault="0030581A">
          <w:pPr>
            <w:pStyle w:val="TOC2"/>
            <w:tabs>
              <w:tab w:val="right" w:leader="dot" w:pos="9630"/>
            </w:tabs>
            <w:rPr>
              <w:rFonts w:eastAsiaTheme="minorEastAsia"/>
              <w:noProof/>
              <w:kern w:val="2"/>
              <w:szCs w:val="24"/>
              <w14:ligatures w14:val="standardContextual"/>
            </w:rPr>
          </w:pPr>
          <w:hyperlink w:anchor="_Toc192678239" w:history="1">
            <w:r w:rsidRPr="00AA4677">
              <w:rPr>
                <w:rStyle w:val="Hyperlink"/>
                <w:noProof/>
              </w:rPr>
              <w:t>10.2 Definitions</w:t>
            </w:r>
            <w:r w:rsidRPr="00AA4677">
              <w:rPr>
                <w:noProof/>
                <w:webHidden/>
              </w:rPr>
              <w:tab/>
            </w:r>
            <w:r w:rsidRPr="00AA4677">
              <w:rPr>
                <w:noProof/>
                <w:webHidden/>
              </w:rPr>
              <w:fldChar w:fldCharType="begin"/>
            </w:r>
            <w:r w:rsidRPr="00AA4677">
              <w:rPr>
                <w:noProof/>
                <w:webHidden/>
              </w:rPr>
              <w:instrText xml:space="preserve"> PAGEREF _Toc192678239 \h </w:instrText>
            </w:r>
            <w:r w:rsidRPr="00AA4677">
              <w:rPr>
                <w:noProof/>
                <w:webHidden/>
              </w:rPr>
            </w:r>
            <w:r w:rsidRPr="00AA4677">
              <w:rPr>
                <w:noProof/>
                <w:webHidden/>
              </w:rPr>
              <w:fldChar w:fldCharType="separate"/>
            </w:r>
            <w:r w:rsidRPr="00AA4677">
              <w:rPr>
                <w:noProof/>
                <w:webHidden/>
              </w:rPr>
              <w:t>183</w:t>
            </w:r>
            <w:r w:rsidRPr="00AA4677">
              <w:rPr>
                <w:noProof/>
                <w:webHidden/>
              </w:rPr>
              <w:fldChar w:fldCharType="end"/>
            </w:r>
          </w:hyperlink>
        </w:p>
        <w:p w14:paraId="6EA6C5F3" w14:textId="77F86598" w:rsidR="0030581A" w:rsidRPr="00AA4677" w:rsidRDefault="0030581A">
          <w:pPr>
            <w:pStyle w:val="TOC2"/>
            <w:tabs>
              <w:tab w:val="right" w:leader="dot" w:pos="9630"/>
            </w:tabs>
            <w:rPr>
              <w:rFonts w:eastAsiaTheme="minorEastAsia"/>
              <w:noProof/>
              <w:kern w:val="2"/>
              <w:szCs w:val="24"/>
              <w14:ligatures w14:val="standardContextual"/>
            </w:rPr>
          </w:pPr>
          <w:hyperlink w:anchor="_Toc192678240" w:history="1">
            <w:r w:rsidRPr="00AA4677">
              <w:rPr>
                <w:rStyle w:val="Hyperlink"/>
                <w:noProof/>
              </w:rPr>
              <w:t>10.3 Complaints</w:t>
            </w:r>
            <w:r w:rsidRPr="00AA4677">
              <w:rPr>
                <w:noProof/>
                <w:webHidden/>
              </w:rPr>
              <w:tab/>
            </w:r>
            <w:r w:rsidRPr="00AA4677">
              <w:rPr>
                <w:noProof/>
                <w:webHidden/>
              </w:rPr>
              <w:fldChar w:fldCharType="begin"/>
            </w:r>
            <w:r w:rsidRPr="00AA4677">
              <w:rPr>
                <w:noProof/>
                <w:webHidden/>
              </w:rPr>
              <w:instrText xml:space="preserve"> PAGEREF _Toc192678240 \h </w:instrText>
            </w:r>
            <w:r w:rsidRPr="00AA4677">
              <w:rPr>
                <w:noProof/>
                <w:webHidden/>
              </w:rPr>
            </w:r>
            <w:r w:rsidRPr="00AA4677">
              <w:rPr>
                <w:noProof/>
                <w:webHidden/>
              </w:rPr>
              <w:fldChar w:fldCharType="separate"/>
            </w:r>
            <w:r w:rsidRPr="00AA4677">
              <w:rPr>
                <w:noProof/>
                <w:webHidden/>
              </w:rPr>
              <w:t>184</w:t>
            </w:r>
            <w:r w:rsidRPr="00AA4677">
              <w:rPr>
                <w:noProof/>
                <w:webHidden/>
              </w:rPr>
              <w:fldChar w:fldCharType="end"/>
            </w:r>
          </w:hyperlink>
        </w:p>
        <w:p w14:paraId="0F04DE43" w14:textId="18F348EE" w:rsidR="0030581A" w:rsidRPr="00AA4677" w:rsidRDefault="0030581A">
          <w:pPr>
            <w:pStyle w:val="TOC2"/>
            <w:tabs>
              <w:tab w:val="right" w:leader="dot" w:pos="9630"/>
            </w:tabs>
            <w:rPr>
              <w:rFonts w:eastAsiaTheme="minorEastAsia"/>
              <w:noProof/>
              <w:kern w:val="2"/>
              <w:szCs w:val="24"/>
              <w14:ligatures w14:val="standardContextual"/>
            </w:rPr>
          </w:pPr>
          <w:hyperlink w:anchor="_Toc192678241" w:history="1">
            <w:r w:rsidRPr="00AA4677">
              <w:rPr>
                <w:rStyle w:val="Hyperlink"/>
                <w:noProof/>
              </w:rPr>
              <w:t>10.4 Non-compliance</w:t>
            </w:r>
            <w:r w:rsidRPr="00AA4677">
              <w:rPr>
                <w:noProof/>
                <w:webHidden/>
              </w:rPr>
              <w:tab/>
            </w:r>
            <w:r w:rsidRPr="00AA4677">
              <w:rPr>
                <w:noProof/>
                <w:webHidden/>
              </w:rPr>
              <w:fldChar w:fldCharType="begin"/>
            </w:r>
            <w:r w:rsidRPr="00AA4677">
              <w:rPr>
                <w:noProof/>
                <w:webHidden/>
              </w:rPr>
              <w:instrText xml:space="preserve"> PAGEREF _Toc192678241 \h </w:instrText>
            </w:r>
            <w:r w:rsidRPr="00AA4677">
              <w:rPr>
                <w:noProof/>
                <w:webHidden/>
              </w:rPr>
            </w:r>
            <w:r w:rsidRPr="00AA4677">
              <w:rPr>
                <w:noProof/>
                <w:webHidden/>
              </w:rPr>
              <w:fldChar w:fldCharType="separate"/>
            </w:r>
            <w:r w:rsidRPr="00AA4677">
              <w:rPr>
                <w:noProof/>
                <w:webHidden/>
              </w:rPr>
              <w:t>184</w:t>
            </w:r>
            <w:r w:rsidRPr="00AA4677">
              <w:rPr>
                <w:noProof/>
                <w:webHidden/>
              </w:rPr>
              <w:fldChar w:fldCharType="end"/>
            </w:r>
          </w:hyperlink>
        </w:p>
        <w:p w14:paraId="48CF61DE" w14:textId="69626199" w:rsidR="0030581A" w:rsidRPr="00AA4677" w:rsidRDefault="0030581A">
          <w:pPr>
            <w:pStyle w:val="TOC1"/>
            <w:rPr>
              <w:rFonts w:eastAsiaTheme="minorEastAsia"/>
              <w:noProof/>
              <w:kern w:val="2"/>
              <w:szCs w:val="24"/>
              <w14:ligatures w14:val="standardContextual"/>
            </w:rPr>
          </w:pPr>
          <w:hyperlink w:anchor="_Toc192678242" w:history="1">
            <w:r w:rsidRPr="00AA4677">
              <w:rPr>
                <w:rStyle w:val="Hyperlink"/>
                <w:noProof/>
              </w:rPr>
              <w:t>11 Reporting to Regulatory Agencies and Institutional Officials</w:t>
            </w:r>
            <w:r w:rsidRPr="00AA4677">
              <w:rPr>
                <w:noProof/>
                <w:webHidden/>
              </w:rPr>
              <w:tab/>
            </w:r>
            <w:r w:rsidRPr="00AA4677">
              <w:rPr>
                <w:noProof/>
                <w:webHidden/>
              </w:rPr>
              <w:fldChar w:fldCharType="begin"/>
            </w:r>
            <w:r w:rsidRPr="00AA4677">
              <w:rPr>
                <w:noProof/>
                <w:webHidden/>
              </w:rPr>
              <w:instrText xml:space="preserve"> PAGEREF _Toc192678242 \h </w:instrText>
            </w:r>
            <w:r w:rsidRPr="00AA4677">
              <w:rPr>
                <w:noProof/>
                <w:webHidden/>
              </w:rPr>
            </w:r>
            <w:r w:rsidRPr="00AA4677">
              <w:rPr>
                <w:noProof/>
                <w:webHidden/>
              </w:rPr>
              <w:fldChar w:fldCharType="separate"/>
            </w:r>
            <w:r w:rsidRPr="00AA4677">
              <w:rPr>
                <w:noProof/>
                <w:webHidden/>
              </w:rPr>
              <w:t>186</w:t>
            </w:r>
            <w:r w:rsidRPr="00AA4677">
              <w:rPr>
                <w:noProof/>
                <w:webHidden/>
              </w:rPr>
              <w:fldChar w:fldCharType="end"/>
            </w:r>
          </w:hyperlink>
        </w:p>
        <w:p w14:paraId="56EA5DF6" w14:textId="43C8451F" w:rsidR="0030581A" w:rsidRPr="00AA4677" w:rsidRDefault="0030581A">
          <w:pPr>
            <w:pStyle w:val="TOC2"/>
            <w:tabs>
              <w:tab w:val="right" w:leader="dot" w:pos="9630"/>
            </w:tabs>
            <w:rPr>
              <w:rFonts w:eastAsiaTheme="minorEastAsia"/>
              <w:noProof/>
              <w:kern w:val="2"/>
              <w:szCs w:val="24"/>
              <w14:ligatures w14:val="standardContextual"/>
            </w:rPr>
          </w:pPr>
          <w:hyperlink w:anchor="_Toc192678243" w:history="1">
            <w:r w:rsidRPr="00AA4677">
              <w:rPr>
                <w:rStyle w:val="Hyperlink"/>
                <w:noProof/>
              </w:rPr>
              <w:t>11.1 Policy</w:t>
            </w:r>
            <w:r w:rsidRPr="00AA4677">
              <w:rPr>
                <w:noProof/>
                <w:webHidden/>
              </w:rPr>
              <w:tab/>
            </w:r>
            <w:r w:rsidRPr="00AA4677">
              <w:rPr>
                <w:noProof/>
                <w:webHidden/>
              </w:rPr>
              <w:fldChar w:fldCharType="begin"/>
            </w:r>
            <w:r w:rsidRPr="00AA4677">
              <w:rPr>
                <w:noProof/>
                <w:webHidden/>
              </w:rPr>
              <w:instrText xml:space="preserve"> PAGEREF _Toc192678243 \h </w:instrText>
            </w:r>
            <w:r w:rsidRPr="00AA4677">
              <w:rPr>
                <w:noProof/>
                <w:webHidden/>
              </w:rPr>
            </w:r>
            <w:r w:rsidRPr="00AA4677">
              <w:rPr>
                <w:noProof/>
                <w:webHidden/>
              </w:rPr>
              <w:fldChar w:fldCharType="separate"/>
            </w:r>
            <w:r w:rsidRPr="00AA4677">
              <w:rPr>
                <w:noProof/>
                <w:webHidden/>
              </w:rPr>
              <w:t>186</w:t>
            </w:r>
            <w:r w:rsidRPr="00AA4677">
              <w:rPr>
                <w:noProof/>
                <w:webHidden/>
              </w:rPr>
              <w:fldChar w:fldCharType="end"/>
            </w:r>
          </w:hyperlink>
        </w:p>
        <w:p w14:paraId="782377D0" w14:textId="4E01AEF3" w:rsidR="0030581A" w:rsidRPr="00AA4677" w:rsidRDefault="0030581A">
          <w:pPr>
            <w:pStyle w:val="TOC2"/>
            <w:tabs>
              <w:tab w:val="right" w:leader="dot" w:pos="9630"/>
            </w:tabs>
            <w:rPr>
              <w:rFonts w:eastAsiaTheme="minorEastAsia"/>
              <w:noProof/>
              <w:kern w:val="2"/>
              <w:szCs w:val="24"/>
              <w14:ligatures w14:val="standardContextual"/>
            </w:rPr>
          </w:pPr>
          <w:hyperlink w:anchor="_Toc192678244" w:history="1">
            <w:r w:rsidRPr="00AA4677">
              <w:rPr>
                <w:rStyle w:val="Hyperlink"/>
                <w:noProof/>
              </w:rPr>
              <w:t>11.2 Procedures</w:t>
            </w:r>
            <w:r w:rsidRPr="00AA4677">
              <w:rPr>
                <w:noProof/>
                <w:webHidden/>
              </w:rPr>
              <w:tab/>
            </w:r>
            <w:r w:rsidRPr="00AA4677">
              <w:rPr>
                <w:noProof/>
                <w:webHidden/>
              </w:rPr>
              <w:fldChar w:fldCharType="begin"/>
            </w:r>
            <w:r w:rsidRPr="00AA4677">
              <w:rPr>
                <w:noProof/>
                <w:webHidden/>
              </w:rPr>
              <w:instrText xml:space="preserve"> PAGEREF _Toc192678244 \h </w:instrText>
            </w:r>
            <w:r w:rsidRPr="00AA4677">
              <w:rPr>
                <w:noProof/>
                <w:webHidden/>
              </w:rPr>
            </w:r>
            <w:r w:rsidRPr="00AA4677">
              <w:rPr>
                <w:noProof/>
                <w:webHidden/>
              </w:rPr>
              <w:fldChar w:fldCharType="separate"/>
            </w:r>
            <w:r w:rsidRPr="00AA4677">
              <w:rPr>
                <w:noProof/>
                <w:webHidden/>
              </w:rPr>
              <w:t>187</w:t>
            </w:r>
            <w:r w:rsidRPr="00AA4677">
              <w:rPr>
                <w:noProof/>
                <w:webHidden/>
              </w:rPr>
              <w:fldChar w:fldCharType="end"/>
            </w:r>
          </w:hyperlink>
        </w:p>
        <w:p w14:paraId="03B8516A" w14:textId="70605918" w:rsidR="0030581A" w:rsidRPr="00AA4677" w:rsidRDefault="0030581A">
          <w:pPr>
            <w:pStyle w:val="TOC1"/>
            <w:rPr>
              <w:rFonts w:eastAsiaTheme="minorEastAsia"/>
              <w:noProof/>
              <w:kern w:val="2"/>
              <w:szCs w:val="24"/>
              <w14:ligatures w14:val="standardContextual"/>
            </w:rPr>
          </w:pPr>
          <w:hyperlink w:anchor="_Toc192678245" w:history="1">
            <w:r w:rsidRPr="00AA4677">
              <w:rPr>
                <w:rStyle w:val="Hyperlink"/>
                <w:noProof/>
              </w:rPr>
              <w:t>12 Investigator Responsibilities</w:t>
            </w:r>
            <w:r w:rsidRPr="00AA4677">
              <w:rPr>
                <w:noProof/>
                <w:webHidden/>
              </w:rPr>
              <w:tab/>
            </w:r>
            <w:r w:rsidRPr="00AA4677">
              <w:rPr>
                <w:noProof/>
                <w:webHidden/>
              </w:rPr>
              <w:fldChar w:fldCharType="begin"/>
            </w:r>
            <w:r w:rsidRPr="00AA4677">
              <w:rPr>
                <w:noProof/>
                <w:webHidden/>
              </w:rPr>
              <w:instrText xml:space="preserve"> PAGEREF _Toc192678245 \h </w:instrText>
            </w:r>
            <w:r w:rsidRPr="00AA4677">
              <w:rPr>
                <w:noProof/>
                <w:webHidden/>
              </w:rPr>
            </w:r>
            <w:r w:rsidRPr="00AA4677">
              <w:rPr>
                <w:noProof/>
                <w:webHidden/>
              </w:rPr>
              <w:fldChar w:fldCharType="separate"/>
            </w:r>
            <w:r w:rsidRPr="00AA4677">
              <w:rPr>
                <w:noProof/>
                <w:webHidden/>
              </w:rPr>
              <w:t>188</w:t>
            </w:r>
            <w:r w:rsidRPr="00AA4677">
              <w:rPr>
                <w:noProof/>
                <w:webHidden/>
              </w:rPr>
              <w:fldChar w:fldCharType="end"/>
            </w:r>
          </w:hyperlink>
        </w:p>
        <w:p w14:paraId="511803E2" w14:textId="4390F95B" w:rsidR="0030581A" w:rsidRPr="00AA4677" w:rsidRDefault="0030581A">
          <w:pPr>
            <w:pStyle w:val="TOC2"/>
            <w:tabs>
              <w:tab w:val="right" w:leader="dot" w:pos="9630"/>
            </w:tabs>
            <w:rPr>
              <w:rFonts w:eastAsiaTheme="minorEastAsia"/>
              <w:noProof/>
              <w:kern w:val="2"/>
              <w:szCs w:val="24"/>
              <w14:ligatures w14:val="standardContextual"/>
            </w:rPr>
          </w:pPr>
          <w:hyperlink w:anchor="_Toc192678246" w:history="1">
            <w:r w:rsidRPr="00AA4677">
              <w:rPr>
                <w:rStyle w:val="Hyperlink"/>
                <w:noProof/>
              </w:rPr>
              <w:t>12.1 Policy</w:t>
            </w:r>
            <w:r w:rsidRPr="00AA4677">
              <w:rPr>
                <w:noProof/>
                <w:webHidden/>
              </w:rPr>
              <w:tab/>
            </w:r>
            <w:r w:rsidRPr="00AA4677">
              <w:rPr>
                <w:noProof/>
                <w:webHidden/>
              </w:rPr>
              <w:fldChar w:fldCharType="begin"/>
            </w:r>
            <w:r w:rsidRPr="00AA4677">
              <w:rPr>
                <w:noProof/>
                <w:webHidden/>
              </w:rPr>
              <w:instrText xml:space="preserve"> PAGEREF _Toc192678246 \h </w:instrText>
            </w:r>
            <w:r w:rsidRPr="00AA4677">
              <w:rPr>
                <w:noProof/>
                <w:webHidden/>
              </w:rPr>
            </w:r>
            <w:r w:rsidRPr="00AA4677">
              <w:rPr>
                <w:noProof/>
                <w:webHidden/>
              </w:rPr>
              <w:fldChar w:fldCharType="separate"/>
            </w:r>
            <w:r w:rsidRPr="00AA4677">
              <w:rPr>
                <w:noProof/>
                <w:webHidden/>
              </w:rPr>
              <w:t>188</w:t>
            </w:r>
            <w:r w:rsidRPr="00AA4677">
              <w:rPr>
                <w:noProof/>
                <w:webHidden/>
              </w:rPr>
              <w:fldChar w:fldCharType="end"/>
            </w:r>
          </w:hyperlink>
        </w:p>
        <w:p w14:paraId="2159CDAB" w14:textId="328DF6FE" w:rsidR="0030581A" w:rsidRPr="00AA4677" w:rsidRDefault="0030581A">
          <w:pPr>
            <w:pStyle w:val="TOC2"/>
            <w:tabs>
              <w:tab w:val="right" w:leader="dot" w:pos="9630"/>
            </w:tabs>
            <w:rPr>
              <w:rFonts w:eastAsiaTheme="minorEastAsia"/>
              <w:noProof/>
              <w:kern w:val="2"/>
              <w:szCs w:val="24"/>
              <w14:ligatures w14:val="standardContextual"/>
            </w:rPr>
          </w:pPr>
          <w:hyperlink w:anchor="_Toc192678247" w:history="1">
            <w:r w:rsidRPr="00AA4677">
              <w:rPr>
                <w:rStyle w:val="Hyperlink"/>
                <w:noProof/>
              </w:rPr>
              <w:t>12.2 Investigators</w:t>
            </w:r>
            <w:r w:rsidRPr="00AA4677">
              <w:rPr>
                <w:noProof/>
                <w:webHidden/>
              </w:rPr>
              <w:tab/>
            </w:r>
            <w:r w:rsidRPr="00AA4677">
              <w:rPr>
                <w:noProof/>
                <w:webHidden/>
              </w:rPr>
              <w:fldChar w:fldCharType="begin"/>
            </w:r>
            <w:r w:rsidRPr="00AA4677">
              <w:rPr>
                <w:noProof/>
                <w:webHidden/>
              </w:rPr>
              <w:instrText xml:space="preserve"> PAGEREF _Toc192678247 \h </w:instrText>
            </w:r>
            <w:r w:rsidRPr="00AA4677">
              <w:rPr>
                <w:noProof/>
                <w:webHidden/>
              </w:rPr>
            </w:r>
            <w:r w:rsidRPr="00AA4677">
              <w:rPr>
                <w:noProof/>
                <w:webHidden/>
              </w:rPr>
              <w:fldChar w:fldCharType="separate"/>
            </w:r>
            <w:r w:rsidRPr="00AA4677">
              <w:rPr>
                <w:noProof/>
                <w:webHidden/>
              </w:rPr>
              <w:t>189</w:t>
            </w:r>
            <w:r w:rsidRPr="00AA4677">
              <w:rPr>
                <w:noProof/>
                <w:webHidden/>
              </w:rPr>
              <w:fldChar w:fldCharType="end"/>
            </w:r>
          </w:hyperlink>
        </w:p>
        <w:p w14:paraId="0D33E76D" w14:textId="175FE042" w:rsidR="0030581A" w:rsidRPr="00AA4677" w:rsidRDefault="0030581A">
          <w:pPr>
            <w:pStyle w:val="TOC2"/>
            <w:tabs>
              <w:tab w:val="right" w:leader="dot" w:pos="9630"/>
            </w:tabs>
            <w:rPr>
              <w:rFonts w:eastAsiaTheme="minorEastAsia"/>
              <w:noProof/>
              <w:kern w:val="2"/>
              <w:szCs w:val="24"/>
              <w14:ligatures w14:val="standardContextual"/>
            </w:rPr>
          </w:pPr>
          <w:hyperlink w:anchor="_Toc192678248" w:history="1">
            <w:r w:rsidRPr="00AA4677">
              <w:rPr>
                <w:rStyle w:val="Hyperlink"/>
                <w:noProof/>
              </w:rPr>
              <w:t>12.3 Responsibilities</w:t>
            </w:r>
            <w:r w:rsidRPr="00AA4677">
              <w:rPr>
                <w:noProof/>
                <w:webHidden/>
              </w:rPr>
              <w:tab/>
            </w:r>
            <w:r w:rsidRPr="00AA4677">
              <w:rPr>
                <w:noProof/>
                <w:webHidden/>
              </w:rPr>
              <w:fldChar w:fldCharType="begin"/>
            </w:r>
            <w:r w:rsidRPr="00AA4677">
              <w:rPr>
                <w:noProof/>
                <w:webHidden/>
              </w:rPr>
              <w:instrText xml:space="preserve"> PAGEREF _Toc192678248 \h </w:instrText>
            </w:r>
            <w:r w:rsidRPr="00AA4677">
              <w:rPr>
                <w:noProof/>
                <w:webHidden/>
              </w:rPr>
            </w:r>
            <w:r w:rsidRPr="00AA4677">
              <w:rPr>
                <w:noProof/>
                <w:webHidden/>
              </w:rPr>
              <w:fldChar w:fldCharType="separate"/>
            </w:r>
            <w:r w:rsidRPr="00AA4677">
              <w:rPr>
                <w:noProof/>
                <w:webHidden/>
              </w:rPr>
              <w:t>190</w:t>
            </w:r>
            <w:r w:rsidRPr="00AA4677">
              <w:rPr>
                <w:noProof/>
                <w:webHidden/>
              </w:rPr>
              <w:fldChar w:fldCharType="end"/>
            </w:r>
          </w:hyperlink>
        </w:p>
        <w:p w14:paraId="1B41ECF5" w14:textId="5FD1D7F6" w:rsidR="0030581A" w:rsidRPr="00AA4677" w:rsidRDefault="0030581A">
          <w:pPr>
            <w:pStyle w:val="TOC2"/>
            <w:tabs>
              <w:tab w:val="right" w:leader="dot" w:pos="9630"/>
            </w:tabs>
            <w:rPr>
              <w:rFonts w:eastAsiaTheme="minorEastAsia"/>
              <w:noProof/>
              <w:kern w:val="2"/>
              <w:szCs w:val="24"/>
              <w14:ligatures w14:val="standardContextual"/>
            </w:rPr>
          </w:pPr>
          <w:hyperlink w:anchor="_Toc192678249" w:history="1">
            <w:r w:rsidRPr="00AA4677">
              <w:rPr>
                <w:rStyle w:val="Hyperlink"/>
                <w:noProof/>
              </w:rPr>
              <w:t>12.4 Training/ Ongoing Education of Investigators and the Research Team</w:t>
            </w:r>
            <w:r w:rsidRPr="00AA4677">
              <w:rPr>
                <w:noProof/>
                <w:webHidden/>
              </w:rPr>
              <w:tab/>
            </w:r>
            <w:r w:rsidRPr="00AA4677">
              <w:rPr>
                <w:noProof/>
                <w:webHidden/>
              </w:rPr>
              <w:fldChar w:fldCharType="begin"/>
            </w:r>
            <w:r w:rsidRPr="00AA4677">
              <w:rPr>
                <w:noProof/>
                <w:webHidden/>
              </w:rPr>
              <w:instrText xml:space="preserve"> PAGEREF _Toc192678249 \h </w:instrText>
            </w:r>
            <w:r w:rsidRPr="00AA4677">
              <w:rPr>
                <w:noProof/>
                <w:webHidden/>
              </w:rPr>
            </w:r>
            <w:r w:rsidRPr="00AA4677">
              <w:rPr>
                <w:noProof/>
                <w:webHidden/>
              </w:rPr>
              <w:fldChar w:fldCharType="separate"/>
            </w:r>
            <w:r w:rsidRPr="00AA4677">
              <w:rPr>
                <w:noProof/>
                <w:webHidden/>
              </w:rPr>
              <w:t>192</w:t>
            </w:r>
            <w:r w:rsidRPr="00AA4677">
              <w:rPr>
                <w:noProof/>
                <w:webHidden/>
              </w:rPr>
              <w:fldChar w:fldCharType="end"/>
            </w:r>
          </w:hyperlink>
        </w:p>
        <w:p w14:paraId="4B2C3ADC" w14:textId="7B87DD74" w:rsidR="0030581A" w:rsidRPr="00AA4677" w:rsidRDefault="0030581A">
          <w:pPr>
            <w:pStyle w:val="TOC2"/>
            <w:tabs>
              <w:tab w:val="right" w:leader="dot" w:pos="9630"/>
            </w:tabs>
            <w:rPr>
              <w:rFonts w:eastAsiaTheme="minorEastAsia"/>
              <w:noProof/>
              <w:kern w:val="2"/>
              <w:szCs w:val="24"/>
              <w14:ligatures w14:val="standardContextual"/>
            </w:rPr>
          </w:pPr>
          <w:hyperlink w:anchor="_Toc192678250" w:history="1">
            <w:r w:rsidRPr="00AA4677">
              <w:rPr>
                <w:rStyle w:val="Hyperlink"/>
                <w:noProof/>
              </w:rPr>
              <w:t>12.5 Investigator Concerns</w:t>
            </w:r>
            <w:r w:rsidRPr="00AA4677">
              <w:rPr>
                <w:noProof/>
                <w:webHidden/>
              </w:rPr>
              <w:tab/>
            </w:r>
            <w:r w:rsidRPr="00AA4677">
              <w:rPr>
                <w:noProof/>
                <w:webHidden/>
              </w:rPr>
              <w:fldChar w:fldCharType="begin"/>
            </w:r>
            <w:r w:rsidRPr="00AA4677">
              <w:rPr>
                <w:noProof/>
                <w:webHidden/>
              </w:rPr>
              <w:instrText xml:space="preserve"> PAGEREF _Toc192678250 \h </w:instrText>
            </w:r>
            <w:r w:rsidRPr="00AA4677">
              <w:rPr>
                <w:noProof/>
                <w:webHidden/>
              </w:rPr>
            </w:r>
            <w:r w:rsidRPr="00AA4677">
              <w:rPr>
                <w:noProof/>
                <w:webHidden/>
              </w:rPr>
              <w:fldChar w:fldCharType="separate"/>
            </w:r>
            <w:r w:rsidRPr="00AA4677">
              <w:rPr>
                <w:noProof/>
                <w:webHidden/>
              </w:rPr>
              <w:t>194</w:t>
            </w:r>
            <w:r w:rsidRPr="00AA4677">
              <w:rPr>
                <w:noProof/>
                <w:webHidden/>
              </w:rPr>
              <w:fldChar w:fldCharType="end"/>
            </w:r>
          </w:hyperlink>
        </w:p>
        <w:p w14:paraId="7ADAEB2D" w14:textId="01DD3757" w:rsidR="0030581A" w:rsidRPr="00AA4677" w:rsidRDefault="0030581A">
          <w:pPr>
            <w:pStyle w:val="TOC2"/>
            <w:tabs>
              <w:tab w:val="right" w:leader="dot" w:pos="9630"/>
            </w:tabs>
            <w:rPr>
              <w:rFonts w:eastAsiaTheme="minorEastAsia"/>
              <w:noProof/>
              <w:kern w:val="2"/>
              <w:szCs w:val="24"/>
              <w14:ligatures w14:val="standardContextual"/>
            </w:rPr>
          </w:pPr>
          <w:hyperlink w:anchor="_Toc192678251" w:history="1">
            <w:r w:rsidRPr="00AA4677">
              <w:rPr>
                <w:rStyle w:val="Hyperlink"/>
                <w:noProof/>
              </w:rPr>
              <w:t>12.6 Investigator Disclosures of Significant Financial Interest</w:t>
            </w:r>
            <w:r w:rsidRPr="00AA4677">
              <w:rPr>
                <w:noProof/>
                <w:webHidden/>
              </w:rPr>
              <w:tab/>
            </w:r>
            <w:r w:rsidRPr="00AA4677">
              <w:rPr>
                <w:noProof/>
                <w:webHidden/>
              </w:rPr>
              <w:fldChar w:fldCharType="begin"/>
            </w:r>
            <w:r w:rsidRPr="00AA4677">
              <w:rPr>
                <w:noProof/>
                <w:webHidden/>
              </w:rPr>
              <w:instrText xml:space="preserve"> PAGEREF _Toc192678251 \h </w:instrText>
            </w:r>
            <w:r w:rsidRPr="00AA4677">
              <w:rPr>
                <w:noProof/>
                <w:webHidden/>
              </w:rPr>
            </w:r>
            <w:r w:rsidRPr="00AA4677">
              <w:rPr>
                <w:noProof/>
                <w:webHidden/>
              </w:rPr>
              <w:fldChar w:fldCharType="separate"/>
            </w:r>
            <w:r w:rsidRPr="00AA4677">
              <w:rPr>
                <w:noProof/>
                <w:webHidden/>
              </w:rPr>
              <w:t>194</w:t>
            </w:r>
            <w:r w:rsidRPr="00AA4677">
              <w:rPr>
                <w:noProof/>
                <w:webHidden/>
              </w:rPr>
              <w:fldChar w:fldCharType="end"/>
            </w:r>
          </w:hyperlink>
        </w:p>
        <w:p w14:paraId="3B7D14B6" w14:textId="1DA20CD4" w:rsidR="0030581A" w:rsidRPr="00AA4677" w:rsidRDefault="0030581A">
          <w:pPr>
            <w:pStyle w:val="TOC1"/>
            <w:rPr>
              <w:rFonts w:eastAsiaTheme="minorEastAsia"/>
              <w:noProof/>
              <w:kern w:val="2"/>
              <w:szCs w:val="24"/>
              <w14:ligatures w14:val="standardContextual"/>
            </w:rPr>
          </w:pPr>
          <w:hyperlink w:anchor="_Toc192678252" w:history="1">
            <w:r w:rsidRPr="00AA4677">
              <w:rPr>
                <w:rStyle w:val="Hyperlink"/>
                <w:noProof/>
              </w:rPr>
              <w:t>13 Sponsored Research</w:t>
            </w:r>
            <w:r w:rsidRPr="00AA4677">
              <w:rPr>
                <w:noProof/>
                <w:webHidden/>
              </w:rPr>
              <w:tab/>
            </w:r>
            <w:r w:rsidRPr="00AA4677">
              <w:rPr>
                <w:noProof/>
                <w:webHidden/>
              </w:rPr>
              <w:fldChar w:fldCharType="begin"/>
            </w:r>
            <w:r w:rsidRPr="00AA4677">
              <w:rPr>
                <w:noProof/>
                <w:webHidden/>
              </w:rPr>
              <w:instrText xml:space="preserve"> PAGEREF _Toc192678252 \h </w:instrText>
            </w:r>
            <w:r w:rsidRPr="00AA4677">
              <w:rPr>
                <w:noProof/>
                <w:webHidden/>
              </w:rPr>
            </w:r>
            <w:r w:rsidRPr="00AA4677">
              <w:rPr>
                <w:noProof/>
                <w:webHidden/>
              </w:rPr>
              <w:fldChar w:fldCharType="separate"/>
            </w:r>
            <w:r w:rsidRPr="00AA4677">
              <w:rPr>
                <w:noProof/>
                <w:webHidden/>
              </w:rPr>
              <w:t>195</w:t>
            </w:r>
            <w:r w:rsidRPr="00AA4677">
              <w:rPr>
                <w:noProof/>
                <w:webHidden/>
              </w:rPr>
              <w:fldChar w:fldCharType="end"/>
            </w:r>
          </w:hyperlink>
        </w:p>
        <w:p w14:paraId="48904B3B" w14:textId="50057559" w:rsidR="0030581A" w:rsidRPr="00AA4677" w:rsidRDefault="0030581A">
          <w:pPr>
            <w:pStyle w:val="TOC2"/>
            <w:tabs>
              <w:tab w:val="right" w:leader="dot" w:pos="9630"/>
            </w:tabs>
            <w:rPr>
              <w:rFonts w:eastAsiaTheme="minorEastAsia"/>
              <w:noProof/>
              <w:kern w:val="2"/>
              <w:szCs w:val="24"/>
              <w14:ligatures w14:val="standardContextual"/>
            </w:rPr>
          </w:pPr>
          <w:hyperlink w:anchor="_Toc192678253" w:history="1">
            <w:r w:rsidRPr="00AA4677">
              <w:rPr>
                <w:rStyle w:val="Hyperlink"/>
                <w:noProof/>
              </w:rPr>
              <w:t>13.1 Policy</w:t>
            </w:r>
            <w:r w:rsidRPr="00AA4677">
              <w:rPr>
                <w:noProof/>
                <w:webHidden/>
              </w:rPr>
              <w:tab/>
            </w:r>
            <w:r w:rsidRPr="00AA4677">
              <w:rPr>
                <w:noProof/>
                <w:webHidden/>
              </w:rPr>
              <w:fldChar w:fldCharType="begin"/>
            </w:r>
            <w:r w:rsidRPr="00AA4677">
              <w:rPr>
                <w:noProof/>
                <w:webHidden/>
              </w:rPr>
              <w:instrText xml:space="preserve"> PAGEREF _Toc192678253 \h </w:instrText>
            </w:r>
            <w:r w:rsidRPr="00AA4677">
              <w:rPr>
                <w:noProof/>
                <w:webHidden/>
              </w:rPr>
            </w:r>
            <w:r w:rsidRPr="00AA4677">
              <w:rPr>
                <w:noProof/>
                <w:webHidden/>
              </w:rPr>
              <w:fldChar w:fldCharType="separate"/>
            </w:r>
            <w:r w:rsidRPr="00AA4677">
              <w:rPr>
                <w:noProof/>
                <w:webHidden/>
              </w:rPr>
              <w:t>195</w:t>
            </w:r>
            <w:r w:rsidRPr="00AA4677">
              <w:rPr>
                <w:noProof/>
                <w:webHidden/>
              </w:rPr>
              <w:fldChar w:fldCharType="end"/>
            </w:r>
          </w:hyperlink>
        </w:p>
        <w:p w14:paraId="62A2EA5A" w14:textId="6E4E5313" w:rsidR="0030581A" w:rsidRPr="00AA4677" w:rsidRDefault="0030581A">
          <w:pPr>
            <w:pStyle w:val="TOC2"/>
            <w:tabs>
              <w:tab w:val="right" w:leader="dot" w:pos="9630"/>
            </w:tabs>
            <w:rPr>
              <w:rFonts w:eastAsiaTheme="minorEastAsia"/>
              <w:noProof/>
              <w:kern w:val="2"/>
              <w:szCs w:val="24"/>
              <w14:ligatures w14:val="standardContextual"/>
            </w:rPr>
          </w:pPr>
          <w:hyperlink w:anchor="_Toc192678254" w:history="1">
            <w:r w:rsidRPr="00AA4677">
              <w:rPr>
                <w:rStyle w:val="Hyperlink"/>
                <w:noProof/>
              </w:rPr>
              <w:t>13.2 Definitions</w:t>
            </w:r>
            <w:r w:rsidRPr="00AA4677">
              <w:rPr>
                <w:noProof/>
                <w:webHidden/>
              </w:rPr>
              <w:tab/>
            </w:r>
            <w:r w:rsidRPr="00AA4677">
              <w:rPr>
                <w:noProof/>
                <w:webHidden/>
              </w:rPr>
              <w:fldChar w:fldCharType="begin"/>
            </w:r>
            <w:r w:rsidRPr="00AA4677">
              <w:rPr>
                <w:noProof/>
                <w:webHidden/>
              </w:rPr>
              <w:instrText xml:space="preserve"> PAGEREF _Toc192678254 \h </w:instrText>
            </w:r>
            <w:r w:rsidRPr="00AA4677">
              <w:rPr>
                <w:noProof/>
                <w:webHidden/>
              </w:rPr>
            </w:r>
            <w:r w:rsidRPr="00AA4677">
              <w:rPr>
                <w:noProof/>
                <w:webHidden/>
              </w:rPr>
              <w:fldChar w:fldCharType="separate"/>
            </w:r>
            <w:r w:rsidRPr="00AA4677">
              <w:rPr>
                <w:noProof/>
                <w:webHidden/>
              </w:rPr>
              <w:t>195</w:t>
            </w:r>
            <w:r w:rsidRPr="00AA4677">
              <w:rPr>
                <w:noProof/>
                <w:webHidden/>
              </w:rPr>
              <w:fldChar w:fldCharType="end"/>
            </w:r>
          </w:hyperlink>
        </w:p>
        <w:p w14:paraId="1F056952" w14:textId="574705EF" w:rsidR="0030581A" w:rsidRPr="00AA4677" w:rsidRDefault="0030581A">
          <w:pPr>
            <w:pStyle w:val="TOC2"/>
            <w:tabs>
              <w:tab w:val="right" w:leader="dot" w:pos="9630"/>
            </w:tabs>
            <w:rPr>
              <w:rFonts w:eastAsiaTheme="minorEastAsia"/>
              <w:noProof/>
              <w:kern w:val="2"/>
              <w:szCs w:val="24"/>
              <w14:ligatures w14:val="standardContextual"/>
            </w:rPr>
          </w:pPr>
          <w:hyperlink w:anchor="_Toc192678255" w:history="1">
            <w:r w:rsidRPr="00AA4677">
              <w:rPr>
                <w:rStyle w:val="Hyperlink"/>
                <w:noProof/>
              </w:rPr>
              <w:t>13.3 Responsibility</w:t>
            </w:r>
            <w:r w:rsidRPr="00AA4677">
              <w:rPr>
                <w:noProof/>
                <w:webHidden/>
              </w:rPr>
              <w:tab/>
            </w:r>
            <w:r w:rsidRPr="00AA4677">
              <w:rPr>
                <w:noProof/>
                <w:webHidden/>
              </w:rPr>
              <w:fldChar w:fldCharType="begin"/>
            </w:r>
            <w:r w:rsidRPr="00AA4677">
              <w:rPr>
                <w:noProof/>
                <w:webHidden/>
              </w:rPr>
              <w:instrText xml:space="preserve"> PAGEREF _Toc192678255 \h </w:instrText>
            </w:r>
            <w:r w:rsidRPr="00AA4677">
              <w:rPr>
                <w:noProof/>
                <w:webHidden/>
              </w:rPr>
            </w:r>
            <w:r w:rsidRPr="00AA4677">
              <w:rPr>
                <w:noProof/>
                <w:webHidden/>
              </w:rPr>
              <w:fldChar w:fldCharType="separate"/>
            </w:r>
            <w:r w:rsidRPr="00AA4677">
              <w:rPr>
                <w:noProof/>
                <w:webHidden/>
              </w:rPr>
              <w:t>195</w:t>
            </w:r>
            <w:r w:rsidRPr="00AA4677">
              <w:rPr>
                <w:noProof/>
                <w:webHidden/>
              </w:rPr>
              <w:fldChar w:fldCharType="end"/>
            </w:r>
          </w:hyperlink>
        </w:p>
        <w:p w14:paraId="2DA63479" w14:textId="3BD68B55" w:rsidR="0030581A" w:rsidRPr="00AA4677" w:rsidRDefault="0030581A">
          <w:pPr>
            <w:pStyle w:val="TOC2"/>
            <w:tabs>
              <w:tab w:val="right" w:leader="dot" w:pos="9630"/>
            </w:tabs>
            <w:rPr>
              <w:rFonts w:eastAsiaTheme="minorEastAsia"/>
              <w:noProof/>
              <w:kern w:val="2"/>
              <w:szCs w:val="24"/>
              <w14:ligatures w14:val="standardContextual"/>
            </w:rPr>
          </w:pPr>
          <w:hyperlink w:anchor="_Toc192678256" w:history="1">
            <w:r w:rsidRPr="00AA4677">
              <w:rPr>
                <w:rStyle w:val="Hyperlink"/>
                <w:noProof/>
              </w:rPr>
              <w:t>13.4 Policy on Payment of Research-related Injury Costs in Industry-funded and Initiated Clinical Trials</w:t>
            </w:r>
            <w:r w:rsidRPr="00AA4677">
              <w:rPr>
                <w:noProof/>
                <w:webHidden/>
              </w:rPr>
              <w:tab/>
            </w:r>
            <w:r w:rsidRPr="00AA4677">
              <w:rPr>
                <w:noProof/>
                <w:webHidden/>
              </w:rPr>
              <w:fldChar w:fldCharType="begin"/>
            </w:r>
            <w:r w:rsidRPr="00AA4677">
              <w:rPr>
                <w:noProof/>
                <w:webHidden/>
              </w:rPr>
              <w:instrText xml:space="preserve"> PAGEREF _Toc192678256 \h </w:instrText>
            </w:r>
            <w:r w:rsidRPr="00AA4677">
              <w:rPr>
                <w:noProof/>
                <w:webHidden/>
              </w:rPr>
            </w:r>
            <w:r w:rsidRPr="00AA4677">
              <w:rPr>
                <w:noProof/>
                <w:webHidden/>
              </w:rPr>
              <w:fldChar w:fldCharType="separate"/>
            </w:r>
            <w:r w:rsidRPr="00AA4677">
              <w:rPr>
                <w:noProof/>
                <w:webHidden/>
              </w:rPr>
              <w:t>196</w:t>
            </w:r>
            <w:r w:rsidRPr="00AA4677">
              <w:rPr>
                <w:noProof/>
                <w:webHidden/>
              </w:rPr>
              <w:fldChar w:fldCharType="end"/>
            </w:r>
          </w:hyperlink>
        </w:p>
        <w:p w14:paraId="5C37DCF3" w14:textId="457DF125" w:rsidR="0030581A" w:rsidRPr="00AA4677" w:rsidRDefault="0030581A">
          <w:pPr>
            <w:pStyle w:val="TOC1"/>
            <w:rPr>
              <w:rFonts w:eastAsiaTheme="minorEastAsia"/>
              <w:noProof/>
              <w:kern w:val="2"/>
              <w:szCs w:val="24"/>
              <w14:ligatures w14:val="standardContextual"/>
            </w:rPr>
          </w:pPr>
          <w:hyperlink w:anchor="_Toc192678257" w:history="1">
            <w:r w:rsidRPr="00AA4677">
              <w:rPr>
                <w:rStyle w:val="Hyperlink"/>
                <w:noProof/>
              </w:rPr>
              <w:t>14 Conflict of Interest in Research</w:t>
            </w:r>
            <w:r w:rsidRPr="00AA4677">
              <w:rPr>
                <w:noProof/>
                <w:webHidden/>
              </w:rPr>
              <w:tab/>
            </w:r>
            <w:r w:rsidRPr="00AA4677">
              <w:rPr>
                <w:noProof/>
                <w:webHidden/>
              </w:rPr>
              <w:fldChar w:fldCharType="begin"/>
            </w:r>
            <w:r w:rsidRPr="00AA4677">
              <w:rPr>
                <w:noProof/>
                <w:webHidden/>
              </w:rPr>
              <w:instrText xml:space="preserve"> PAGEREF _Toc192678257 \h </w:instrText>
            </w:r>
            <w:r w:rsidRPr="00AA4677">
              <w:rPr>
                <w:noProof/>
                <w:webHidden/>
              </w:rPr>
            </w:r>
            <w:r w:rsidRPr="00AA4677">
              <w:rPr>
                <w:noProof/>
                <w:webHidden/>
              </w:rPr>
              <w:fldChar w:fldCharType="separate"/>
            </w:r>
            <w:r w:rsidRPr="00AA4677">
              <w:rPr>
                <w:noProof/>
                <w:webHidden/>
              </w:rPr>
              <w:t>197</w:t>
            </w:r>
            <w:r w:rsidRPr="00AA4677">
              <w:rPr>
                <w:noProof/>
                <w:webHidden/>
              </w:rPr>
              <w:fldChar w:fldCharType="end"/>
            </w:r>
          </w:hyperlink>
        </w:p>
        <w:p w14:paraId="66242BB2" w14:textId="17358459" w:rsidR="0030581A" w:rsidRPr="00AA4677" w:rsidRDefault="0030581A">
          <w:pPr>
            <w:pStyle w:val="TOC2"/>
            <w:tabs>
              <w:tab w:val="right" w:leader="dot" w:pos="9630"/>
            </w:tabs>
            <w:rPr>
              <w:rFonts w:eastAsiaTheme="minorEastAsia"/>
              <w:noProof/>
              <w:kern w:val="2"/>
              <w:szCs w:val="24"/>
              <w14:ligatures w14:val="standardContextual"/>
            </w:rPr>
          </w:pPr>
          <w:hyperlink w:anchor="_Toc192678258" w:history="1">
            <w:r w:rsidRPr="00AA4677">
              <w:rPr>
                <w:rStyle w:val="Hyperlink"/>
                <w:noProof/>
              </w:rPr>
              <w:t>14.1 Policy</w:t>
            </w:r>
            <w:r w:rsidRPr="00AA4677">
              <w:rPr>
                <w:noProof/>
                <w:webHidden/>
              </w:rPr>
              <w:tab/>
            </w:r>
            <w:r w:rsidRPr="00AA4677">
              <w:rPr>
                <w:noProof/>
                <w:webHidden/>
              </w:rPr>
              <w:fldChar w:fldCharType="begin"/>
            </w:r>
            <w:r w:rsidRPr="00AA4677">
              <w:rPr>
                <w:noProof/>
                <w:webHidden/>
              </w:rPr>
              <w:instrText xml:space="preserve"> PAGEREF _Toc192678258 \h </w:instrText>
            </w:r>
            <w:r w:rsidRPr="00AA4677">
              <w:rPr>
                <w:noProof/>
                <w:webHidden/>
              </w:rPr>
            </w:r>
            <w:r w:rsidRPr="00AA4677">
              <w:rPr>
                <w:noProof/>
                <w:webHidden/>
              </w:rPr>
              <w:fldChar w:fldCharType="separate"/>
            </w:r>
            <w:r w:rsidRPr="00AA4677">
              <w:rPr>
                <w:noProof/>
                <w:webHidden/>
              </w:rPr>
              <w:t>197</w:t>
            </w:r>
            <w:r w:rsidRPr="00AA4677">
              <w:rPr>
                <w:noProof/>
                <w:webHidden/>
              </w:rPr>
              <w:fldChar w:fldCharType="end"/>
            </w:r>
          </w:hyperlink>
        </w:p>
        <w:p w14:paraId="14AD2834" w14:textId="4C00731E" w:rsidR="0030581A" w:rsidRPr="00AA4677" w:rsidRDefault="0030581A">
          <w:pPr>
            <w:pStyle w:val="TOC2"/>
            <w:tabs>
              <w:tab w:val="right" w:leader="dot" w:pos="9630"/>
            </w:tabs>
            <w:rPr>
              <w:rFonts w:eastAsiaTheme="minorEastAsia"/>
              <w:noProof/>
              <w:kern w:val="2"/>
              <w:szCs w:val="24"/>
              <w14:ligatures w14:val="standardContextual"/>
            </w:rPr>
          </w:pPr>
          <w:hyperlink w:anchor="_Toc192678259" w:history="1">
            <w:r w:rsidRPr="00AA4677">
              <w:rPr>
                <w:rStyle w:val="Hyperlink"/>
                <w:noProof/>
              </w:rPr>
              <w:t>14.2 Definitions</w:t>
            </w:r>
            <w:r w:rsidRPr="00AA4677">
              <w:rPr>
                <w:noProof/>
                <w:webHidden/>
              </w:rPr>
              <w:tab/>
            </w:r>
            <w:r w:rsidRPr="00AA4677">
              <w:rPr>
                <w:noProof/>
                <w:webHidden/>
              </w:rPr>
              <w:fldChar w:fldCharType="begin"/>
            </w:r>
            <w:r w:rsidRPr="00AA4677">
              <w:rPr>
                <w:noProof/>
                <w:webHidden/>
              </w:rPr>
              <w:instrText xml:space="preserve"> PAGEREF _Toc192678259 \h </w:instrText>
            </w:r>
            <w:r w:rsidRPr="00AA4677">
              <w:rPr>
                <w:noProof/>
                <w:webHidden/>
              </w:rPr>
            </w:r>
            <w:r w:rsidRPr="00AA4677">
              <w:rPr>
                <w:noProof/>
                <w:webHidden/>
              </w:rPr>
              <w:fldChar w:fldCharType="separate"/>
            </w:r>
            <w:r w:rsidRPr="00AA4677">
              <w:rPr>
                <w:noProof/>
                <w:webHidden/>
              </w:rPr>
              <w:t>197</w:t>
            </w:r>
            <w:r w:rsidRPr="00AA4677">
              <w:rPr>
                <w:noProof/>
                <w:webHidden/>
              </w:rPr>
              <w:fldChar w:fldCharType="end"/>
            </w:r>
          </w:hyperlink>
        </w:p>
        <w:p w14:paraId="51EC12E1" w14:textId="6625563F" w:rsidR="0030581A" w:rsidRPr="00AA4677" w:rsidRDefault="0030581A">
          <w:pPr>
            <w:pStyle w:val="TOC2"/>
            <w:tabs>
              <w:tab w:val="right" w:leader="dot" w:pos="9630"/>
            </w:tabs>
            <w:rPr>
              <w:rFonts w:eastAsiaTheme="minorEastAsia"/>
              <w:noProof/>
              <w:kern w:val="2"/>
              <w:szCs w:val="24"/>
              <w14:ligatures w14:val="standardContextual"/>
            </w:rPr>
          </w:pPr>
          <w:hyperlink w:anchor="_Toc192678260" w:history="1">
            <w:r w:rsidRPr="00AA4677">
              <w:rPr>
                <w:rStyle w:val="Hyperlink"/>
                <w:noProof/>
              </w:rPr>
              <w:t>14.3 Procedures for Financial Disclosure</w:t>
            </w:r>
            <w:r w:rsidRPr="00AA4677">
              <w:rPr>
                <w:noProof/>
                <w:webHidden/>
              </w:rPr>
              <w:tab/>
            </w:r>
            <w:r w:rsidRPr="00AA4677">
              <w:rPr>
                <w:noProof/>
                <w:webHidden/>
              </w:rPr>
              <w:fldChar w:fldCharType="begin"/>
            </w:r>
            <w:r w:rsidRPr="00AA4677">
              <w:rPr>
                <w:noProof/>
                <w:webHidden/>
              </w:rPr>
              <w:instrText xml:space="preserve"> PAGEREF _Toc192678260 \h </w:instrText>
            </w:r>
            <w:r w:rsidRPr="00AA4677">
              <w:rPr>
                <w:noProof/>
                <w:webHidden/>
              </w:rPr>
            </w:r>
            <w:r w:rsidRPr="00AA4677">
              <w:rPr>
                <w:noProof/>
                <w:webHidden/>
              </w:rPr>
              <w:fldChar w:fldCharType="separate"/>
            </w:r>
            <w:r w:rsidRPr="00AA4677">
              <w:rPr>
                <w:noProof/>
                <w:webHidden/>
              </w:rPr>
              <w:t>199</w:t>
            </w:r>
            <w:r w:rsidRPr="00AA4677">
              <w:rPr>
                <w:noProof/>
                <w:webHidden/>
              </w:rPr>
              <w:fldChar w:fldCharType="end"/>
            </w:r>
          </w:hyperlink>
        </w:p>
        <w:p w14:paraId="689D2039" w14:textId="40CD54CC" w:rsidR="0030581A" w:rsidRPr="00AA4677" w:rsidRDefault="0030581A">
          <w:pPr>
            <w:pStyle w:val="TOC2"/>
            <w:tabs>
              <w:tab w:val="right" w:leader="dot" w:pos="9630"/>
            </w:tabs>
            <w:rPr>
              <w:rFonts w:eastAsiaTheme="minorEastAsia"/>
              <w:noProof/>
              <w:kern w:val="2"/>
              <w:szCs w:val="24"/>
              <w14:ligatures w14:val="standardContextual"/>
            </w:rPr>
          </w:pPr>
          <w:hyperlink w:anchor="_Toc192678261" w:history="1">
            <w:r w:rsidRPr="00AA4677">
              <w:rPr>
                <w:rStyle w:val="Hyperlink"/>
                <w:noProof/>
              </w:rPr>
              <w:t>14.4 Institutional Conflict of Interest</w:t>
            </w:r>
            <w:r w:rsidRPr="00AA4677">
              <w:rPr>
                <w:noProof/>
                <w:webHidden/>
              </w:rPr>
              <w:tab/>
            </w:r>
            <w:r w:rsidRPr="00AA4677">
              <w:rPr>
                <w:noProof/>
                <w:webHidden/>
              </w:rPr>
              <w:fldChar w:fldCharType="begin"/>
            </w:r>
            <w:r w:rsidRPr="00AA4677">
              <w:rPr>
                <w:noProof/>
                <w:webHidden/>
              </w:rPr>
              <w:instrText xml:space="preserve"> PAGEREF _Toc192678261 \h </w:instrText>
            </w:r>
            <w:r w:rsidRPr="00AA4677">
              <w:rPr>
                <w:noProof/>
                <w:webHidden/>
              </w:rPr>
            </w:r>
            <w:r w:rsidRPr="00AA4677">
              <w:rPr>
                <w:noProof/>
                <w:webHidden/>
              </w:rPr>
              <w:fldChar w:fldCharType="separate"/>
            </w:r>
            <w:r w:rsidRPr="00AA4677">
              <w:rPr>
                <w:noProof/>
                <w:webHidden/>
              </w:rPr>
              <w:t>201</w:t>
            </w:r>
            <w:r w:rsidRPr="00AA4677">
              <w:rPr>
                <w:noProof/>
                <w:webHidden/>
              </w:rPr>
              <w:fldChar w:fldCharType="end"/>
            </w:r>
          </w:hyperlink>
        </w:p>
        <w:p w14:paraId="6EEA066B" w14:textId="5B5137FC" w:rsidR="0030581A" w:rsidRPr="00AA4677" w:rsidRDefault="0030581A">
          <w:pPr>
            <w:pStyle w:val="TOC2"/>
            <w:tabs>
              <w:tab w:val="right" w:leader="dot" w:pos="9630"/>
            </w:tabs>
            <w:rPr>
              <w:rFonts w:eastAsiaTheme="minorEastAsia"/>
              <w:noProof/>
              <w:kern w:val="2"/>
              <w:szCs w:val="24"/>
              <w14:ligatures w14:val="standardContextual"/>
            </w:rPr>
          </w:pPr>
          <w:hyperlink w:anchor="_Toc192678262" w:history="1">
            <w:r w:rsidRPr="00AA4677">
              <w:rPr>
                <w:rStyle w:val="Hyperlink"/>
                <w:noProof/>
              </w:rPr>
              <w:t>14.5 Investigator Conflict of Interest Unrelated to Current Financial Conflict of Interest</w:t>
            </w:r>
            <w:r w:rsidRPr="00AA4677">
              <w:rPr>
                <w:noProof/>
                <w:webHidden/>
              </w:rPr>
              <w:tab/>
            </w:r>
            <w:r w:rsidRPr="00AA4677">
              <w:rPr>
                <w:noProof/>
                <w:webHidden/>
              </w:rPr>
              <w:fldChar w:fldCharType="begin"/>
            </w:r>
            <w:r w:rsidRPr="00AA4677">
              <w:rPr>
                <w:noProof/>
                <w:webHidden/>
              </w:rPr>
              <w:instrText xml:space="preserve"> PAGEREF _Toc192678262 \h </w:instrText>
            </w:r>
            <w:r w:rsidRPr="00AA4677">
              <w:rPr>
                <w:noProof/>
                <w:webHidden/>
              </w:rPr>
            </w:r>
            <w:r w:rsidRPr="00AA4677">
              <w:rPr>
                <w:noProof/>
                <w:webHidden/>
              </w:rPr>
              <w:fldChar w:fldCharType="separate"/>
            </w:r>
            <w:r w:rsidRPr="00AA4677">
              <w:rPr>
                <w:noProof/>
                <w:webHidden/>
              </w:rPr>
              <w:t>204</w:t>
            </w:r>
            <w:r w:rsidRPr="00AA4677">
              <w:rPr>
                <w:noProof/>
                <w:webHidden/>
              </w:rPr>
              <w:fldChar w:fldCharType="end"/>
            </w:r>
          </w:hyperlink>
        </w:p>
        <w:p w14:paraId="23051D4D" w14:textId="06D6DC35" w:rsidR="0030581A" w:rsidRPr="00AA4677" w:rsidRDefault="0030581A">
          <w:pPr>
            <w:pStyle w:val="TOC1"/>
            <w:rPr>
              <w:rFonts w:eastAsiaTheme="minorEastAsia"/>
              <w:noProof/>
              <w:kern w:val="2"/>
              <w:szCs w:val="24"/>
              <w14:ligatures w14:val="standardContextual"/>
            </w:rPr>
          </w:pPr>
          <w:hyperlink w:anchor="_Toc192678263" w:history="1">
            <w:r w:rsidRPr="00AA4677">
              <w:rPr>
                <w:rStyle w:val="Hyperlink"/>
                <w:noProof/>
              </w:rPr>
              <w:t>15 Subject Outreach</w:t>
            </w:r>
            <w:r w:rsidRPr="00AA4677">
              <w:rPr>
                <w:noProof/>
                <w:webHidden/>
              </w:rPr>
              <w:tab/>
            </w:r>
            <w:r w:rsidRPr="00AA4677">
              <w:rPr>
                <w:noProof/>
                <w:webHidden/>
              </w:rPr>
              <w:fldChar w:fldCharType="begin"/>
            </w:r>
            <w:r w:rsidRPr="00AA4677">
              <w:rPr>
                <w:noProof/>
                <w:webHidden/>
              </w:rPr>
              <w:instrText xml:space="preserve"> PAGEREF _Toc192678263 \h </w:instrText>
            </w:r>
            <w:r w:rsidRPr="00AA4677">
              <w:rPr>
                <w:noProof/>
                <w:webHidden/>
              </w:rPr>
            </w:r>
            <w:r w:rsidRPr="00AA4677">
              <w:rPr>
                <w:noProof/>
                <w:webHidden/>
              </w:rPr>
              <w:fldChar w:fldCharType="separate"/>
            </w:r>
            <w:r w:rsidRPr="00AA4677">
              <w:rPr>
                <w:noProof/>
                <w:webHidden/>
              </w:rPr>
              <w:t>204</w:t>
            </w:r>
            <w:r w:rsidRPr="00AA4677">
              <w:rPr>
                <w:noProof/>
                <w:webHidden/>
              </w:rPr>
              <w:fldChar w:fldCharType="end"/>
            </w:r>
          </w:hyperlink>
        </w:p>
        <w:p w14:paraId="1641D224" w14:textId="200F36B0" w:rsidR="0030581A" w:rsidRPr="00AA4677" w:rsidRDefault="0030581A">
          <w:pPr>
            <w:pStyle w:val="TOC2"/>
            <w:tabs>
              <w:tab w:val="right" w:leader="dot" w:pos="9630"/>
            </w:tabs>
            <w:rPr>
              <w:rFonts w:eastAsiaTheme="minorEastAsia"/>
              <w:noProof/>
              <w:kern w:val="2"/>
              <w:szCs w:val="24"/>
              <w14:ligatures w14:val="standardContextual"/>
            </w:rPr>
          </w:pPr>
          <w:hyperlink w:anchor="_Toc192678264" w:history="1">
            <w:r w:rsidRPr="00AA4677">
              <w:rPr>
                <w:rStyle w:val="Hyperlink"/>
                <w:noProof/>
              </w:rPr>
              <w:t>15.1 Policy</w:t>
            </w:r>
            <w:r w:rsidRPr="00AA4677">
              <w:rPr>
                <w:noProof/>
                <w:webHidden/>
              </w:rPr>
              <w:tab/>
            </w:r>
            <w:r w:rsidRPr="00AA4677">
              <w:rPr>
                <w:noProof/>
                <w:webHidden/>
              </w:rPr>
              <w:fldChar w:fldCharType="begin"/>
            </w:r>
            <w:r w:rsidRPr="00AA4677">
              <w:rPr>
                <w:noProof/>
                <w:webHidden/>
              </w:rPr>
              <w:instrText xml:space="preserve"> PAGEREF _Toc192678264 \h </w:instrText>
            </w:r>
            <w:r w:rsidRPr="00AA4677">
              <w:rPr>
                <w:noProof/>
                <w:webHidden/>
              </w:rPr>
            </w:r>
            <w:r w:rsidRPr="00AA4677">
              <w:rPr>
                <w:noProof/>
                <w:webHidden/>
              </w:rPr>
              <w:fldChar w:fldCharType="separate"/>
            </w:r>
            <w:r w:rsidRPr="00AA4677">
              <w:rPr>
                <w:noProof/>
                <w:webHidden/>
              </w:rPr>
              <w:t>204</w:t>
            </w:r>
            <w:r w:rsidRPr="00AA4677">
              <w:rPr>
                <w:noProof/>
                <w:webHidden/>
              </w:rPr>
              <w:fldChar w:fldCharType="end"/>
            </w:r>
          </w:hyperlink>
        </w:p>
        <w:p w14:paraId="76276745" w14:textId="10E7A582" w:rsidR="0030581A" w:rsidRPr="00AA4677" w:rsidRDefault="0030581A">
          <w:pPr>
            <w:pStyle w:val="TOC1"/>
            <w:rPr>
              <w:rFonts w:eastAsiaTheme="minorEastAsia"/>
              <w:noProof/>
              <w:kern w:val="2"/>
              <w:szCs w:val="24"/>
              <w14:ligatures w14:val="standardContextual"/>
            </w:rPr>
          </w:pPr>
          <w:hyperlink w:anchor="_Toc192678265" w:history="1">
            <w:r w:rsidRPr="00AA4677">
              <w:rPr>
                <w:rStyle w:val="Hyperlink"/>
                <w:noProof/>
              </w:rPr>
              <w:t>15.2 Research Subject Advocate (RSA)</w:t>
            </w:r>
            <w:r w:rsidRPr="00AA4677">
              <w:rPr>
                <w:noProof/>
                <w:webHidden/>
              </w:rPr>
              <w:tab/>
            </w:r>
            <w:r w:rsidRPr="00AA4677">
              <w:rPr>
                <w:noProof/>
                <w:webHidden/>
              </w:rPr>
              <w:fldChar w:fldCharType="begin"/>
            </w:r>
            <w:r w:rsidRPr="00AA4677">
              <w:rPr>
                <w:noProof/>
                <w:webHidden/>
              </w:rPr>
              <w:instrText xml:space="preserve"> PAGEREF _Toc192678265 \h </w:instrText>
            </w:r>
            <w:r w:rsidRPr="00AA4677">
              <w:rPr>
                <w:noProof/>
                <w:webHidden/>
              </w:rPr>
            </w:r>
            <w:r w:rsidRPr="00AA4677">
              <w:rPr>
                <w:noProof/>
                <w:webHidden/>
              </w:rPr>
              <w:fldChar w:fldCharType="separate"/>
            </w:r>
            <w:r w:rsidRPr="00AA4677">
              <w:rPr>
                <w:noProof/>
                <w:webHidden/>
              </w:rPr>
              <w:t>204</w:t>
            </w:r>
            <w:r w:rsidRPr="00AA4677">
              <w:rPr>
                <w:noProof/>
                <w:webHidden/>
              </w:rPr>
              <w:fldChar w:fldCharType="end"/>
            </w:r>
          </w:hyperlink>
        </w:p>
        <w:p w14:paraId="60B1CB1C" w14:textId="425BFA6C" w:rsidR="0030581A" w:rsidRPr="00AA4677" w:rsidRDefault="0030581A">
          <w:pPr>
            <w:pStyle w:val="TOC2"/>
            <w:tabs>
              <w:tab w:val="right" w:leader="dot" w:pos="9630"/>
            </w:tabs>
            <w:rPr>
              <w:rFonts w:eastAsiaTheme="minorEastAsia"/>
              <w:noProof/>
              <w:kern w:val="2"/>
              <w:szCs w:val="24"/>
              <w14:ligatures w14:val="standardContextual"/>
            </w:rPr>
          </w:pPr>
          <w:hyperlink w:anchor="_Toc192678266" w:history="1">
            <w:r w:rsidRPr="00AA4677">
              <w:rPr>
                <w:rStyle w:val="Hyperlink"/>
                <w:noProof/>
              </w:rPr>
              <w:t>15.3 Outreach Resources and Educational Materials</w:t>
            </w:r>
            <w:r w:rsidRPr="00AA4677">
              <w:rPr>
                <w:noProof/>
                <w:webHidden/>
              </w:rPr>
              <w:tab/>
            </w:r>
            <w:r w:rsidRPr="00AA4677">
              <w:rPr>
                <w:noProof/>
                <w:webHidden/>
              </w:rPr>
              <w:fldChar w:fldCharType="begin"/>
            </w:r>
            <w:r w:rsidRPr="00AA4677">
              <w:rPr>
                <w:noProof/>
                <w:webHidden/>
              </w:rPr>
              <w:instrText xml:space="preserve"> PAGEREF _Toc192678266 \h </w:instrText>
            </w:r>
            <w:r w:rsidRPr="00AA4677">
              <w:rPr>
                <w:noProof/>
                <w:webHidden/>
              </w:rPr>
            </w:r>
            <w:r w:rsidRPr="00AA4677">
              <w:rPr>
                <w:noProof/>
                <w:webHidden/>
              </w:rPr>
              <w:fldChar w:fldCharType="separate"/>
            </w:r>
            <w:r w:rsidRPr="00AA4677">
              <w:rPr>
                <w:noProof/>
                <w:webHidden/>
              </w:rPr>
              <w:t>205</w:t>
            </w:r>
            <w:r w:rsidRPr="00AA4677">
              <w:rPr>
                <w:noProof/>
                <w:webHidden/>
              </w:rPr>
              <w:fldChar w:fldCharType="end"/>
            </w:r>
          </w:hyperlink>
        </w:p>
        <w:p w14:paraId="1FC9D38E" w14:textId="2D3EB2D9" w:rsidR="0030581A" w:rsidRPr="00AA4677" w:rsidRDefault="0030581A">
          <w:pPr>
            <w:pStyle w:val="TOC2"/>
            <w:tabs>
              <w:tab w:val="right" w:leader="dot" w:pos="9630"/>
            </w:tabs>
            <w:rPr>
              <w:rFonts w:eastAsiaTheme="minorEastAsia"/>
              <w:noProof/>
              <w:kern w:val="2"/>
              <w:szCs w:val="24"/>
              <w14:ligatures w14:val="standardContextual"/>
            </w:rPr>
          </w:pPr>
          <w:hyperlink w:anchor="_Toc192678267" w:history="1">
            <w:r w:rsidRPr="00AA4677">
              <w:rPr>
                <w:rStyle w:val="Hyperlink"/>
                <w:noProof/>
              </w:rPr>
              <w:t>15.4 Evaluation</w:t>
            </w:r>
            <w:r w:rsidRPr="00AA4677">
              <w:rPr>
                <w:noProof/>
                <w:webHidden/>
              </w:rPr>
              <w:tab/>
            </w:r>
            <w:r w:rsidRPr="00AA4677">
              <w:rPr>
                <w:noProof/>
                <w:webHidden/>
              </w:rPr>
              <w:fldChar w:fldCharType="begin"/>
            </w:r>
            <w:r w:rsidRPr="00AA4677">
              <w:rPr>
                <w:noProof/>
                <w:webHidden/>
              </w:rPr>
              <w:instrText xml:space="preserve"> PAGEREF _Toc192678267 \h </w:instrText>
            </w:r>
            <w:r w:rsidRPr="00AA4677">
              <w:rPr>
                <w:noProof/>
                <w:webHidden/>
              </w:rPr>
            </w:r>
            <w:r w:rsidRPr="00AA4677">
              <w:rPr>
                <w:noProof/>
                <w:webHidden/>
              </w:rPr>
              <w:fldChar w:fldCharType="separate"/>
            </w:r>
            <w:r w:rsidRPr="00AA4677">
              <w:rPr>
                <w:noProof/>
                <w:webHidden/>
              </w:rPr>
              <w:t>205</w:t>
            </w:r>
            <w:r w:rsidRPr="00AA4677">
              <w:rPr>
                <w:noProof/>
                <w:webHidden/>
              </w:rPr>
              <w:fldChar w:fldCharType="end"/>
            </w:r>
          </w:hyperlink>
        </w:p>
        <w:p w14:paraId="1CC5B505" w14:textId="35D73C18" w:rsidR="0030581A" w:rsidRPr="00AA4677" w:rsidRDefault="0030581A">
          <w:pPr>
            <w:pStyle w:val="TOC1"/>
            <w:rPr>
              <w:rFonts w:eastAsiaTheme="minorEastAsia"/>
              <w:noProof/>
              <w:kern w:val="2"/>
              <w:szCs w:val="24"/>
              <w14:ligatures w14:val="standardContextual"/>
            </w:rPr>
          </w:pPr>
          <w:hyperlink w:anchor="_Toc192678268" w:history="1">
            <w:r w:rsidRPr="00AA4677">
              <w:rPr>
                <w:rStyle w:val="Hyperlink"/>
                <w:noProof/>
              </w:rPr>
              <w:t>16 Health Insurance Portability and Accountability Act (HIPAA)</w:t>
            </w:r>
            <w:r w:rsidRPr="00AA4677">
              <w:rPr>
                <w:noProof/>
                <w:webHidden/>
              </w:rPr>
              <w:tab/>
            </w:r>
            <w:r w:rsidRPr="00AA4677">
              <w:rPr>
                <w:noProof/>
                <w:webHidden/>
              </w:rPr>
              <w:fldChar w:fldCharType="begin"/>
            </w:r>
            <w:r w:rsidRPr="00AA4677">
              <w:rPr>
                <w:noProof/>
                <w:webHidden/>
              </w:rPr>
              <w:instrText xml:space="preserve"> PAGEREF _Toc192678268 \h </w:instrText>
            </w:r>
            <w:r w:rsidRPr="00AA4677">
              <w:rPr>
                <w:noProof/>
                <w:webHidden/>
              </w:rPr>
            </w:r>
            <w:r w:rsidRPr="00AA4677">
              <w:rPr>
                <w:noProof/>
                <w:webHidden/>
              </w:rPr>
              <w:fldChar w:fldCharType="separate"/>
            </w:r>
            <w:r w:rsidRPr="00AA4677">
              <w:rPr>
                <w:noProof/>
                <w:webHidden/>
              </w:rPr>
              <w:t>205</w:t>
            </w:r>
            <w:r w:rsidRPr="00AA4677">
              <w:rPr>
                <w:noProof/>
                <w:webHidden/>
              </w:rPr>
              <w:fldChar w:fldCharType="end"/>
            </w:r>
          </w:hyperlink>
        </w:p>
        <w:p w14:paraId="67BE50C3" w14:textId="7128B609" w:rsidR="0030581A" w:rsidRPr="00AA4677" w:rsidRDefault="0030581A">
          <w:pPr>
            <w:pStyle w:val="TOC2"/>
            <w:tabs>
              <w:tab w:val="right" w:leader="dot" w:pos="9630"/>
            </w:tabs>
            <w:rPr>
              <w:rFonts w:eastAsiaTheme="minorEastAsia"/>
              <w:noProof/>
              <w:kern w:val="2"/>
              <w:szCs w:val="24"/>
              <w14:ligatures w14:val="standardContextual"/>
            </w:rPr>
          </w:pPr>
          <w:hyperlink w:anchor="_Toc192678269" w:history="1">
            <w:r w:rsidRPr="00AA4677">
              <w:rPr>
                <w:rStyle w:val="Hyperlink"/>
                <w:noProof/>
              </w:rPr>
              <w:t>16.1 Policy</w:t>
            </w:r>
            <w:r w:rsidRPr="00AA4677">
              <w:rPr>
                <w:noProof/>
                <w:webHidden/>
              </w:rPr>
              <w:tab/>
            </w:r>
            <w:r w:rsidRPr="00AA4677">
              <w:rPr>
                <w:noProof/>
                <w:webHidden/>
              </w:rPr>
              <w:fldChar w:fldCharType="begin"/>
            </w:r>
            <w:r w:rsidRPr="00AA4677">
              <w:rPr>
                <w:noProof/>
                <w:webHidden/>
              </w:rPr>
              <w:instrText xml:space="preserve"> PAGEREF _Toc192678269 \h </w:instrText>
            </w:r>
            <w:r w:rsidRPr="00AA4677">
              <w:rPr>
                <w:noProof/>
                <w:webHidden/>
              </w:rPr>
            </w:r>
            <w:r w:rsidRPr="00AA4677">
              <w:rPr>
                <w:noProof/>
                <w:webHidden/>
              </w:rPr>
              <w:fldChar w:fldCharType="separate"/>
            </w:r>
            <w:r w:rsidRPr="00AA4677">
              <w:rPr>
                <w:noProof/>
                <w:webHidden/>
              </w:rPr>
              <w:t>205</w:t>
            </w:r>
            <w:r w:rsidRPr="00AA4677">
              <w:rPr>
                <w:noProof/>
                <w:webHidden/>
              </w:rPr>
              <w:fldChar w:fldCharType="end"/>
            </w:r>
          </w:hyperlink>
        </w:p>
        <w:p w14:paraId="0B2D41C7" w14:textId="0FF59226" w:rsidR="0030581A" w:rsidRPr="00AA4677" w:rsidRDefault="0030581A">
          <w:pPr>
            <w:pStyle w:val="TOC2"/>
            <w:tabs>
              <w:tab w:val="right" w:leader="dot" w:pos="9630"/>
            </w:tabs>
            <w:rPr>
              <w:rFonts w:eastAsiaTheme="minorEastAsia"/>
              <w:noProof/>
              <w:kern w:val="2"/>
              <w:szCs w:val="24"/>
              <w14:ligatures w14:val="standardContextual"/>
            </w:rPr>
          </w:pPr>
          <w:hyperlink w:anchor="_Toc192678270" w:history="1">
            <w:r w:rsidRPr="00AA4677">
              <w:rPr>
                <w:rStyle w:val="Hyperlink"/>
                <w:noProof/>
              </w:rPr>
              <w:t>16.2 Definitions</w:t>
            </w:r>
            <w:r w:rsidRPr="00AA4677">
              <w:rPr>
                <w:noProof/>
                <w:webHidden/>
              </w:rPr>
              <w:tab/>
            </w:r>
            <w:r w:rsidRPr="00AA4677">
              <w:rPr>
                <w:noProof/>
                <w:webHidden/>
              </w:rPr>
              <w:fldChar w:fldCharType="begin"/>
            </w:r>
            <w:r w:rsidRPr="00AA4677">
              <w:rPr>
                <w:noProof/>
                <w:webHidden/>
              </w:rPr>
              <w:instrText xml:space="preserve"> PAGEREF _Toc192678270 \h </w:instrText>
            </w:r>
            <w:r w:rsidRPr="00AA4677">
              <w:rPr>
                <w:noProof/>
                <w:webHidden/>
              </w:rPr>
            </w:r>
            <w:r w:rsidRPr="00AA4677">
              <w:rPr>
                <w:noProof/>
                <w:webHidden/>
              </w:rPr>
              <w:fldChar w:fldCharType="separate"/>
            </w:r>
            <w:r w:rsidRPr="00AA4677">
              <w:rPr>
                <w:noProof/>
                <w:webHidden/>
              </w:rPr>
              <w:t>206</w:t>
            </w:r>
            <w:r w:rsidRPr="00AA4677">
              <w:rPr>
                <w:noProof/>
                <w:webHidden/>
              </w:rPr>
              <w:fldChar w:fldCharType="end"/>
            </w:r>
          </w:hyperlink>
        </w:p>
        <w:p w14:paraId="62412936" w14:textId="13059B68" w:rsidR="0030581A" w:rsidRPr="00AA4677" w:rsidRDefault="0030581A">
          <w:pPr>
            <w:pStyle w:val="TOC1"/>
            <w:rPr>
              <w:rFonts w:eastAsiaTheme="minorEastAsia"/>
              <w:noProof/>
              <w:kern w:val="2"/>
              <w:szCs w:val="24"/>
              <w14:ligatures w14:val="standardContextual"/>
            </w:rPr>
          </w:pPr>
          <w:hyperlink w:anchor="_Toc192678271" w:history="1">
            <w:r w:rsidRPr="00AA4677">
              <w:rPr>
                <w:rStyle w:val="Hyperlink"/>
                <w:noProof/>
              </w:rPr>
              <w:t>16.3 Historical Background</w:t>
            </w:r>
            <w:r w:rsidRPr="00AA4677">
              <w:rPr>
                <w:noProof/>
                <w:webHidden/>
              </w:rPr>
              <w:tab/>
            </w:r>
            <w:r w:rsidRPr="00AA4677">
              <w:rPr>
                <w:noProof/>
                <w:webHidden/>
              </w:rPr>
              <w:fldChar w:fldCharType="begin"/>
            </w:r>
            <w:r w:rsidRPr="00AA4677">
              <w:rPr>
                <w:noProof/>
                <w:webHidden/>
              </w:rPr>
              <w:instrText xml:space="preserve"> PAGEREF _Toc192678271 \h </w:instrText>
            </w:r>
            <w:r w:rsidRPr="00AA4677">
              <w:rPr>
                <w:noProof/>
                <w:webHidden/>
              </w:rPr>
            </w:r>
            <w:r w:rsidRPr="00AA4677">
              <w:rPr>
                <w:noProof/>
                <w:webHidden/>
              </w:rPr>
              <w:fldChar w:fldCharType="separate"/>
            </w:r>
            <w:r w:rsidRPr="00AA4677">
              <w:rPr>
                <w:noProof/>
                <w:webHidden/>
              </w:rPr>
              <w:t>208</w:t>
            </w:r>
            <w:r w:rsidRPr="00AA4677">
              <w:rPr>
                <w:noProof/>
                <w:webHidden/>
              </w:rPr>
              <w:fldChar w:fldCharType="end"/>
            </w:r>
          </w:hyperlink>
        </w:p>
        <w:p w14:paraId="78D6E61D" w14:textId="53058A8A" w:rsidR="0030581A" w:rsidRPr="00AA4677" w:rsidRDefault="0030581A">
          <w:pPr>
            <w:pStyle w:val="TOC2"/>
            <w:tabs>
              <w:tab w:val="right" w:leader="dot" w:pos="9630"/>
            </w:tabs>
            <w:rPr>
              <w:rFonts w:eastAsiaTheme="minorEastAsia"/>
              <w:noProof/>
              <w:kern w:val="2"/>
              <w:szCs w:val="24"/>
              <w14:ligatures w14:val="standardContextual"/>
            </w:rPr>
          </w:pPr>
          <w:hyperlink w:anchor="_Toc192678272" w:history="1">
            <w:r w:rsidRPr="00AA4677">
              <w:rPr>
                <w:rStyle w:val="Hyperlink"/>
                <w:noProof/>
              </w:rPr>
              <w:t>16.4 Research under HIPAA</w:t>
            </w:r>
            <w:r w:rsidRPr="00AA4677">
              <w:rPr>
                <w:noProof/>
                <w:webHidden/>
              </w:rPr>
              <w:tab/>
            </w:r>
            <w:r w:rsidRPr="00AA4677">
              <w:rPr>
                <w:noProof/>
                <w:webHidden/>
              </w:rPr>
              <w:fldChar w:fldCharType="begin"/>
            </w:r>
            <w:r w:rsidRPr="00AA4677">
              <w:rPr>
                <w:noProof/>
                <w:webHidden/>
              </w:rPr>
              <w:instrText xml:space="preserve"> PAGEREF _Toc192678272 \h </w:instrText>
            </w:r>
            <w:r w:rsidRPr="00AA4677">
              <w:rPr>
                <w:noProof/>
                <w:webHidden/>
              </w:rPr>
            </w:r>
            <w:r w:rsidRPr="00AA4677">
              <w:rPr>
                <w:noProof/>
                <w:webHidden/>
              </w:rPr>
              <w:fldChar w:fldCharType="separate"/>
            </w:r>
            <w:r w:rsidRPr="00AA4677">
              <w:rPr>
                <w:noProof/>
                <w:webHidden/>
              </w:rPr>
              <w:t>208</w:t>
            </w:r>
            <w:r w:rsidRPr="00AA4677">
              <w:rPr>
                <w:noProof/>
                <w:webHidden/>
              </w:rPr>
              <w:fldChar w:fldCharType="end"/>
            </w:r>
          </w:hyperlink>
        </w:p>
        <w:p w14:paraId="6746DD25" w14:textId="78DE508C" w:rsidR="0030581A" w:rsidRPr="00AA4677" w:rsidRDefault="0030581A">
          <w:pPr>
            <w:pStyle w:val="TOC2"/>
            <w:tabs>
              <w:tab w:val="right" w:leader="dot" w:pos="9630"/>
            </w:tabs>
            <w:rPr>
              <w:rFonts w:eastAsiaTheme="minorEastAsia"/>
              <w:noProof/>
              <w:kern w:val="2"/>
              <w:szCs w:val="24"/>
              <w14:ligatures w14:val="standardContextual"/>
            </w:rPr>
          </w:pPr>
          <w:hyperlink w:anchor="_Toc192678273" w:history="1">
            <w:r w:rsidRPr="00AA4677">
              <w:rPr>
                <w:rStyle w:val="Hyperlink"/>
                <w:noProof/>
              </w:rPr>
              <w:t>16.5 HIPAA and Documentation Requirements</w:t>
            </w:r>
            <w:r w:rsidRPr="00AA4677">
              <w:rPr>
                <w:noProof/>
                <w:webHidden/>
              </w:rPr>
              <w:tab/>
            </w:r>
            <w:r w:rsidRPr="00AA4677">
              <w:rPr>
                <w:noProof/>
                <w:webHidden/>
              </w:rPr>
              <w:fldChar w:fldCharType="begin"/>
            </w:r>
            <w:r w:rsidRPr="00AA4677">
              <w:rPr>
                <w:noProof/>
                <w:webHidden/>
              </w:rPr>
              <w:instrText xml:space="preserve"> PAGEREF _Toc192678273 \h </w:instrText>
            </w:r>
            <w:r w:rsidRPr="00AA4677">
              <w:rPr>
                <w:noProof/>
                <w:webHidden/>
              </w:rPr>
            </w:r>
            <w:r w:rsidRPr="00AA4677">
              <w:rPr>
                <w:noProof/>
                <w:webHidden/>
              </w:rPr>
              <w:fldChar w:fldCharType="separate"/>
            </w:r>
            <w:r w:rsidRPr="00AA4677">
              <w:rPr>
                <w:noProof/>
                <w:webHidden/>
              </w:rPr>
              <w:t>214</w:t>
            </w:r>
            <w:r w:rsidRPr="00AA4677">
              <w:rPr>
                <w:noProof/>
                <w:webHidden/>
              </w:rPr>
              <w:fldChar w:fldCharType="end"/>
            </w:r>
          </w:hyperlink>
        </w:p>
        <w:p w14:paraId="249EC2F6" w14:textId="7328321E" w:rsidR="0030581A" w:rsidRPr="00AA4677" w:rsidRDefault="0030581A">
          <w:pPr>
            <w:pStyle w:val="TOC1"/>
            <w:rPr>
              <w:rFonts w:eastAsiaTheme="minorEastAsia"/>
              <w:noProof/>
              <w:kern w:val="2"/>
              <w:szCs w:val="24"/>
              <w14:ligatures w14:val="standardContextual"/>
            </w:rPr>
          </w:pPr>
          <w:hyperlink w:anchor="_Toc192678274" w:history="1">
            <w:r w:rsidRPr="00AA4677">
              <w:rPr>
                <w:rStyle w:val="Hyperlink"/>
                <w:noProof/>
              </w:rPr>
              <w:t>17 Special Topics</w:t>
            </w:r>
            <w:r w:rsidRPr="00AA4677">
              <w:rPr>
                <w:noProof/>
                <w:webHidden/>
              </w:rPr>
              <w:tab/>
            </w:r>
            <w:r w:rsidRPr="00AA4677">
              <w:rPr>
                <w:noProof/>
                <w:webHidden/>
              </w:rPr>
              <w:fldChar w:fldCharType="begin"/>
            </w:r>
            <w:r w:rsidRPr="00AA4677">
              <w:rPr>
                <w:noProof/>
                <w:webHidden/>
              </w:rPr>
              <w:instrText xml:space="preserve"> PAGEREF _Toc192678274 \h </w:instrText>
            </w:r>
            <w:r w:rsidRPr="00AA4677">
              <w:rPr>
                <w:noProof/>
                <w:webHidden/>
              </w:rPr>
            </w:r>
            <w:r w:rsidRPr="00AA4677">
              <w:rPr>
                <w:noProof/>
                <w:webHidden/>
              </w:rPr>
              <w:fldChar w:fldCharType="separate"/>
            </w:r>
            <w:r w:rsidRPr="00AA4677">
              <w:rPr>
                <w:noProof/>
                <w:webHidden/>
              </w:rPr>
              <w:t>215</w:t>
            </w:r>
            <w:r w:rsidRPr="00AA4677">
              <w:rPr>
                <w:noProof/>
                <w:webHidden/>
              </w:rPr>
              <w:fldChar w:fldCharType="end"/>
            </w:r>
          </w:hyperlink>
        </w:p>
        <w:p w14:paraId="79AA2E22" w14:textId="5267E42F" w:rsidR="0030581A" w:rsidRPr="00AA4677" w:rsidRDefault="0030581A">
          <w:pPr>
            <w:pStyle w:val="TOC2"/>
            <w:tabs>
              <w:tab w:val="right" w:leader="dot" w:pos="9630"/>
            </w:tabs>
            <w:rPr>
              <w:rFonts w:eastAsiaTheme="minorEastAsia"/>
              <w:noProof/>
              <w:kern w:val="2"/>
              <w:szCs w:val="24"/>
              <w14:ligatures w14:val="standardContextual"/>
            </w:rPr>
          </w:pPr>
          <w:hyperlink w:anchor="_Toc192678275" w:history="1">
            <w:r w:rsidRPr="00AA4677">
              <w:rPr>
                <w:rStyle w:val="Hyperlink"/>
                <w:noProof/>
              </w:rPr>
              <w:t>17.1 Quality Assurance/ Quality Improvement (QA/QI) Activities vs. Research Activities</w:t>
            </w:r>
            <w:r w:rsidRPr="00AA4677">
              <w:rPr>
                <w:noProof/>
                <w:webHidden/>
              </w:rPr>
              <w:tab/>
            </w:r>
            <w:r w:rsidRPr="00AA4677">
              <w:rPr>
                <w:noProof/>
                <w:webHidden/>
              </w:rPr>
              <w:fldChar w:fldCharType="begin"/>
            </w:r>
            <w:r w:rsidRPr="00AA4677">
              <w:rPr>
                <w:noProof/>
                <w:webHidden/>
              </w:rPr>
              <w:instrText xml:space="preserve"> PAGEREF _Toc192678275 \h </w:instrText>
            </w:r>
            <w:r w:rsidRPr="00AA4677">
              <w:rPr>
                <w:noProof/>
                <w:webHidden/>
              </w:rPr>
            </w:r>
            <w:r w:rsidRPr="00AA4677">
              <w:rPr>
                <w:noProof/>
                <w:webHidden/>
              </w:rPr>
              <w:fldChar w:fldCharType="separate"/>
            </w:r>
            <w:r w:rsidRPr="00AA4677">
              <w:rPr>
                <w:noProof/>
                <w:webHidden/>
              </w:rPr>
              <w:t>215</w:t>
            </w:r>
            <w:r w:rsidRPr="00AA4677">
              <w:rPr>
                <w:noProof/>
                <w:webHidden/>
              </w:rPr>
              <w:fldChar w:fldCharType="end"/>
            </w:r>
          </w:hyperlink>
        </w:p>
        <w:p w14:paraId="10B8B53B" w14:textId="0FCEB1E3" w:rsidR="0030581A" w:rsidRPr="00AA4677" w:rsidRDefault="0030581A">
          <w:pPr>
            <w:pStyle w:val="TOC2"/>
            <w:tabs>
              <w:tab w:val="right" w:leader="dot" w:pos="9630"/>
            </w:tabs>
            <w:rPr>
              <w:rFonts w:eastAsiaTheme="minorEastAsia"/>
              <w:noProof/>
              <w:kern w:val="2"/>
              <w:szCs w:val="24"/>
              <w14:ligatures w14:val="standardContextual"/>
            </w:rPr>
          </w:pPr>
          <w:hyperlink w:anchor="_Toc192678276" w:history="1">
            <w:r w:rsidRPr="00AA4677">
              <w:rPr>
                <w:rStyle w:val="Hyperlink"/>
                <w:noProof/>
              </w:rPr>
              <w:t>17.2 Data/ Tissue Registries/ Banks</w:t>
            </w:r>
            <w:r w:rsidRPr="00AA4677">
              <w:rPr>
                <w:noProof/>
                <w:webHidden/>
              </w:rPr>
              <w:tab/>
            </w:r>
            <w:r w:rsidRPr="00AA4677">
              <w:rPr>
                <w:noProof/>
                <w:webHidden/>
              </w:rPr>
              <w:fldChar w:fldCharType="begin"/>
            </w:r>
            <w:r w:rsidRPr="00AA4677">
              <w:rPr>
                <w:noProof/>
                <w:webHidden/>
              </w:rPr>
              <w:instrText xml:space="preserve"> PAGEREF _Toc192678276 \h </w:instrText>
            </w:r>
            <w:r w:rsidRPr="00AA4677">
              <w:rPr>
                <w:noProof/>
                <w:webHidden/>
              </w:rPr>
            </w:r>
            <w:r w:rsidRPr="00AA4677">
              <w:rPr>
                <w:noProof/>
                <w:webHidden/>
              </w:rPr>
              <w:fldChar w:fldCharType="separate"/>
            </w:r>
            <w:r w:rsidRPr="00AA4677">
              <w:rPr>
                <w:noProof/>
                <w:webHidden/>
              </w:rPr>
              <w:t>217</w:t>
            </w:r>
            <w:r w:rsidRPr="00AA4677">
              <w:rPr>
                <w:noProof/>
                <w:webHidden/>
              </w:rPr>
              <w:fldChar w:fldCharType="end"/>
            </w:r>
          </w:hyperlink>
        </w:p>
        <w:p w14:paraId="190D5B0C" w14:textId="13A8073D" w:rsidR="0030581A" w:rsidRPr="00AA4677" w:rsidRDefault="0030581A">
          <w:pPr>
            <w:pStyle w:val="TOC2"/>
            <w:tabs>
              <w:tab w:val="right" w:leader="dot" w:pos="9630"/>
            </w:tabs>
            <w:rPr>
              <w:rFonts w:eastAsiaTheme="minorEastAsia"/>
              <w:noProof/>
              <w:kern w:val="2"/>
              <w:szCs w:val="24"/>
              <w14:ligatures w14:val="standardContextual"/>
            </w:rPr>
          </w:pPr>
          <w:hyperlink w:anchor="_Toc192678277" w:history="1">
            <w:r w:rsidRPr="00AA4677">
              <w:rPr>
                <w:rStyle w:val="Hyperlink"/>
                <w:noProof/>
              </w:rPr>
              <w:t>17.3 International Research</w:t>
            </w:r>
            <w:r w:rsidRPr="00AA4677">
              <w:rPr>
                <w:noProof/>
                <w:webHidden/>
              </w:rPr>
              <w:tab/>
            </w:r>
            <w:r w:rsidRPr="00AA4677">
              <w:rPr>
                <w:noProof/>
                <w:webHidden/>
              </w:rPr>
              <w:fldChar w:fldCharType="begin"/>
            </w:r>
            <w:r w:rsidRPr="00AA4677">
              <w:rPr>
                <w:noProof/>
                <w:webHidden/>
              </w:rPr>
              <w:instrText xml:space="preserve"> PAGEREF _Toc192678277 \h </w:instrText>
            </w:r>
            <w:r w:rsidRPr="00AA4677">
              <w:rPr>
                <w:noProof/>
                <w:webHidden/>
              </w:rPr>
            </w:r>
            <w:r w:rsidRPr="00AA4677">
              <w:rPr>
                <w:noProof/>
                <w:webHidden/>
              </w:rPr>
              <w:fldChar w:fldCharType="separate"/>
            </w:r>
            <w:r w:rsidRPr="00AA4677">
              <w:rPr>
                <w:noProof/>
                <w:webHidden/>
              </w:rPr>
              <w:t>219</w:t>
            </w:r>
            <w:r w:rsidRPr="00AA4677">
              <w:rPr>
                <w:noProof/>
                <w:webHidden/>
              </w:rPr>
              <w:fldChar w:fldCharType="end"/>
            </w:r>
          </w:hyperlink>
        </w:p>
        <w:p w14:paraId="306AA132" w14:textId="2ECAA753" w:rsidR="0030581A" w:rsidRPr="00AA4677" w:rsidRDefault="0030581A">
          <w:pPr>
            <w:pStyle w:val="TOC2"/>
            <w:tabs>
              <w:tab w:val="right" w:leader="dot" w:pos="9630"/>
            </w:tabs>
            <w:rPr>
              <w:rFonts w:eastAsiaTheme="minorEastAsia"/>
              <w:noProof/>
              <w:kern w:val="2"/>
              <w:szCs w:val="24"/>
              <w14:ligatures w14:val="standardContextual"/>
            </w:rPr>
          </w:pPr>
          <w:hyperlink w:anchor="_Toc192678278" w:history="1">
            <w:r w:rsidRPr="00AA4677">
              <w:rPr>
                <w:rStyle w:val="Hyperlink"/>
                <w:noProof/>
              </w:rPr>
              <w:t>17.4 Registration of Clinical Trials</w:t>
            </w:r>
            <w:r w:rsidRPr="00AA4677">
              <w:rPr>
                <w:noProof/>
                <w:webHidden/>
              </w:rPr>
              <w:tab/>
            </w:r>
            <w:r w:rsidRPr="00AA4677">
              <w:rPr>
                <w:noProof/>
                <w:webHidden/>
              </w:rPr>
              <w:fldChar w:fldCharType="begin"/>
            </w:r>
            <w:r w:rsidRPr="00AA4677">
              <w:rPr>
                <w:noProof/>
                <w:webHidden/>
              </w:rPr>
              <w:instrText xml:space="preserve"> PAGEREF _Toc192678278 \h </w:instrText>
            </w:r>
            <w:r w:rsidRPr="00AA4677">
              <w:rPr>
                <w:noProof/>
                <w:webHidden/>
              </w:rPr>
            </w:r>
            <w:r w:rsidRPr="00AA4677">
              <w:rPr>
                <w:noProof/>
                <w:webHidden/>
              </w:rPr>
              <w:fldChar w:fldCharType="separate"/>
            </w:r>
            <w:r w:rsidRPr="00AA4677">
              <w:rPr>
                <w:noProof/>
                <w:webHidden/>
              </w:rPr>
              <w:t>221</w:t>
            </w:r>
            <w:r w:rsidRPr="00AA4677">
              <w:rPr>
                <w:noProof/>
                <w:webHidden/>
              </w:rPr>
              <w:fldChar w:fldCharType="end"/>
            </w:r>
          </w:hyperlink>
        </w:p>
        <w:p w14:paraId="05B6B9BC" w14:textId="5ED9E895" w:rsidR="0030581A" w:rsidRPr="00AA4677" w:rsidRDefault="0030581A">
          <w:pPr>
            <w:pStyle w:val="TOC2"/>
            <w:tabs>
              <w:tab w:val="right" w:leader="dot" w:pos="9630"/>
            </w:tabs>
            <w:rPr>
              <w:rFonts w:eastAsiaTheme="minorEastAsia"/>
              <w:noProof/>
              <w:kern w:val="2"/>
              <w:szCs w:val="24"/>
              <w14:ligatures w14:val="standardContextual"/>
            </w:rPr>
          </w:pPr>
          <w:hyperlink w:anchor="_Toc192678279" w:history="1">
            <w:r w:rsidRPr="00AA4677">
              <w:rPr>
                <w:rStyle w:val="Hyperlink"/>
                <w:noProof/>
              </w:rPr>
              <w:t>17.5 Guidance on Research (only) Involving Coded Private Information or Biological Specimens</w:t>
            </w:r>
            <w:r w:rsidRPr="00AA4677">
              <w:rPr>
                <w:noProof/>
                <w:webHidden/>
              </w:rPr>
              <w:tab/>
            </w:r>
            <w:r w:rsidRPr="00AA4677">
              <w:rPr>
                <w:noProof/>
                <w:webHidden/>
              </w:rPr>
              <w:fldChar w:fldCharType="begin"/>
            </w:r>
            <w:r w:rsidRPr="00AA4677">
              <w:rPr>
                <w:noProof/>
                <w:webHidden/>
              </w:rPr>
              <w:instrText xml:space="preserve"> PAGEREF _Toc192678279 \h </w:instrText>
            </w:r>
            <w:r w:rsidRPr="00AA4677">
              <w:rPr>
                <w:noProof/>
                <w:webHidden/>
              </w:rPr>
            </w:r>
            <w:r w:rsidRPr="00AA4677">
              <w:rPr>
                <w:noProof/>
                <w:webHidden/>
              </w:rPr>
              <w:fldChar w:fldCharType="separate"/>
            </w:r>
            <w:r w:rsidRPr="00AA4677">
              <w:rPr>
                <w:noProof/>
                <w:webHidden/>
              </w:rPr>
              <w:t>222</w:t>
            </w:r>
            <w:r w:rsidRPr="00AA4677">
              <w:rPr>
                <w:noProof/>
                <w:webHidden/>
              </w:rPr>
              <w:fldChar w:fldCharType="end"/>
            </w:r>
          </w:hyperlink>
        </w:p>
        <w:p w14:paraId="4E00081C" w14:textId="4172730B" w:rsidR="0030581A" w:rsidRPr="00AA4677" w:rsidRDefault="0030581A">
          <w:pPr>
            <w:pStyle w:val="TOC2"/>
            <w:tabs>
              <w:tab w:val="right" w:leader="dot" w:pos="9630"/>
            </w:tabs>
            <w:rPr>
              <w:rFonts w:eastAsiaTheme="minorEastAsia"/>
              <w:noProof/>
              <w:kern w:val="2"/>
              <w:szCs w:val="24"/>
              <w14:ligatures w14:val="standardContextual"/>
            </w:rPr>
          </w:pPr>
          <w:hyperlink w:anchor="_Toc192678280" w:history="1">
            <w:r w:rsidRPr="00AA4677">
              <w:rPr>
                <w:rStyle w:val="Hyperlink"/>
                <w:noProof/>
              </w:rPr>
              <w:t>17.6 Policy on Payment of Research Related Injury Costs Due in Industry-funded and initiated Clinical Trials</w:t>
            </w:r>
            <w:r w:rsidRPr="00AA4677">
              <w:rPr>
                <w:noProof/>
                <w:webHidden/>
              </w:rPr>
              <w:tab/>
            </w:r>
            <w:r w:rsidRPr="00AA4677">
              <w:rPr>
                <w:noProof/>
                <w:webHidden/>
              </w:rPr>
              <w:fldChar w:fldCharType="begin"/>
            </w:r>
            <w:r w:rsidRPr="00AA4677">
              <w:rPr>
                <w:noProof/>
                <w:webHidden/>
              </w:rPr>
              <w:instrText xml:space="preserve"> PAGEREF _Toc192678280 \h </w:instrText>
            </w:r>
            <w:r w:rsidRPr="00AA4677">
              <w:rPr>
                <w:noProof/>
                <w:webHidden/>
              </w:rPr>
            </w:r>
            <w:r w:rsidRPr="00AA4677">
              <w:rPr>
                <w:noProof/>
                <w:webHidden/>
              </w:rPr>
              <w:fldChar w:fldCharType="separate"/>
            </w:r>
            <w:r w:rsidRPr="00AA4677">
              <w:rPr>
                <w:noProof/>
                <w:webHidden/>
              </w:rPr>
              <w:t>227</w:t>
            </w:r>
            <w:r w:rsidRPr="00AA4677">
              <w:rPr>
                <w:noProof/>
                <w:webHidden/>
              </w:rPr>
              <w:fldChar w:fldCharType="end"/>
            </w:r>
          </w:hyperlink>
        </w:p>
        <w:p w14:paraId="7243F774" w14:textId="58D29C0B" w:rsidR="0030581A" w:rsidRPr="00AA4677" w:rsidRDefault="0030581A">
          <w:pPr>
            <w:pStyle w:val="TOC2"/>
            <w:tabs>
              <w:tab w:val="right" w:leader="dot" w:pos="9630"/>
            </w:tabs>
            <w:rPr>
              <w:rFonts w:eastAsiaTheme="minorEastAsia"/>
              <w:noProof/>
              <w:kern w:val="2"/>
              <w:szCs w:val="24"/>
              <w14:ligatures w14:val="standardContextual"/>
            </w:rPr>
          </w:pPr>
          <w:hyperlink w:anchor="_Toc192678281" w:history="1">
            <w:r w:rsidRPr="00AA4677">
              <w:rPr>
                <w:rStyle w:val="Hyperlink"/>
                <w:noProof/>
              </w:rPr>
              <w:t>17.7 Application of ICH-Good Clinical Practice (GCP)</w:t>
            </w:r>
            <w:r w:rsidRPr="00AA4677">
              <w:rPr>
                <w:noProof/>
                <w:webHidden/>
              </w:rPr>
              <w:tab/>
            </w:r>
            <w:r w:rsidRPr="00AA4677">
              <w:rPr>
                <w:noProof/>
                <w:webHidden/>
              </w:rPr>
              <w:fldChar w:fldCharType="begin"/>
            </w:r>
            <w:r w:rsidRPr="00AA4677">
              <w:rPr>
                <w:noProof/>
                <w:webHidden/>
              </w:rPr>
              <w:instrText xml:space="preserve"> PAGEREF _Toc192678281 \h </w:instrText>
            </w:r>
            <w:r w:rsidRPr="00AA4677">
              <w:rPr>
                <w:noProof/>
                <w:webHidden/>
              </w:rPr>
            </w:r>
            <w:r w:rsidRPr="00AA4677">
              <w:rPr>
                <w:noProof/>
                <w:webHidden/>
              </w:rPr>
              <w:fldChar w:fldCharType="separate"/>
            </w:r>
            <w:r w:rsidRPr="00AA4677">
              <w:rPr>
                <w:noProof/>
                <w:webHidden/>
              </w:rPr>
              <w:t>227</w:t>
            </w:r>
            <w:r w:rsidRPr="00AA4677">
              <w:rPr>
                <w:noProof/>
                <w:webHidden/>
              </w:rPr>
              <w:fldChar w:fldCharType="end"/>
            </w:r>
          </w:hyperlink>
        </w:p>
        <w:p w14:paraId="347922D0" w14:textId="05375092" w:rsidR="0030581A" w:rsidRPr="00AA4677" w:rsidRDefault="0030581A">
          <w:pPr>
            <w:pStyle w:val="TOC2"/>
            <w:tabs>
              <w:tab w:val="right" w:leader="dot" w:pos="9630"/>
            </w:tabs>
            <w:rPr>
              <w:rFonts w:eastAsiaTheme="minorEastAsia"/>
              <w:noProof/>
              <w:kern w:val="2"/>
              <w:szCs w:val="24"/>
              <w14:ligatures w14:val="standardContextual"/>
            </w:rPr>
          </w:pPr>
          <w:hyperlink w:anchor="_Toc192678282" w:history="1">
            <w:r w:rsidRPr="00AA4677">
              <w:rPr>
                <w:rStyle w:val="Hyperlink"/>
                <w:noProof/>
              </w:rPr>
              <w:t>17.8 Policy on Non-English Speakers as Research Subjects</w:t>
            </w:r>
            <w:r w:rsidRPr="00AA4677">
              <w:rPr>
                <w:noProof/>
                <w:webHidden/>
              </w:rPr>
              <w:tab/>
            </w:r>
            <w:r w:rsidRPr="00AA4677">
              <w:rPr>
                <w:noProof/>
                <w:webHidden/>
              </w:rPr>
              <w:fldChar w:fldCharType="begin"/>
            </w:r>
            <w:r w:rsidRPr="00AA4677">
              <w:rPr>
                <w:noProof/>
                <w:webHidden/>
              </w:rPr>
              <w:instrText xml:space="preserve"> PAGEREF _Toc192678282 \h </w:instrText>
            </w:r>
            <w:r w:rsidRPr="00AA4677">
              <w:rPr>
                <w:noProof/>
                <w:webHidden/>
              </w:rPr>
            </w:r>
            <w:r w:rsidRPr="00AA4677">
              <w:rPr>
                <w:noProof/>
                <w:webHidden/>
              </w:rPr>
              <w:fldChar w:fldCharType="separate"/>
            </w:r>
            <w:r w:rsidRPr="00AA4677">
              <w:rPr>
                <w:noProof/>
                <w:webHidden/>
              </w:rPr>
              <w:t>228</w:t>
            </w:r>
            <w:r w:rsidRPr="00AA4677">
              <w:rPr>
                <w:noProof/>
                <w:webHidden/>
              </w:rPr>
              <w:fldChar w:fldCharType="end"/>
            </w:r>
          </w:hyperlink>
        </w:p>
        <w:p w14:paraId="26396134" w14:textId="076D7CC3" w:rsidR="0030581A" w:rsidRPr="00AA4677" w:rsidRDefault="0030581A">
          <w:pPr>
            <w:pStyle w:val="TOC2"/>
            <w:tabs>
              <w:tab w:val="right" w:leader="dot" w:pos="9630"/>
            </w:tabs>
            <w:rPr>
              <w:rFonts w:eastAsiaTheme="minorEastAsia"/>
              <w:noProof/>
              <w:kern w:val="2"/>
              <w:szCs w:val="24"/>
              <w14:ligatures w14:val="standardContextual"/>
            </w:rPr>
          </w:pPr>
          <w:hyperlink w:anchor="_Toc192678283" w:history="1">
            <w:r w:rsidRPr="00AA4677">
              <w:rPr>
                <w:rStyle w:val="Hyperlink"/>
                <w:noProof/>
              </w:rPr>
              <w:t>17.9 SBU Guidance on the Management of Incidental Findings in Human Research</w:t>
            </w:r>
            <w:r w:rsidRPr="00AA4677">
              <w:rPr>
                <w:noProof/>
                <w:webHidden/>
              </w:rPr>
              <w:tab/>
            </w:r>
            <w:r w:rsidRPr="00AA4677">
              <w:rPr>
                <w:noProof/>
                <w:webHidden/>
              </w:rPr>
              <w:fldChar w:fldCharType="begin"/>
            </w:r>
            <w:r w:rsidRPr="00AA4677">
              <w:rPr>
                <w:noProof/>
                <w:webHidden/>
              </w:rPr>
              <w:instrText xml:space="preserve"> PAGEREF _Toc192678283 \h </w:instrText>
            </w:r>
            <w:r w:rsidRPr="00AA4677">
              <w:rPr>
                <w:noProof/>
                <w:webHidden/>
              </w:rPr>
            </w:r>
            <w:r w:rsidRPr="00AA4677">
              <w:rPr>
                <w:noProof/>
                <w:webHidden/>
              </w:rPr>
              <w:fldChar w:fldCharType="separate"/>
            </w:r>
            <w:r w:rsidRPr="00AA4677">
              <w:rPr>
                <w:noProof/>
                <w:webHidden/>
              </w:rPr>
              <w:t>230</w:t>
            </w:r>
            <w:r w:rsidRPr="00AA4677">
              <w:rPr>
                <w:noProof/>
                <w:webHidden/>
              </w:rPr>
              <w:fldChar w:fldCharType="end"/>
            </w:r>
          </w:hyperlink>
        </w:p>
        <w:p w14:paraId="0252C0FD" w14:textId="220D3597" w:rsidR="0030581A" w:rsidRPr="00AA4677" w:rsidRDefault="0030581A">
          <w:pPr>
            <w:pStyle w:val="TOC2"/>
            <w:tabs>
              <w:tab w:val="right" w:leader="dot" w:pos="9630"/>
            </w:tabs>
            <w:rPr>
              <w:rFonts w:eastAsiaTheme="minorEastAsia"/>
              <w:noProof/>
              <w:kern w:val="2"/>
              <w:szCs w:val="24"/>
              <w14:ligatures w14:val="standardContextual"/>
            </w:rPr>
          </w:pPr>
          <w:hyperlink w:anchor="_Toc192678284" w:history="1">
            <w:r w:rsidRPr="00AA4677">
              <w:rPr>
                <w:rStyle w:val="Hyperlink"/>
                <w:noProof/>
              </w:rPr>
              <w:t>17.10 Community Based Participatory Research (CBPR)</w:t>
            </w:r>
            <w:r w:rsidRPr="00AA4677">
              <w:rPr>
                <w:noProof/>
                <w:webHidden/>
              </w:rPr>
              <w:tab/>
            </w:r>
            <w:r w:rsidRPr="00AA4677">
              <w:rPr>
                <w:noProof/>
                <w:webHidden/>
              </w:rPr>
              <w:fldChar w:fldCharType="begin"/>
            </w:r>
            <w:r w:rsidRPr="00AA4677">
              <w:rPr>
                <w:noProof/>
                <w:webHidden/>
              </w:rPr>
              <w:instrText xml:space="preserve"> PAGEREF _Toc192678284 \h </w:instrText>
            </w:r>
            <w:r w:rsidRPr="00AA4677">
              <w:rPr>
                <w:noProof/>
                <w:webHidden/>
              </w:rPr>
            </w:r>
            <w:r w:rsidRPr="00AA4677">
              <w:rPr>
                <w:noProof/>
                <w:webHidden/>
              </w:rPr>
              <w:fldChar w:fldCharType="separate"/>
            </w:r>
            <w:r w:rsidRPr="00AA4677">
              <w:rPr>
                <w:noProof/>
                <w:webHidden/>
              </w:rPr>
              <w:t>236</w:t>
            </w:r>
            <w:r w:rsidRPr="00AA4677">
              <w:rPr>
                <w:noProof/>
                <w:webHidden/>
              </w:rPr>
              <w:fldChar w:fldCharType="end"/>
            </w:r>
          </w:hyperlink>
        </w:p>
        <w:p w14:paraId="3BC26D1F" w14:textId="0DB63D49" w:rsidR="0030581A" w:rsidRPr="00AA4677" w:rsidRDefault="0030581A">
          <w:pPr>
            <w:pStyle w:val="TOC2"/>
            <w:tabs>
              <w:tab w:val="right" w:leader="dot" w:pos="9630"/>
            </w:tabs>
            <w:rPr>
              <w:rFonts w:eastAsiaTheme="minorEastAsia"/>
              <w:noProof/>
              <w:kern w:val="2"/>
              <w:szCs w:val="24"/>
              <w14:ligatures w14:val="standardContextual"/>
            </w:rPr>
          </w:pPr>
          <w:hyperlink w:anchor="_Toc192678285" w:history="1">
            <w:r w:rsidRPr="00AA4677">
              <w:rPr>
                <w:rStyle w:val="Hyperlink"/>
                <w:noProof/>
              </w:rPr>
              <w:t>17.11 Proper Documentation in Human Subjects Research</w:t>
            </w:r>
            <w:r w:rsidRPr="00AA4677">
              <w:rPr>
                <w:noProof/>
                <w:webHidden/>
              </w:rPr>
              <w:tab/>
            </w:r>
            <w:r w:rsidRPr="00AA4677">
              <w:rPr>
                <w:noProof/>
                <w:webHidden/>
              </w:rPr>
              <w:fldChar w:fldCharType="begin"/>
            </w:r>
            <w:r w:rsidRPr="00AA4677">
              <w:rPr>
                <w:noProof/>
                <w:webHidden/>
              </w:rPr>
              <w:instrText xml:space="preserve"> PAGEREF _Toc192678285 \h </w:instrText>
            </w:r>
            <w:r w:rsidRPr="00AA4677">
              <w:rPr>
                <w:noProof/>
                <w:webHidden/>
              </w:rPr>
            </w:r>
            <w:r w:rsidRPr="00AA4677">
              <w:rPr>
                <w:noProof/>
                <w:webHidden/>
              </w:rPr>
              <w:fldChar w:fldCharType="separate"/>
            </w:r>
            <w:r w:rsidRPr="00AA4677">
              <w:rPr>
                <w:noProof/>
                <w:webHidden/>
              </w:rPr>
              <w:t>236</w:t>
            </w:r>
            <w:r w:rsidRPr="00AA4677">
              <w:rPr>
                <w:noProof/>
                <w:webHidden/>
              </w:rPr>
              <w:fldChar w:fldCharType="end"/>
            </w:r>
          </w:hyperlink>
        </w:p>
        <w:p w14:paraId="2CE1157B" w14:textId="50926CC4" w:rsidR="0030581A" w:rsidRPr="00AA4677" w:rsidRDefault="0030581A">
          <w:pPr>
            <w:pStyle w:val="TOC2"/>
            <w:tabs>
              <w:tab w:val="right" w:leader="dot" w:pos="9630"/>
            </w:tabs>
            <w:rPr>
              <w:rFonts w:eastAsiaTheme="minorEastAsia"/>
              <w:noProof/>
              <w:kern w:val="2"/>
              <w:szCs w:val="24"/>
              <w14:ligatures w14:val="standardContextual"/>
            </w:rPr>
          </w:pPr>
          <w:hyperlink w:anchor="_Toc192678286" w:history="1">
            <w:r w:rsidRPr="00AA4677">
              <w:rPr>
                <w:rStyle w:val="Hyperlink"/>
                <w:noProof/>
              </w:rPr>
              <w:t>17.12 Genomic Data Sharing (GDS) for NIH Grant Submissions</w:t>
            </w:r>
            <w:r w:rsidRPr="00AA4677">
              <w:rPr>
                <w:noProof/>
                <w:webHidden/>
              </w:rPr>
              <w:tab/>
            </w:r>
            <w:r w:rsidRPr="00AA4677">
              <w:rPr>
                <w:noProof/>
                <w:webHidden/>
              </w:rPr>
              <w:fldChar w:fldCharType="begin"/>
            </w:r>
            <w:r w:rsidRPr="00AA4677">
              <w:rPr>
                <w:noProof/>
                <w:webHidden/>
              </w:rPr>
              <w:instrText xml:space="preserve"> PAGEREF _Toc192678286 \h </w:instrText>
            </w:r>
            <w:r w:rsidRPr="00AA4677">
              <w:rPr>
                <w:noProof/>
                <w:webHidden/>
              </w:rPr>
            </w:r>
            <w:r w:rsidRPr="00AA4677">
              <w:rPr>
                <w:noProof/>
                <w:webHidden/>
              </w:rPr>
              <w:fldChar w:fldCharType="separate"/>
            </w:r>
            <w:r w:rsidRPr="00AA4677">
              <w:rPr>
                <w:noProof/>
                <w:webHidden/>
              </w:rPr>
              <w:t>241</w:t>
            </w:r>
            <w:r w:rsidRPr="00AA4677">
              <w:rPr>
                <w:noProof/>
                <w:webHidden/>
              </w:rPr>
              <w:fldChar w:fldCharType="end"/>
            </w:r>
          </w:hyperlink>
        </w:p>
        <w:p w14:paraId="5201EAA5" w14:textId="4440F7D6" w:rsidR="0030581A" w:rsidRPr="00AA4677" w:rsidRDefault="0030581A">
          <w:pPr>
            <w:pStyle w:val="TOC1"/>
            <w:rPr>
              <w:rFonts w:eastAsiaTheme="minorEastAsia"/>
              <w:noProof/>
              <w:kern w:val="2"/>
              <w:szCs w:val="24"/>
              <w14:ligatures w14:val="standardContextual"/>
            </w:rPr>
          </w:pPr>
          <w:hyperlink w:anchor="_Toc192678287" w:history="1">
            <w:r w:rsidRPr="00AA4677">
              <w:rPr>
                <w:rStyle w:val="Hyperlink"/>
                <w:noProof/>
              </w:rPr>
              <w:t>17.13 NIH Data Management and Sharing Policy</w:t>
            </w:r>
            <w:r w:rsidRPr="00AA4677">
              <w:rPr>
                <w:noProof/>
                <w:webHidden/>
              </w:rPr>
              <w:tab/>
            </w:r>
            <w:r w:rsidRPr="00AA4677">
              <w:rPr>
                <w:noProof/>
                <w:webHidden/>
              </w:rPr>
              <w:fldChar w:fldCharType="begin"/>
            </w:r>
            <w:r w:rsidRPr="00AA4677">
              <w:rPr>
                <w:noProof/>
                <w:webHidden/>
              </w:rPr>
              <w:instrText xml:space="preserve"> PAGEREF _Toc192678287 \h </w:instrText>
            </w:r>
            <w:r w:rsidRPr="00AA4677">
              <w:rPr>
                <w:noProof/>
                <w:webHidden/>
              </w:rPr>
            </w:r>
            <w:r w:rsidRPr="00AA4677">
              <w:rPr>
                <w:noProof/>
                <w:webHidden/>
              </w:rPr>
              <w:fldChar w:fldCharType="separate"/>
            </w:r>
            <w:r w:rsidRPr="00AA4677">
              <w:rPr>
                <w:noProof/>
                <w:webHidden/>
              </w:rPr>
              <w:t>251</w:t>
            </w:r>
            <w:r w:rsidRPr="00AA4677">
              <w:rPr>
                <w:noProof/>
                <w:webHidden/>
              </w:rPr>
              <w:fldChar w:fldCharType="end"/>
            </w:r>
          </w:hyperlink>
        </w:p>
        <w:p w14:paraId="2E93A96A" w14:textId="22E5E360" w:rsidR="0030581A" w:rsidRPr="00AA4677" w:rsidRDefault="0030581A">
          <w:pPr>
            <w:pStyle w:val="TOC2"/>
            <w:tabs>
              <w:tab w:val="right" w:leader="dot" w:pos="9630"/>
            </w:tabs>
            <w:rPr>
              <w:rFonts w:eastAsiaTheme="minorEastAsia"/>
              <w:noProof/>
              <w:kern w:val="2"/>
              <w:szCs w:val="24"/>
              <w14:ligatures w14:val="standardContextual"/>
            </w:rPr>
          </w:pPr>
          <w:hyperlink w:anchor="_Toc192678288" w:history="1">
            <w:r w:rsidRPr="00AA4677">
              <w:rPr>
                <w:rStyle w:val="Hyperlink"/>
                <w:noProof/>
              </w:rPr>
              <w:t>17.14 ResearchMatch as a Recruitment Tool</w:t>
            </w:r>
            <w:r w:rsidRPr="00AA4677">
              <w:rPr>
                <w:noProof/>
                <w:webHidden/>
              </w:rPr>
              <w:tab/>
            </w:r>
            <w:r w:rsidRPr="00AA4677">
              <w:rPr>
                <w:noProof/>
                <w:webHidden/>
              </w:rPr>
              <w:fldChar w:fldCharType="begin"/>
            </w:r>
            <w:r w:rsidRPr="00AA4677">
              <w:rPr>
                <w:noProof/>
                <w:webHidden/>
              </w:rPr>
              <w:instrText xml:space="preserve"> PAGEREF _Toc192678288 \h </w:instrText>
            </w:r>
            <w:r w:rsidRPr="00AA4677">
              <w:rPr>
                <w:noProof/>
                <w:webHidden/>
              </w:rPr>
            </w:r>
            <w:r w:rsidRPr="00AA4677">
              <w:rPr>
                <w:noProof/>
                <w:webHidden/>
              </w:rPr>
              <w:fldChar w:fldCharType="separate"/>
            </w:r>
            <w:r w:rsidRPr="00AA4677">
              <w:rPr>
                <w:noProof/>
                <w:webHidden/>
              </w:rPr>
              <w:t>253</w:t>
            </w:r>
            <w:r w:rsidRPr="00AA4677">
              <w:rPr>
                <w:noProof/>
                <w:webHidden/>
              </w:rPr>
              <w:fldChar w:fldCharType="end"/>
            </w:r>
          </w:hyperlink>
        </w:p>
        <w:p w14:paraId="71D70971" w14:textId="657CF5DA" w:rsidR="0030581A" w:rsidRPr="00AA4677" w:rsidRDefault="0030581A">
          <w:pPr>
            <w:pStyle w:val="TOC2"/>
            <w:tabs>
              <w:tab w:val="right" w:leader="dot" w:pos="9630"/>
            </w:tabs>
            <w:rPr>
              <w:rFonts w:eastAsiaTheme="minorEastAsia"/>
              <w:noProof/>
              <w:kern w:val="2"/>
              <w:szCs w:val="24"/>
              <w14:ligatures w14:val="standardContextual"/>
            </w:rPr>
          </w:pPr>
          <w:hyperlink w:anchor="_Toc192678289" w:history="1">
            <w:r w:rsidRPr="00AA4677">
              <w:rPr>
                <w:rStyle w:val="Hyperlink"/>
                <w:noProof/>
              </w:rPr>
              <w:t>17.15 Conducting Research in a Clinical Setting (e.g., University Hospital): Special Considerations</w:t>
            </w:r>
            <w:r w:rsidRPr="00AA4677">
              <w:rPr>
                <w:noProof/>
                <w:webHidden/>
              </w:rPr>
              <w:tab/>
            </w:r>
            <w:r w:rsidRPr="00AA4677">
              <w:rPr>
                <w:noProof/>
                <w:webHidden/>
              </w:rPr>
              <w:fldChar w:fldCharType="begin"/>
            </w:r>
            <w:r w:rsidRPr="00AA4677">
              <w:rPr>
                <w:noProof/>
                <w:webHidden/>
              </w:rPr>
              <w:instrText xml:space="preserve"> PAGEREF _Toc192678289 \h </w:instrText>
            </w:r>
            <w:r w:rsidRPr="00AA4677">
              <w:rPr>
                <w:noProof/>
                <w:webHidden/>
              </w:rPr>
            </w:r>
            <w:r w:rsidRPr="00AA4677">
              <w:rPr>
                <w:noProof/>
                <w:webHidden/>
              </w:rPr>
              <w:fldChar w:fldCharType="separate"/>
            </w:r>
            <w:r w:rsidRPr="00AA4677">
              <w:rPr>
                <w:noProof/>
                <w:webHidden/>
              </w:rPr>
              <w:t>253</w:t>
            </w:r>
            <w:r w:rsidRPr="00AA4677">
              <w:rPr>
                <w:noProof/>
                <w:webHidden/>
              </w:rPr>
              <w:fldChar w:fldCharType="end"/>
            </w:r>
          </w:hyperlink>
        </w:p>
        <w:p w14:paraId="61922E42" w14:textId="4185A45D" w:rsidR="0030581A" w:rsidRPr="00AA4677" w:rsidRDefault="0030581A">
          <w:pPr>
            <w:pStyle w:val="TOC1"/>
            <w:tabs>
              <w:tab w:val="left" w:pos="1100"/>
            </w:tabs>
            <w:rPr>
              <w:rFonts w:eastAsiaTheme="minorEastAsia"/>
              <w:noProof/>
              <w:kern w:val="2"/>
              <w:szCs w:val="24"/>
              <w14:ligatures w14:val="standardContextual"/>
            </w:rPr>
          </w:pPr>
          <w:hyperlink w:anchor="_Toc192678290" w:history="1">
            <w:r w:rsidRPr="00AA4677">
              <w:rPr>
                <w:rStyle w:val="Hyperlink"/>
                <w:noProof/>
              </w:rPr>
              <w:t>17.16</w:t>
            </w:r>
            <w:r w:rsidRPr="00AA4677">
              <w:rPr>
                <w:rFonts w:eastAsiaTheme="minorEastAsia"/>
                <w:noProof/>
                <w:kern w:val="2"/>
                <w:szCs w:val="24"/>
                <w14:ligatures w14:val="standardContextual"/>
              </w:rPr>
              <w:tab/>
            </w:r>
            <w:r w:rsidRPr="00AA4677">
              <w:rPr>
                <w:rStyle w:val="Hyperlink"/>
                <w:noProof/>
              </w:rPr>
              <w:t>Additional Requirements for Studies Funded by the Department of Defense</w:t>
            </w:r>
            <w:r w:rsidRPr="00AA4677">
              <w:rPr>
                <w:noProof/>
                <w:webHidden/>
              </w:rPr>
              <w:tab/>
            </w:r>
            <w:r w:rsidRPr="00AA4677">
              <w:rPr>
                <w:noProof/>
                <w:webHidden/>
              </w:rPr>
              <w:fldChar w:fldCharType="begin"/>
            </w:r>
            <w:r w:rsidRPr="00AA4677">
              <w:rPr>
                <w:noProof/>
                <w:webHidden/>
              </w:rPr>
              <w:instrText xml:space="preserve"> PAGEREF _Toc192678290 \h </w:instrText>
            </w:r>
            <w:r w:rsidRPr="00AA4677">
              <w:rPr>
                <w:noProof/>
                <w:webHidden/>
              </w:rPr>
            </w:r>
            <w:r w:rsidRPr="00AA4677">
              <w:rPr>
                <w:noProof/>
                <w:webHidden/>
              </w:rPr>
              <w:fldChar w:fldCharType="separate"/>
            </w:r>
            <w:r w:rsidRPr="00AA4677">
              <w:rPr>
                <w:noProof/>
                <w:webHidden/>
              </w:rPr>
              <w:t>254</w:t>
            </w:r>
            <w:r w:rsidRPr="00AA4677">
              <w:rPr>
                <w:noProof/>
                <w:webHidden/>
              </w:rPr>
              <w:fldChar w:fldCharType="end"/>
            </w:r>
          </w:hyperlink>
        </w:p>
        <w:p w14:paraId="40057DB5" w14:textId="4B06675F" w:rsidR="0030581A" w:rsidRPr="00AA4677" w:rsidRDefault="0030581A">
          <w:pPr>
            <w:pStyle w:val="TOC2"/>
            <w:tabs>
              <w:tab w:val="right" w:leader="dot" w:pos="9630"/>
            </w:tabs>
            <w:rPr>
              <w:rFonts w:eastAsiaTheme="minorEastAsia"/>
              <w:noProof/>
              <w:kern w:val="2"/>
              <w:szCs w:val="24"/>
              <w14:ligatures w14:val="standardContextual"/>
            </w:rPr>
          </w:pPr>
          <w:hyperlink w:anchor="_Toc192678291" w:history="1">
            <w:r w:rsidRPr="00AA4677">
              <w:rPr>
                <w:rStyle w:val="Hyperlink"/>
                <w:noProof/>
              </w:rPr>
              <w:t>17.17 IRB Reliance/Single IRB (sIRB) Review</w:t>
            </w:r>
            <w:r w:rsidRPr="00AA4677">
              <w:rPr>
                <w:noProof/>
                <w:webHidden/>
              </w:rPr>
              <w:tab/>
            </w:r>
            <w:r w:rsidRPr="00AA4677">
              <w:rPr>
                <w:noProof/>
                <w:webHidden/>
              </w:rPr>
              <w:fldChar w:fldCharType="begin"/>
            </w:r>
            <w:r w:rsidRPr="00AA4677">
              <w:rPr>
                <w:noProof/>
                <w:webHidden/>
              </w:rPr>
              <w:instrText xml:space="preserve"> PAGEREF _Toc192678291 \h </w:instrText>
            </w:r>
            <w:r w:rsidRPr="00AA4677">
              <w:rPr>
                <w:noProof/>
                <w:webHidden/>
              </w:rPr>
            </w:r>
            <w:r w:rsidRPr="00AA4677">
              <w:rPr>
                <w:noProof/>
                <w:webHidden/>
              </w:rPr>
              <w:fldChar w:fldCharType="separate"/>
            </w:r>
            <w:r w:rsidRPr="00AA4677">
              <w:rPr>
                <w:noProof/>
                <w:webHidden/>
              </w:rPr>
              <w:t>260</w:t>
            </w:r>
            <w:r w:rsidRPr="00AA4677">
              <w:rPr>
                <w:noProof/>
                <w:webHidden/>
              </w:rPr>
              <w:fldChar w:fldCharType="end"/>
            </w:r>
          </w:hyperlink>
        </w:p>
        <w:p w14:paraId="2DB45987" w14:textId="1E8450DE" w:rsidR="0030581A" w:rsidRPr="00AA4677" w:rsidRDefault="0030581A">
          <w:pPr>
            <w:pStyle w:val="TOC2"/>
            <w:tabs>
              <w:tab w:val="left" w:pos="1100"/>
              <w:tab w:val="right" w:leader="dot" w:pos="9630"/>
            </w:tabs>
            <w:rPr>
              <w:rFonts w:eastAsiaTheme="minorEastAsia"/>
              <w:noProof/>
              <w:kern w:val="2"/>
              <w:szCs w:val="24"/>
              <w14:ligatures w14:val="standardContextual"/>
            </w:rPr>
          </w:pPr>
          <w:hyperlink w:anchor="_Toc192678292" w:history="1">
            <w:r w:rsidRPr="00AA4677">
              <w:rPr>
                <w:rStyle w:val="Hyperlink"/>
                <w:noProof/>
              </w:rPr>
              <w:t>17.17</w:t>
            </w:r>
            <w:r w:rsidRPr="00AA4677">
              <w:rPr>
                <w:rFonts w:eastAsiaTheme="minorEastAsia"/>
                <w:noProof/>
                <w:kern w:val="2"/>
                <w:szCs w:val="24"/>
                <w14:ligatures w14:val="standardContextual"/>
              </w:rPr>
              <w:tab/>
            </w:r>
            <w:r w:rsidRPr="00AA4677">
              <w:rPr>
                <w:rStyle w:val="Hyperlink"/>
                <w:noProof/>
              </w:rPr>
              <w:t>Certificates of Confidentiality</w:t>
            </w:r>
            <w:r w:rsidRPr="00AA4677">
              <w:rPr>
                <w:noProof/>
                <w:webHidden/>
              </w:rPr>
              <w:tab/>
            </w:r>
            <w:r w:rsidRPr="00AA4677">
              <w:rPr>
                <w:noProof/>
                <w:webHidden/>
              </w:rPr>
              <w:fldChar w:fldCharType="begin"/>
            </w:r>
            <w:r w:rsidRPr="00AA4677">
              <w:rPr>
                <w:noProof/>
                <w:webHidden/>
              </w:rPr>
              <w:instrText xml:space="preserve"> PAGEREF _Toc192678292 \h </w:instrText>
            </w:r>
            <w:r w:rsidRPr="00AA4677">
              <w:rPr>
                <w:noProof/>
                <w:webHidden/>
              </w:rPr>
            </w:r>
            <w:r w:rsidRPr="00AA4677">
              <w:rPr>
                <w:noProof/>
                <w:webHidden/>
              </w:rPr>
              <w:fldChar w:fldCharType="separate"/>
            </w:r>
            <w:r w:rsidRPr="00AA4677">
              <w:rPr>
                <w:noProof/>
                <w:webHidden/>
              </w:rPr>
              <w:t>273</w:t>
            </w:r>
            <w:r w:rsidRPr="00AA4677">
              <w:rPr>
                <w:noProof/>
                <w:webHidden/>
              </w:rPr>
              <w:fldChar w:fldCharType="end"/>
            </w:r>
          </w:hyperlink>
        </w:p>
        <w:p w14:paraId="7ADB6289" w14:textId="72AFD862" w:rsidR="0030581A" w:rsidRPr="00AA4677" w:rsidRDefault="0030581A">
          <w:pPr>
            <w:pStyle w:val="TOC2"/>
            <w:tabs>
              <w:tab w:val="right" w:leader="dot" w:pos="9630"/>
            </w:tabs>
            <w:rPr>
              <w:rFonts w:eastAsiaTheme="minorEastAsia"/>
              <w:noProof/>
              <w:kern w:val="2"/>
              <w:szCs w:val="24"/>
              <w14:ligatures w14:val="standardContextual"/>
            </w:rPr>
          </w:pPr>
          <w:hyperlink w:anchor="_Toc192678293" w:history="1">
            <w:r w:rsidRPr="00AA4677">
              <w:rPr>
                <w:rStyle w:val="Hyperlink"/>
                <w:noProof/>
              </w:rPr>
              <w:t>17.18  Family Educational Rights and Privacy Act (FERPA)</w:t>
            </w:r>
            <w:r w:rsidRPr="00AA4677">
              <w:rPr>
                <w:noProof/>
                <w:webHidden/>
              </w:rPr>
              <w:tab/>
            </w:r>
            <w:r w:rsidRPr="00AA4677">
              <w:rPr>
                <w:noProof/>
                <w:webHidden/>
              </w:rPr>
              <w:fldChar w:fldCharType="begin"/>
            </w:r>
            <w:r w:rsidRPr="00AA4677">
              <w:rPr>
                <w:noProof/>
                <w:webHidden/>
              </w:rPr>
              <w:instrText xml:space="preserve"> PAGEREF _Toc192678293 \h </w:instrText>
            </w:r>
            <w:r w:rsidRPr="00AA4677">
              <w:rPr>
                <w:noProof/>
                <w:webHidden/>
              </w:rPr>
            </w:r>
            <w:r w:rsidRPr="00AA4677">
              <w:rPr>
                <w:noProof/>
                <w:webHidden/>
              </w:rPr>
              <w:fldChar w:fldCharType="separate"/>
            </w:r>
            <w:r w:rsidRPr="00AA4677">
              <w:rPr>
                <w:noProof/>
                <w:webHidden/>
              </w:rPr>
              <w:t>277</w:t>
            </w:r>
            <w:r w:rsidRPr="00AA4677">
              <w:rPr>
                <w:noProof/>
                <w:webHidden/>
              </w:rPr>
              <w:fldChar w:fldCharType="end"/>
            </w:r>
          </w:hyperlink>
        </w:p>
        <w:p w14:paraId="0556EC95" w14:textId="4E199BE5" w:rsidR="00AD1D24" w:rsidRPr="00AA4677" w:rsidRDefault="0090406A" w:rsidP="000B6623">
          <w:r w:rsidRPr="00AA4677">
            <w:fldChar w:fldCharType="end"/>
          </w:r>
        </w:p>
      </w:sdtContent>
    </w:sdt>
    <w:bookmarkEnd w:id="8" w:displacedByCustomXml="prev"/>
    <w:p w14:paraId="5AB09DB4" w14:textId="77777777" w:rsidR="00BD43CF" w:rsidRPr="00AA4677" w:rsidRDefault="00BD43CF" w:rsidP="005920B2">
      <w:pPr>
        <w:pStyle w:val="Heading1"/>
        <w:rPr>
          <w:rStyle w:val="Heading1Char"/>
        </w:rPr>
      </w:pPr>
      <w:bookmarkStart w:id="9" w:name="_Toc475538726"/>
    </w:p>
    <w:p w14:paraId="120D529D" w14:textId="77777777" w:rsidR="00BD43CF" w:rsidRPr="00AA4677" w:rsidRDefault="00BD43CF" w:rsidP="005920B2">
      <w:pPr>
        <w:pStyle w:val="Heading1"/>
        <w:rPr>
          <w:rStyle w:val="Heading1Char"/>
        </w:rPr>
      </w:pPr>
    </w:p>
    <w:p w14:paraId="3CB94775" w14:textId="77777777" w:rsidR="00BD43CF" w:rsidRPr="00AA4677" w:rsidRDefault="00BD43CF" w:rsidP="005920B2">
      <w:pPr>
        <w:pStyle w:val="Heading1"/>
        <w:rPr>
          <w:rStyle w:val="Heading1Char"/>
        </w:rPr>
      </w:pPr>
    </w:p>
    <w:p w14:paraId="0B39ACF1" w14:textId="77777777" w:rsidR="00BD43CF" w:rsidRPr="00AA4677" w:rsidRDefault="00BD43CF" w:rsidP="005920B2">
      <w:pPr>
        <w:pStyle w:val="Heading1"/>
        <w:rPr>
          <w:rStyle w:val="Heading1Char"/>
        </w:rPr>
      </w:pPr>
    </w:p>
    <w:p w14:paraId="289482B0" w14:textId="77777777" w:rsidR="00BD43CF" w:rsidRPr="00AA4677" w:rsidRDefault="00BD43CF" w:rsidP="005920B2">
      <w:pPr>
        <w:pStyle w:val="Heading1"/>
        <w:rPr>
          <w:rStyle w:val="Heading1Char"/>
        </w:rPr>
      </w:pPr>
    </w:p>
    <w:p w14:paraId="2CA47F4B" w14:textId="77777777" w:rsidR="00BD43CF" w:rsidRPr="00AA4677" w:rsidRDefault="00BD43CF" w:rsidP="005920B2">
      <w:pPr>
        <w:pStyle w:val="Heading1"/>
        <w:rPr>
          <w:rStyle w:val="Heading1Char"/>
        </w:rPr>
      </w:pPr>
    </w:p>
    <w:p w14:paraId="39D7FC87" w14:textId="77777777" w:rsidR="00BD43CF" w:rsidRPr="00AA4677" w:rsidRDefault="00BD43CF" w:rsidP="005920B2">
      <w:pPr>
        <w:pStyle w:val="Heading1"/>
        <w:rPr>
          <w:rStyle w:val="Heading1Char"/>
        </w:rPr>
      </w:pPr>
    </w:p>
    <w:p w14:paraId="5F96D821" w14:textId="77777777" w:rsidR="00BD43CF" w:rsidRPr="00AA4677" w:rsidRDefault="00BD43CF" w:rsidP="005920B2">
      <w:pPr>
        <w:pStyle w:val="Heading1"/>
        <w:rPr>
          <w:rStyle w:val="Heading1Char"/>
        </w:rPr>
      </w:pPr>
    </w:p>
    <w:p w14:paraId="659C6CBB" w14:textId="77777777" w:rsidR="00BD43CF" w:rsidRPr="00AA4677" w:rsidRDefault="00BD43CF" w:rsidP="005920B2">
      <w:pPr>
        <w:pStyle w:val="Heading1"/>
        <w:rPr>
          <w:rStyle w:val="Heading1Char"/>
        </w:rPr>
      </w:pPr>
    </w:p>
    <w:p w14:paraId="00DCD930" w14:textId="77777777" w:rsidR="00BD43CF" w:rsidRPr="00AA4677" w:rsidRDefault="00BD43CF" w:rsidP="005920B2">
      <w:pPr>
        <w:pStyle w:val="Heading1"/>
        <w:rPr>
          <w:rStyle w:val="Heading1Char"/>
        </w:rPr>
      </w:pPr>
    </w:p>
    <w:p w14:paraId="520E9C63" w14:textId="77777777" w:rsidR="00BD43CF" w:rsidRPr="00AA4677" w:rsidRDefault="00BD43CF" w:rsidP="005920B2">
      <w:pPr>
        <w:pStyle w:val="Heading1"/>
        <w:rPr>
          <w:rStyle w:val="Heading1Char"/>
        </w:rPr>
      </w:pPr>
    </w:p>
    <w:p w14:paraId="4E644027" w14:textId="77777777" w:rsidR="00BD43CF" w:rsidRPr="00AA4677" w:rsidRDefault="00BD43CF" w:rsidP="005920B2">
      <w:pPr>
        <w:pStyle w:val="Heading1"/>
        <w:rPr>
          <w:rStyle w:val="Heading1Char"/>
        </w:rPr>
      </w:pPr>
    </w:p>
    <w:p w14:paraId="73D0F625" w14:textId="77777777" w:rsidR="00BD43CF" w:rsidRPr="00AA4677" w:rsidRDefault="00BD43CF" w:rsidP="005920B2">
      <w:pPr>
        <w:pStyle w:val="Heading1"/>
        <w:rPr>
          <w:rStyle w:val="Heading1Char"/>
        </w:rPr>
      </w:pPr>
    </w:p>
    <w:p w14:paraId="3EF4CAF7" w14:textId="77777777" w:rsidR="00BD43CF" w:rsidRPr="00AA4677" w:rsidRDefault="00BD43CF" w:rsidP="005920B2">
      <w:pPr>
        <w:pStyle w:val="Heading1"/>
        <w:rPr>
          <w:rStyle w:val="Heading1Char"/>
        </w:rPr>
      </w:pPr>
    </w:p>
    <w:p w14:paraId="38CF27DF" w14:textId="77777777" w:rsidR="00BD43CF" w:rsidRPr="00AA4677" w:rsidRDefault="00BD43CF" w:rsidP="005920B2">
      <w:pPr>
        <w:pStyle w:val="Heading1"/>
        <w:rPr>
          <w:rStyle w:val="Heading1Char"/>
        </w:rPr>
      </w:pPr>
    </w:p>
    <w:p w14:paraId="6E259088" w14:textId="77777777" w:rsidR="00BD43CF" w:rsidRPr="00AA4677" w:rsidRDefault="00BD43CF" w:rsidP="005920B2">
      <w:pPr>
        <w:pStyle w:val="Heading1"/>
        <w:rPr>
          <w:rStyle w:val="Heading1Char"/>
        </w:rPr>
      </w:pPr>
    </w:p>
    <w:p w14:paraId="04E577ED" w14:textId="77777777" w:rsidR="00BD43CF" w:rsidRPr="00AA4677" w:rsidRDefault="00BD43CF" w:rsidP="005920B2">
      <w:pPr>
        <w:pStyle w:val="Heading1"/>
        <w:rPr>
          <w:rStyle w:val="Heading1Char"/>
        </w:rPr>
      </w:pPr>
    </w:p>
    <w:p w14:paraId="1D63A949" w14:textId="77777777" w:rsidR="00BD43CF" w:rsidRPr="00AA4677" w:rsidRDefault="00BD43CF" w:rsidP="005920B2">
      <w:pPr>
        <w:pStyle w:val="Heading1"/>
        <w:rPr>
          <w:rStyle w:val="Heading1Char"/>
        </w:rPr>
      </w:pPr>
    </w:p>
    <w:p w14:paraId="28755B3E" w14:textId="77777777" w:rsidR="00BD43CF" w:rsidRPr="00AA4677" w:rsidRDefault="00BD43CF" w:rsidP="005920B2">
      <w:pPr>
        <w:pStyle w:val="Heading1"/>
        <w:rPr>
          <w:rStyle w:val="Heading1Char"/>
        </w:rPr>
      </w:pPr>
    </w:p>
    <w:p w14:paraId="2C497184" w14:textId="77777777" w:rsidR="00BD43CF" w:rsidRPr="00AA4677" w:rsidRDefault="00BD43CF" w:rsidP="005920B2">
      <w:pPr>
        <w:pStyle w:val="Heading1"/>
        <w:rPr>
          <w:rStyle w:val="Heading1Char"/>
        </w:rPr>
      </w:pPr>
    </w:p>
    <w:p w14:paraId="2622F594" w14:textId="77777777" w:rsidR="00BD43CF" w:rsidRPr="00AA4677" w:rsidRDefault="00BD43CF" w:rsidP="005920B2">
      <w:pPr>
        <w:pStyle w:val="Heading1"/>
        <w:rPr>
          <w:rStyle w:val="Heading1Char"/>
        </w:rPr>
      </w:pPr>
    </w:p>
    <w:p w14:paraId="40C2DADB" w14:textId="77777777" w:rsidR="00BD43CF" w:rsidRPr="00AA4677" w:rsidRDefault="00BD43CF" w:rsidP="005920B2">
      <w:pPr>
        <w:pStyle w:val="Heading1"/>
        <w:rPr>
          <w:rStyle w:val="Heading1Char"/>
        </w:rPr>
      </w:pPr>
    </w:p>
    <w:p w14:paraId="579D961E" w14:textId="77777777" w:rsidR="00BD43CF" w:rsidRPr="00AA4677" w:rsidRDefault="00BD43CF" w:rsidP="005920B2">
      <w:pPr>
        <w:pStyle w:val="Heading1"/>
        <w:rPr>
          <w:rStyle w:val="Heading1Char"/>
        </w:rPr>
      </w:pPr>
    </w:p>
    <w:p w14:paraId="2C996BD1" w14:textId="77777777" w:rsidR="00BD43CF" w:rsidRPr="00AA4677" w:rsidRDefault="00BD43CF" w:rsidP="005920B2">
      <w:pPr>
        <w:pStyle w:val="Heading1"/>
        <w:rPr>
          <w:rStyle w:val="Heading1Char"/>
        </w:rPr>
      </w:pPr>
    </w:p>
    <w:p w14:paraId="239FF297" w14:textId="77777777" w:rsidR="00BD43CF" w:rsidRPr="00AA4677" w:rsidRDefault="00BD43CF" w:rsidP="005920B2">
      <w:pPr>
        <w:pStyle w:val="Heading1"/>
        <w:rPr>
          <w:rStyle w:val="Heading1Char"/>
        </w:rPr>
      </w:pPr>
    </w:p>
    <w:p w14:paraId="406BE025" w14:textId="77777777" w:rsidR="00BD43CF" w:rsidRPr="00AA4677" w:rsidRDefault="00BD43CF" w:rsidP="005920B2">
      <w:pPr>
        <w:pStyle w:val="Heading1"/>
        <w:rPr>
          <w:rStyle w:val="Heading1Char"/>
        </w:rPr>
      </w:pPr>
    </w:p>
    <w:p w14:paraId="2387B58F" w14:textId="77777777" w:rsidR="00BD43CF" w:rsidRPr="00AA4677" w:rsidRDefault="00BD43CF" w:rsidP="005920B2">
      <w:pPr>
        <w:pStyle w:val="Heading1"/>
        <w:rPr>
          <w:rStyle w:val="Heading1Char"/>
        </w:rPr>
      </w:pPr>
    </w:p>
    <w:p w14:paraId="6CD05BCA" w14:textId="77777777" w:rsidR="00BD43CF" w:rsidRPr="00AA4677" w:rsidRDefault="00BD43CF" w:rsidP="005920B2">
      <w:pPr>
        <w:pStyle w:val="Heading1"/>
        <w:rPr>
          <w:rStyle w:val="Heading1Char"/>
        </w:rPr>
      </w:pPr>
    </w:p>
    <w:p w14:paraId="29973C2E" w14:textId="77777777" w:rsidR="00BD43CF" w:rsidRPr="00AA4677" w:rsidRDefault="00BD43CF" w:rsidP="005920B2">
      <w:pPr>
        <w:pStyle w:val="Heading1"/>
        <w:rPr>
          <w:rStyle w:val="Heading1Char"/>
        </w:rPr>
      </w:pPr>
    </w:p>
    <w:p w14:paraId="0E0BC01A" w14:textId="77777777" w:rsidR="00BD43CF" w:rsidRPr="00AA4677" w:rsidRDefault="00BD43CF" w:rsidP="005920B2">
      <w:pPr>
        <w:pStyle w:val="Heading1"/>
        <w:rPr>
          <w:rStyle w:val="Heading1Char"/>
        </w:rPr>
      </w:pPr>
    </w:p>
    <w:p w14:paraId="7B4DC695" w14:textId="77777777" w:rsidR="00BD43CF" w:rsidRPr="00AA4677" w:rsidRDefault="00BD43CF" w:rsidP="005920B2">
      <w:pPr>
        <w:pStyle w:val="Heading1"/>
        <w:rPr>
          <w:rStyle w:val="Heading1Char"/>
        </w:rPr>
      </w:pPr>
    </w:p>
    <w:p w14:paraId="7796AE48" w14:textId="77777777" w:rsidR="00BD43CF" w:rsidRPr="00AA4677" w:rsidRDefault="00BD43CF" w:rsidP="005920B2">
      <w:pPr>
        <w:pStyle w:val="Heading1"/>
        <w:rPr>
          <w:rStyle w:val="Heading1Char"/>
        </w:rPr>
      </w:pPr>
    </w:p>
    <w:p w14:paraId="7E21150C" w14:textId="77777777" w:rsidR="00575C27" w:rsidRPr="00AA4677" w:rsidRDefault="00575C27" w:rsidP="005920B2">
      <w:pPr>
        <w:pStyle w:val="Heading1"/>
        <w:rPr>
          <w:rStyle w:val="Heading1Char"/>
        </w:rPr>
      </w:pPr>
    </w:p>
    <w:p w14:paraId="409B669D" w14:textId="77777777" w:rsidR="00575C27" w:rsidRPr="00AA4677" w:rsidRDefault="00575C27" w:rsidP="005920B2">
      <w:pPr>
        <w:pStyle w:val="Heading1"/>
        <w:rPr>
          <w:rStyle w:val="Heading1Char"/>
        </w:rPr>
      </w:pPr>
    </w:p>
    <w:p w14:paraId="7C32A3BB" w14:textId="77777777" w:rsidR="00BD43CF" w:rsidRPr="00AA4677" w:rsidRDefault="00BD43CF" w:rsidP="005920B2">
      <w:pPr>
        <w:pStyle w:val="Heading1"/>
        <w:rPr>
          <w:rStyle w:val="Heading1Char"/>
        </w:rPr>
      </w:pPr>
    </w:p>
    <w:p w14:paraId="7C12853B" w14:textId="3FF6DABF" w:rsidR="003E7C9E" w:rsidRPr="00AA4677" w:rsidRDefault="003E7C9E" w:rsidP="005920B2">
      <w:pPr>
        <w:pStyle w:val="Heading1"/>
      </w:pPr>
      <w:bookmarkStart w:id="10" w:name="_Toc192678136"/>
      <w:r w:rsidRPr="00AA4677">
        <w:rPr>
          <w:rStyle w:val="Heading1Char"/>
        </w:rPr>
        <w:lastRenderedPageBreak/>
        <w:t>1 Human Research Protection Program</w:t>
      </w:r>
      <w:r w:rsidRPr="00AA4677">
        <w:t xml:space="preserve"> (HRPP)</w:t>
      </w:r>
      <w:bookmarkEnd w:id="9"/>
      <w:bookmarkEnd w:id="10"/>
    </w:p>
    <w:p w14:paraId="6D8E1826" w14:textId="2D56E58E" w:rsidR="003E7C9E" w:rsidRPr="00AA4677" w:rsidRDefault="003E7C9E" w:rsidP="00696B35">
      <w:pPr>
        <w:pStyle w:val="Heading2"/>
      </w:pPr>
      <w:bookmarkStart w:id="11" w:name="_Toc192678137"/>
      <w:r w:rsidRPr="00AA4677">
        <w:t>1.1 Policy</w:t>
      </w:r>
      <w:bookmarkEnd w:id="11"/>
    </w:p>
    <w:p w14:paraId="50683FC0" w14:textId="77777777" w:rsidR="00223807" w:rsidRPr="00AA4677" w:rsidRDefault="00223807" w:rsidP="007012FD">
      <w:pPr>
        <w:rPr>
          <w:rFonts w:cs="Times New Roman"/>
          <w:szCs w:val="24"/>
        </w:rPr>
      </w:pPr>
    </w:p>
    <w:p w14:paraId="67FE61E4" w14:textId="68925232" w:rsidR="00C94FA5" w:rsidRPr="00AA4677" w:rsidRDefault="003E7C9E" w:rsidP="007012FD">
      <w:pPr>
        <w:rPr>
          <w:rFonts w:cs="Times New Roman"/>
          <w:szCs w:val="24"/>
        </w:rPr>
      </w:pPr>
      <w:r w:rsidRPr="00AA4677">
        <w:rPr>
          <w:rFonts w:cs="Times New Roman"/>
          <w:szCs w:val="24"/>
        </w:rPr>
        <w:t>The State University of New York at Stony Brook (</w:t>
      </w:r>
      <w:r w:rsidR="003C6E91" w:rsidRPr="00AA4677">
        <w:rPr>
          <w:rFonts w:cs="Times New Roman"/>
          <w:szCs w:val="24"/>
        </w:rPr>
        <w:t>University</w:t>
      </w:r>
      <w:r w:rsidR="006568EA" w:rsidRPr="00AA4677">
        <w:rPr>
          <w:rFonts w:cs="Times New Roman"/>
          <w:szCs w:val="24"/>
        </w:rPr>
        <w:t xml:space="preserve"> or Institution as used in this document</w:t>
      </w:r>
      <w:r w:rsidRPr="00AA4677">
        <w:rPr>
          <w:rFonts w:cs="Times New Roman"/>
          <w:szCs w:val="24"/>
        </w:rPr>
        <w:t xml:space="preserve">) fosters a research environment that promotes the respect for the rights and welfare of individuals recruited for, </w:t>
      </w:r>
      <w:r w:rsidR="00B43A62" w:rsidRPr="00AA4677">
        <w:rPr>
          <w:rFonts w:cs="Times New Roman"/>
          <w:szCs w:val="24"/>
        </w:rPr>
        <w:t>and</w:t>
      </w:r>
      <w:r w:rsidRPr="00AA4677">
        <w:rPr>
          <w:rFonts w:cs="Times New Roman"/>
          <w:szCs w:val="24"/>
        </w:rPr>
        <w:t xml:space="preserve"> participating in, research conducted by or under the auspices of the University.  In the review and conduct of research, actions by the </w:t>
      </w:r>
      <w:r w:rsidR="00C94FA5" w:rsidRPr="00AA4677">
        <w:rPr>
          <w:rFonts w:cs="Times New Roman"/>
          <w:szCs w:val="24"/>
        </w:rPr>
        <w:t>University are</w:t>
      </w:r>
      <w:r w:rsidRPr="00AA4677">
        <w:rPr>
          <w:rFonts w:cs="Times New Roman"/>
          <w:szCs w:val="24"/>
        </w:rPr>
        <w:t xml:space="preserve"> guided by the principles (i.e., respect for persons, beneficence, and justice) set forth in the </w:t>
      </w:r>
      <w:r w:rsidRPr="00AA4677">
        <w:rPr>
          <w:rFonts w:cs="Times New Roman"/>
          <w:b/>
          <w:bCs/>
          <w:i/>
          <w:iCs/>
          <w:szCs w:val="24"/>
        </w:rPr>
        <w:t>Ethical Principles and Guidelines for the Protection of Human Subjects of Research</w:t>
      </w:r>
      <w:r w:rsidR="00C94FA5" w:rsidRPr="00AA4677">
        <w:rPr>
          <w:rFonts w:cs="Times New Roman"/>
          <w:szCs w:val="24"/>
        </w:rPr>
        <w:t> </w:t>
      </w:r>
      <w:r w:rsidRPr="00AA4677">
        <w:rPr>
          <w:rFonts w:cs="Times New Roman"/>
          <w:szCs w:val="24"/>
        </w:rPr>
        <w:t>often referred to as the </w:t>
      </w:r>
      <w:r w:rsidR="00C94FA5" w:rsidRPr="00AA4677">
        <w:rPr>
          <w:rFonts w:eastAsia="Times New Roman" w:cs="Times New Roman"/>
          <w:szCs w:val="24"/>
        </w:rPr>
        <w:t>Belmont Report</w:t>
      </w:r>
      <w:r w:rsidRPr="00AA4677">
        <w:rPr>
          <w:rFonts w:cs="Times New Roman"/>
          <w:szCs w:val="24"/>
        </w:rPr>
        <w:t>.</w:t>
      </w:r>
      <w:r w:rsidR="00C01012" w:rsidRPr="00AA4677">
        <w:rPr>
          <w:rFonts w:cs="Times New Roman"/>
          <w:szCs w:val="24"/>
        </w:rPr>
        <w:t xml:space="preserve"> This includes researchers, research staff, IRB members, chairs and staff, the Institutional Official</w:t>
      </w:r>
      <w:r w:rsidR="00610D31" w:rsidRPr="00AA4677">
        <w:rPr>
          <w:rFonts w:cs="Times New Roman"/>
          <w:szCs w:val="24"/>
        </w:rPr>
        <w:t>, students,</w:t>
      </w:r>
      <w:r w:rsidR="00C01012" w:rsidRPr="00AA4677">
        <w:rPr>
          <w:rFonts w:cs="Times New Roman"/>
          <w:szCs w:val="24"/>
        </w:rPr>
        <w:t xml:space="preserve"> and any other employees engaged in human subject research.</w:t>
      </w:r>
      <w:r w:rsidRPr="00AA4677">
        <w:rPr>
          <w:rFonts w:cs="Times New Roman"/>
          <w:szCs w:val="24"/>
        </w:rPr>
        <w:t xml:space="preserve">  The actions of </w:t>
      </w:r>
      <w:r w:rsidR="00C94FA5" w:rsidRPr="00AA4677">
        <w:rPr>
          <w:rFonts w:cs="Times New Roman"/>
          <w:szCs w:val="24"/>
        </w:rPr>
        <w:t xml:space="preserve">the </w:t>
      </w:r>
      <w:r w:rsidRPr="00AA4677">
        <w:rPr>
          <w:rFonts w:cs="Times New Roman"/>
          <w:szCs w:val="24"/>
        </w:rPr>
        <w:t>University will also conform to all applicable federal, state, and local laws and regulations.  </w:t>
      </w:r>
      <w:proofErr w:type="gramStart"/>
      <w:r w:rsidRPr="00AA4677">
        <w:rPr>
          <w:rFonts w:cs="Times New Roman"/>
          <w:szCs w:val="24"/>
        </w:rPr>
        <w:t>In order to</w:t>
      </w:r>
      <w:proofErr w:type="gramEnd"/>
      <w:r w:rsidRPr="00AA4677">
        <w:rPr>
          <w:rFonts w:cs="Times New Roman"/>
          <w:szCs w:val="24"/>
        </w:rPr>
        <w:t xml:space="preserve"> fulfill this policy, the University has established a human research protections program (HRPP).</w:t>
      </w:r>
      <w:r w:rsidR="007A7BB0" w:rsidRPr="00AA4677">
        <w:rPr>
          <w:rFonts w:cs="Times New Roman"/>
          <w:szCs w:val="24"/>
        </w:rPr>
        <w:t xml:space="preserve"> </w:t>
      </w:r>
    </w:p>
    <w:p w14:paraId="0A8FABDC" w14:textId="502BD19B" w:rsidR="003E7C9E" w:rsidRPr="00AA4677" w:rsidRDefault="00C94FA5" w:rsidP="003D3C23">
      <w:pPr>
        <w:pStyle w:val="BodyText"/>
        <w:spacing w:before="24" w:line="259" w:lineRule="auto"/>
        <w:ind w:right="459"/>
        <w:rPr>
          <w:rFonts w:asciiTheme="minorHAnsi" w:hAnsiTheme="minorHAnsi" w:cstheme="minorHAnsi"/>
        </w:rPr>
      </w:pPr>
      <w:r w:rsidRPr="00AA4677">
        <w:rPr>
          <w:rFonts w:asciiTheme="minorHAnsi" w:hAnsiTheme="minorHAnsi" w:cstheme="minorHAnsi"/>
        </w:rPr>
        <w:t>C</w:t>
      </w:r>
      <w:r w:rsidR="007A7BB0" w:rsidRPr="00AA4677">
        <w:rPr>
          <w:rFonts w:asciiTheme="minorHAnsi" w:hAnsiTheme="minorHAnsi" w:cstheme="minorHAnsi"/>
        </w:rPr>
        <w:t>linical trials should be conducted in accordance with the ethical principles that have their origin in the Declaration of Helsinki and that are consistent with Good Clinical Practice and the applicable regulatory requirements.</w:t>
      </w:r>
      <w:r w:rsidR="00161CC8" w:rsidRPr="00AA4677">
        <w:rPr>
          <w:rFonts w:asciiTheme="minorHAnsi" w:hAnsiTheme="minorHAnsi" w:cstheme="minorHAnsi"/>
        </w:rPr>
        <w:t xml:space="preserve"> The Stony Brook University Institutional Review Board (IRB) is registered with the Office of Human Research Protections and the Food and Drug Administration (FDA). The registration is updated regularly by the Institutional Official when changes are required or prior to the expiration of the registration.</w:t>
      </w:r>
      <w:r w:rsidR="003D3C23" w:rsidRPr="00AA4677">
        <w:rPr>
          <w:rFonts w:asciiTheme="minorHAnsi" w:hAnsiTheme="minorHAnsi" w:cstheme="minorHAnsi"/>
        </w:rPr>
        <w:t xml:space="preserve"> Stony Brook University must be registered with the Office of Human Research Protections (OHRP) and the Food and Drug </w:t>
      </w:r>
      <w:proofErr w:type="spellStart"/>
      <w:r w:rsidR="003D3C23" w:rsidRPr="00AA4677">
        <w:rPr>
          <w:rFonts w:asciiTheme="minorHAnsi" w:hAnsiTheme="minorHAnsi" w:cstheme="minorHAnsi"/>
        </w:rPr>
        <w:t>Administation</w:t>
      </w:r>
      <w:proofErr w:type="spellEnd"/>
      <w:r w:rsidR="003D3C23" w:rsidRPr="00AA4677">
        <w:rPr>
          <w:rFonts w:asciiTheme="minorHAnsi" w:hAnsiTheme="minorHAnsi" w:cstheme="minorHAnsi"/>
        </w:rPr>
        <w:t xml:space="preserve"> (FDA) via the website at </w:t>
      </w:r>
      <w:hyperlink r:id="rId8" w:history="1">
        <w:r w:rsidR="003D3C23" w:rsidRPr="00696B35">
          <w:rPr>
            <w:rStyle w:val="Hyperlink"/>
            <w:rFonts w:asciiTheme="minorHAnsi" w:hAnsiTheme="minorHAnsi" w:cstheme="minorHAnsi"/>
          </w:rPr>
          <w:t>https://ohrp.cit.nih.gov/efile/IrbStart.aspx</w:t>
        </w:r>
      </w:hyperlink>
      <w:r w:rsidR="003D3C23" w:rsidRPr="00AA4677">
        <w:rPr>
          <w:rFonts w:asciiTheme="minorHAnsi" w:hAnsiTheme="minorHAnsi" w:cstheme="minorHAnsi"/>
        </w:rPr>
        <w:t xml:space="preserve">. Details for this registration requirement are available on the OHRP website at </w:t>
      </w:r>
      <w:hyperlink r:id="rId9" w:history="1">
        <w:r w:rsidR="003D3C23" w:rsidRPr="00696B35">
          <w:rPr>
            <w:rStyle w:val="Hyperlink"/>
            <w:rFonts w:asciiTheme="minorHAnsi" w:hAnsiTheme="minorHAnsi" w:cstheme="minorHAnsi"/>
          </w:rPr>
          <w:t>https://www.hhs.gov/ohrp/register-irbs-and-obtain-fwas/index.html</w:t>
        </w:r>
      </w:hyperlink>
      <w:r w:rsidR="003D3C23" w:rsidRPr="00AA4677">
        <w:rPr>
          <w:rFonts w:asciiTheme="minorHAnsi" w:hAnsiTheme="minorHAnsi" w:cstheme="minorHAnsi"/>
        </w:rPr>
        <w:t>.</w:t>
      </w:r>
    </w:p>
    <w:p w14:paraId="2DF23642" w14:textId="77777777" w:rsidR="001106E6" w:rsidRPr="00AA4677" w:rsidRDefault="001106E6" w:rsidP="00696B35">
      <w:pPr>
        <w:pStyle w:val="Heading2"/>
      </w:pPr>
    </w:p>
    <w:p w14:paraId="44C0BC03" w14:textId="7BBA1CDD" w:rsidR="003E7C9E" w:rsidRPr="00AA4677" w:rsidRDefault="003E7C9E" w:rsidP="00696B35">
      <w:pPr>
        <w:pStyle w:val="Heading2"/>
      </w:pPr>
      <w:bookmarkStart w:id="12" w:name="_Toc192678138"/>
      <w:r w:rsidRPr="00AA4677">
        <w:t>1.2 Mission</w:t>
      </w:r>
      <w:bookmarkEnd w:id="12"/>
    </w:p>
    <w:p w14:paraId="0011836A" w14:textId="77777777" w:rsidR="001106E6" w:rsidRPr="00AA4677" w:rsidRDefault="001106E6" w:rsidP="006568EA">
      <w:pPr>
        <w:shd w:val="clear" w:color="auto" w:fill="FFFFFF"/>
        <w:spacing w:after="0" w:line="240" w:lineRule="auto"/>
        <w:rPr>
          <w:rFonts w:eastAsia="Times New Roman" w:cs="Times New Roman"/>
          <w:szCs w:val="24"/>
        </w:rPr>
      </w:pPr>
    </w:p>
    <w:p w14:paraId="71EB59F3" w14:textId="40185213" w:rsidR="003E7C9E" w:rsidRPr="00AA4677" w:rsidRDefault="003E7C9E" w:rsidP="006568EA">
      <w:pPr>
        <w:shd w:val="clear" w:color="auto" w:fill="FFFFFF"/>
        <w:spacing w:after="0" w:line="240" w:lineRule="auto"/>
        <w:rPr>
          <w:rFonts w:eastAsia="Times New Roman" w:cs="Times New Roman"/>
          <w:szCs w:val="24"/>
        </w:rPr>
      </w:pPr>
      <w:r w:rsidRPr="00AA4677">
        <w:rPr>
          <w:rFonts w:eastAsia="Times New Roman" w:cs="Times New Roman"/>
          <w:szCs w:val="24"/>
        </w:rPr>
        <w:t>The mission of the HRPP is to:</w:t>
      </w:r>
    </w:p>
    <w:p w14:paraId="6CE6B8A9" w14:textId="6B9262DA" w:rsidR="003E7C9E" w:rsidRPr="00AA4677" w:rsidRDefault="007012FD">
      <w:pPr>
        <w:numPr>
          <w:ilvl w:val="0"/>
          <w:numId w:val="298"/>
        </w:numPr>
        <w:shd w:val="clear" w:color="auto" w:fill="FFFFFF"/>
        <w:spacing w:after="0" w:line="240" w:lineRule="auto"/>
        <w:rPr>
          <w:rFonts w:eastAsia="Times New Roman" w:cs="Times New Roman"/>
          <w:szCs w:val="24"/>
        </w:rPr>
      </w:pPr>
      <w:r w:rsidRPr="00AA4677">
        <w:rPr>
          <w:rFonts w:eastAsia="Times New Roman" w:cs="Times New Roman"/>
          <w:szCs w:val="24"/>
        </w:rPr>
        <w:t>S</w:t>
      </w:r>
      <w:r w:rsidR="003E7C9E" w:rsidRPr="00AA4677">
        <w:rPr>
          <w:rFonts w:eastAsia="Times New Roman" w:cs="Times New Roman"/>
          <w:szCs w:val="24"/>
        </w:rPr>
        <w:t xml:space="preserve">afeguard and promote the health and welfare of human research subjects by ensuring that their rights, safety and well-being are </w:t>
      </w:r>
      <w:proofErr w:type="gramStart"/>
      <w:r w:rsidR="003E7C9E" w:rsidRPr="00AA4677">
        <w:rPr>
          <w:rFonts w:eastAsia="Times New Roman" w:cs="Times New Roman"/>
          <w:szCs w:val="24"/>
        </w:rPr>
        <w:t>protected;</w:t>
      </w:r>
      <w:proofErr w:type="gramEnd"/>
    </w:p>
    <w:p w14:paraId="6A470F1F" w14:textId="6F996A5D" w:rsidR="003E7C9E" w:rsidRPr="00AA4677" w:rsidRDefault="007012FD">
      <w:pPr>
        <w:numPr>
          <w:ilvl w:val="0"/>
          <w:numId w:val="298"/>
        </w:numPr>
        <w:shd w:val="clear" w:color="auto" w:fill="FFFFFF"/>
        <w:spacing w:after="0" w:line="240" w:lineRule="auto"/>
        <w:rPr>
          <w:rFonts w:eastAsia="Times New Roman" w:cs="Times New Roman"/>
          <w:szCs w:val="24"/>
        </w:rPr>
      </w:pPr>
      <w:r w:rsidRPr="00AA4677">
        <w:rPr>
          <w:rFonts w:eastAsia="Times New Roman" w:cs="Times New Roman"/>
          <w:szCs w:val="24"/>
        </w:rPr>
        <w:t>P</w:t>
      </w:r>
      <w:r w:rsidR="003E7C9E" w:rsidRPr="00AA4677">
        <w:rPr>
          <w:rFonts w:eastAsia="Times New Roman" w:cs="Times New Roman"/>
          <w:szCs w:val="24"/>
        </w:rPr>
        <w:t xml:space="preserve">rovide timely and </w:t>
      </w:r>
      <w:proofErr w:type="gramStart"/>
      <w:r w:rsidR="003E7C9E" w:rsidRPr="00AA4677">
        <w:rPr>
          <w:rFonts w:eastAsia="Times New Roman" w:cs="Times New Roman"/>
          <w:szCs w:val="24"/>
        </w:rPr>
        <w:t>high quality</w:t>
      </w:r>
      <w:proofErr w:type="gramEnd"/>
      <w:r w:rsidR="003E7C9E" w:rsidRPr="00AA4677">
        <w:rPr>
          <w:rFonts w:eastAsia="Times New Roman" w:cs="Times New Roman"/>
          <w:szCs w:val="24"/>
        </w:rPr>
        <w:t xml:space="preserve"> education, review and monitoring of human research projects; and</w:t>
      </w:r>
    </w:p>
    <w:p w14:paraId="431C0F79" w14:textId="2AA68B85" w:rsidR="003E7C9E" w:rsidRPr="00AA4677" w:rsidRDefault="007012FD">
      <w:pPr>
        <w:numPr>
          <w:ilvl w:val="0"/>
          <w:numId w:val="298"/>
        </w:numPr>
        <w:shd w:val="clear" w:color="auto" w:fill="FFFFFF"/>
        <w:spacing w:after="0" w:line="240" w:lineRule="auto"/>
        <w:rPr>
          <w:rFonts w:eastAsia="Times New Roman" w:cs="Times New Roman"/>
          <w:szCs w:val="24"/>
        </w:rPr>
      </w:pPr>
      <w:r w:rsidRPr="00AA4677">
        <w:rPr>
          <w:rFonts w:eastAsia="Times New Roman" w:cs="Times New Roman"/>
          <w:szCs w:val="24"/>
        </w:rPr>
        <w:t>F</w:t>
      </w:r>
      <w:r w:rsidR="003E7C9E" w:rsidRPr="00AA4677">
        <w:rPr>
          <w:rFonts w:eastAsia="Times New Roman" w:cs="Times New Roman"/>
          <w:szCs w:val="24"/>
        </w:rPr>
        <w:t>acilitate excellence in human subject research.</w:t>
      </w:r>
    </w:p>
    <w:p w14:paraId="526C6B05" w14:textId="77777777" w:rsidR="006568EA" w:rsidRPr="00AA4677" w:rsidRDefault="006568EA" w:rsidP="006568EA">
      <w:pPr>
        <w:shd w:val="clear" w:color="auto" w:fill="FFFFFF"/>
        <w:spacing w:after="0" w:line="240" w:lineRule="auto"/>
        <w:ind w:left="720"/>
        <w:rPr>
          <w:rFonts w:eastAsia="Times New Roman" w:cs="Times New Roman"/>
          <w:szCs w:val="24"/>
        </w:rPr>
      </w:pPr>
    </w:p>
    <w:p w14:paraId="268A6E6C" w14:textId="77777777" w:rsidR="003E7C9E" w:rsidRPr="00AA4677" w:rsidRDefault="003E7C9E" w:rsidP="006568EA">
      <w:pPr>
        <w:shd w:val="clear" w:color="auto" w:fill="FFFFFF"/>
        <w:spacing w:after="0" w:line="240" w:lineRule="auto"/>
        <w:rPr>
          <w:rFonts w:eastAsia="Times New Roman" w:cs="Times New Roman"/>
          <w:szCs w:val="24"/>
        </w:rPr>
      </w:pPr>
      <w:r w:rsidRPr="00AA4677">
        <w:rPr>
          <w:rFonts w:eastAsia="Times New Roman" w:cs="Times New Roman"/>
          <w:szCs w:val="24"/>
        </w:rPr>
        <w:t>The HRPP includes mechanisms to:</w:t>
      </w:r>
    </w:p>
    <w:p w14:paraId="27BAFA6E" w14:textId="0DB9A52A" w:rsidR="003E7C9E" w:rsidRPr="00AA4677" w:rsidRDefault="003E7C9E">
      <w:pPr>
        <w:numPr>
          <w:ilvl w:val="0"/>
          <w:numId w:val="297"/>
        </w:num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 xml:space="preserve">Establish a formal process to monitor, evaluate and continually improve the protection of human research </w:t>
      </w:r>
      <w:proofErr w:type="gramStart"/>
      <w:r w:rsidR="00BF7470" w:rsidRPr="00AA4677">
        <w:rPr>
          <w:rFonts w:eastAsia="Times New Roman" w:cs="Times New Roman"/>
          <w:szCs w:val="24"/>
        </w:rPr>
        <w:t>subject</w:t>
      </w:r>
      <w:r w:rsidRPr="00AA4677">
        <w:rPr>
          <w:rFonts w:eastAsia="Times New Roman" w:cs="Times New Roman"/>
          <w:szCs w:val="24"/>
        </w:rPr>
        <w:t>s</w:t>
      </w:r>
      <w:r w:rsidR="007012FD" w:rsidRPr="00AA4677">
        <w:rPr>
          <w:rFonts w:eastAsia="Times New Roman" w:cs="Times New Roman"/>
          <w:szCs w:val="24"/>
        </w:rPr>
        <w:t>;</w:t>
      </w:r>
      <w:proofErr w:type="gramEnd"/>
    </w:p>
    <w:p w14:paraId="4B261598" w14:textId="7F8B4744" w:rsidR="003E7C9E" w:rsidRPr="00AA4677" w:rsidRDefault="003E7C9E">
      <w:pPr>
        <w:numPr>
          <w:ilvl w:val="0"/>
          <w:numId w:val="297"/>
        </w:numPr>
        <w:shd w:val="clear" w:color="auto" w:fill="FFFFFF"/>
        <w:spacing w:after="0" w:line="240" w:lineRule="auto"/>
        <w:rPr>
          <w:rFonts w:eastAsia="Times New Roman" w:cs="Times New Roman"/>
          <w:szCs w:val="24"/>
        </w:rPr>
      </w:pPr>
      <w:proofErr w:type="gramStart"/>
      <w:r w:rsidRPr="00AA4677">
        <w:rPr>
          <w:rFonts w:eastAsia="Times New Roman" w:cs="Times New Roman"/>
          <w:szCs w:val="24"/>
        </w:rPr>
        <w:t>Dedicate</w:t>
      </w:r>
      <w:proofErr w:type="gramEnd"/>
      <w:r w:rsidRPr="00AA4677">
        <w:rPr>
          <w:rFonts w:eastAsia="Times New Roman" w:cs="Times New Roman"/>
          <w:szCs w:val="24"/>
        </w:rPr>
        <w:t xml:space="preserve"> resources sufficient to do </w:t>
      </w:r>
      <w:proofErr w:type="gramStart"/>
      <w:r w:rsidRPr="00AA4677">
        <w:rPr>
          <w:rFonts w:eastAsia="Times New Roman" w:cs="Times New Roman"/>
          <w:szCs w:val="24"/>
        </w:rPr>
        <w:t>so</w:t>
      </w:r>
      <w:r w:rsidR="007012FD" w:rsidRPr="00AA4677">
        <w:rPr>
          <w:rFonts w:eastAsia="Times New Roman" w:cs="Times New Roman"/>
          <w:szCs w:val="24"/>
        </w:rPr>
        <w:t>;</w:t>
      </w:r>
      <w:proofErr w:type="gramEnd"/>
    </w:p>
    <w:p w14:paraId="0F173493" w14:textId="1D39EC9F" w:rsidR="003E7C9E" w:rsidRPr="00AA4677" w:rsidRDefault="003E7C9E">
      <w:pPr>
        <w:numPr>
          <w:ilvl w:val="0"/>
          <w:numId w:val="297"/>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Exercise oversight of research </w:t>
      </w:r>
      <w:proofErr w:type="gramStart"/>
      <w:r w:rsidRPr="00AA4677">
        <w:rPr>
          <w:rFonts w:eastAsia="Times New Roman" w:cs="Times New Roman"/>
          <w:szCs w:val="24"/>
        </w:rPr>
        <w:t>protection</w:t>
      </w:r>
      <w:r w:rsidR="007012FD" w:rsidRPr="00AA4677">
        <w:rPr>
          <w:rFonts w:eastAsia="Times New Roman" w:cs="Times New Roman"/>
          <w:szCs w:val="24"/>
        </w:rPr>
        <w:t>;</w:t>
      </w:r>
      <w:proofErr w:type="gramEnd"/>
    </w:p>
    <w:p w14:paraId="0848A267" w14:textId="33345286" w:rsidR="003E7C9E" w:rsidRPr="00AA4677" w:rsidRDefault="003E7C9E">
      <w:pPr>
        <w:numPr>
          <w:ilvl w:val="0"/>
          <w:numId w:val="297"/>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Educate investigators and research staff about their ethical responsibility </w:t>
      </w:r>
      <w:r w:rsidR="00BF7470" w:rsidRPr="00AA4677">
        <w:rPr>
          <w:rFonts w:eastAsia="Times New Roman" w:cs="Times New Roman"/>
          <w:szCs w:val="24"/>
        </w:rPr>
        <w:t>to protect research subjects</w:t>
      </w:r>
      <w:r w:rsidR="007012FD" w:rsidRPr="00AA4677">
        <w:rPr>
          <w:rFonts w:eastAsia="Times New Roman" w:cs="Times New Roman"/>
          <w:szCs w:val="24"/>
        </w:rPr>
        <w:t>; and</w:t>
      </w:r>
    </w:p>
    <w:p w14:paraId="658B0954" w14:textId="57E207D6" w:rsidR="003E7C9E" w:rsidRPr="00AA4677" w:rsidRDefault="003E7C9E">
      <w:pPr>
        <w:numPr>
          <w:ilvl w:val="0"/>
          <w:numId w:val="297"/>
        </w:numPr>
        <w:shd w:val="clear" w:color="auto" w:fill="FFFFFF"/>
        <w:spacing w:after="0" w:line="240" w:lineRule="auto"/>
        <w:rPr>
          <w:rFonts w:eastAsia="Times New Roman" w:cs="Times New Roman"/>
          <w:szCs w:val="24"/>
        </w:rPr>
      </w:pPr>
      <w:r w:rsidRPr="00AA4677">
        <w:rPr>
          <w:rFonts w:eastAsia="Times New Roman" w:cs="Times New Roman"/>
          <w:szCs w:val="24"/>
        </w:rPr>
        <w:t>When appropriate, intervene in research and respond directly to c</w:t>
      </w:r>
      <w:r w:rsidR="00BF7470" w:rsidRPr="00AA4677">
        <w:rPr>
          <w:rFonts w:eastAsia="Times New Roman" w:cs="Times New Roman"/>
          <w:szCs w:val="24"/>
        </w:rPr>
        <w:t>oncerns of research subjects</w:t>
      </w:r>
      <w:r w:rsidRPr="00AA4677">
        <w:rPr>
          <w:rFonts w:eastAsia="Times New Roman" w:cs="Times New Roman"/>
          <w:szCs w:val="24"/>
        </w:rPr>
        <w:t>.</w:t>
      </w:r>
    </w:p>
    <w:p w14:paraId="2974AA68" w14:textId="77777777" w:rsidR="001106E6" w:rsidRPr="00AA4677" w:rsidRDefault="001106E6" w:rsidP="00696B35">
      <w:pPr>
        <w:pStyle w:val="Heading2"/>
      </w:pPr>
    </w:p>
    <w:p w14:paraId="21F1D966" w14:textId="2752AAF1" w:rsidR="003E7C9E" w:rsidRPr="00AA4677" w:rsidRDefault="003E7C9E" w:rsidP="00696B35">
      <w:pPr>
        <w:pStyle w:val="Heading2"/>
      </w:pPr>
      <w:bookmarkStart w:id="13" w:name="_Toc192678139"/>
      <w:r w:rsidRPr="00AA4677">
        <w:t>1.3 Institutional Authority</w:t>
      </w:r>
      <w:bookmarkEnd w:id="13"/>
    </w:p>
    <w:p w14:paraId="37B215BC" w14:textId="3A01963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3C6E91" w:rsidRPr="00AA4677">
        <w:rPr>
          <w:rFonts w:eastAsia="Times New Roman" w:cs="Times New Roman"/>
          <w:szCs w:val="24"/>
        </w:rPr>
        <w:t>University</w:t>
      </w:r>
      <w:r w:rsidRPr="00AA4677">
        <w:rPr>
          <w:rFonts w:eastAsia="Times New Roman" w:cs="Times New Roman"/>
          <w:szCs w:val="24"/>
        </w:rPr>
        <w:t xml:space="preserve"> </w:t>
      </w:r>
      <w:r w:rsidR="003C6E91" w:rsidRPr="00AA4677">
        <w:rPr>
          <w:rFonts w:eastAsia="Times New Roman" w:cs="Times New Roman"/>
          <w:szCs w:val="24"/>
        </w:rPr>
        <w:t>HRPP</w:t>
      </w:r>
      <w:r w:rsidRPr="00AA4677">
        <w:rPr>
          <w:rFonts w:eastAsia="Times New Roman" w:cs="Times New Roman"/>
          <w:szCs w:val="24"/>
        </w:rPr>
        <w:t xml:space="preserve"> operates under the authority of the University Policy #P202R, “Research Involving Human Subjects,” most recently revised and approved Ma</w:t>
      </w:r>
      <w:r w:rsidR="00D67847" w:rsidRPr="00AA4677">
        <w:rPr>
          <w:rFonts w:eastAsia="Times New Roman" w:cs="Times New Roman"/>
          <w:szCs w:val="24"/>
        </w:rPr>
        <w:t>rch</w:t>
      </w:r>
      <w:r w:rsidRPr="00AA4677">
        <w:rPr>
          <w:rFonts w:eastAsia="Times New Roman" w:cs="Times New Roman"/>
          <w:szCs w:val="24"/>
        </w:rPr>
        <w:t xml:space="preserve"> 20</w:t>
      </w:r>
      <w:r w:rsidR="00D67847" w:rsidRPr="00AA4677">
        <w:rPr>
          <w:rFonts w:eastAsia="Times New Roman" w:cs="Times New Roman"/>
          <w:szCs w:val="24"/>
        </w:rPr>
        <w:t>1</w:t>
      </w:r>
      <w:r w:rsidRPr="00AA4677">
        <w:rPr>
          <w:rFonts w:eastAsia="Times New Roman" w:cs="Times New Roman"/>
          <w:szCs w:val="24"/>
        </w:rPr>
        <w:t xml:space="preserve">9.  As stated in that policy, the operating procedures in this document “…serve as the governing procedures for the conduct and review of all human research conducted under the auspices of </w:t>
      </w:r>
      <w:r w:rsidR="003C6E91" w:rsidRPr="00AA4677">
        <w:rPr>
          <w:rFonts w:eastAsia="Times New Roman" w:cs="Times New Roman"/>
          <w:szCs w:val="24"/>
        </w:rPr>
        <w:t>the</w:t>
      </w:r>
      <w:r w:rsidRPr="00AA4677">
        <w:rPr>
          <w:rFonts w:eastAsia="Times New Roman" w:cs="Times New Roman"/>
          <w:szCs w:val="24"/>
        </w:rPr>
        <w:t xml:space="preserve"> </w:t>
      </w:r>
      <w:r w:rsidR="006568EA" w:rsidRPr="00AA4677">
        <w:rPr>
          <w:rFonts w:eastAsia="Times New Roman" w:cs="Times New Roman"/>
          <w:szCs w:val="24"/>
        </w:rPr>
        <w:t>U</w:t>
      </w:r>
      <w:r w:rsidRPr="00AA4677">
        <w:rPr>
          <w:rFonts w:eastAsia="Times New Roman" w:cs="Times New Roman"/>
          <w:szCs w:val="24"/>
        </w:rPr>
        <w:t>niversity</w:t>
      </w:r>
      <w:r w:rsidR="00D67847" w:rsidRPr="00AA4677">
        <w:rPr>
          <w:rFonts w:eastAsia="Times New Roman" w:cs="Times New Roman"/>
          <w:szCs w:val="24"/>
        </w:rPr>
        <w:t>…</w:t>
      </w:r>
      <w:r w:rsidRPr="00AA4677">
        <w:rPr>
          <w:rFonts w:eastAsia="Times New Roman" w:cs="Times New Roman"/>
          <w:szCs w:val="24"/>
        </w:rPr>
        <w:t>”  The</w:t>
      </w:r>
      <w:r w:rsidR="00D67847" w:rsidRPr="00AA4677">
        <w:rPr>
          <w:rFonts w:eastAsia="Times New Roman" w:cs="Times New Roman"/>
          <w:szCs w:val="24"/>
        </w:rPr>
        <w:t xml:space="preserve"> University</w:t>
      </w:r>
      <w:r w:rsidRPr="00AA4677">
        <w:rPr>
          <w:rFonts w:eastAsia="Times New Roman" w:cs="Times New Roman"/>
          <w:szCs w:val="24"/>
        </w:rPr>
        <w:t xml:space="preserve"> Policy and these </w:t>
      </w:r>
      <w:r w:rsidR="008E2C85" w:rsidRPr="00AA4677">
        <w:rPr>
          <w:rFonts w:eastAsia="Times New Roman" w:cs="Times New Roman"/>
          <w:szCs w:val="24"/>
        </w:rPr>
        <w:t>Standard Operating Procedures (S</w:t>
      </w:r>
      <w:r w:rsidR="00D67847" w:rsidRPr="00AA4677">
        <w:rPr>
          <w:rFonts w:eastAsia="Times New Roman" w:cs="Times New Roman"/>
          <w:szCs w:val="24"/>
        </w:rPr>
        <w:t>O</w:t>
      </w:r>
      <w:r w:rsidR="008E2C85" w:rsidRPr="00AA4677">
        <w:rPr>
          <w:rFonts w:eastAsia="Times New Roman" w:cs="Times New Roman"/>
          <w:szCs w:val="24"/>
        </w:rPr>
        <w:t>Ps)</w:t>
      </w:r>
      <w:r w:rsidRPr="00AA4677">
        <w:rPr>
          <w:rFonts w:eastAsia="Times New Roman" w:cs="Times New Roman"/>
          <w:szCs w:val="24"/>
        </w:rPr>
        <w:t xml:space="preserve"> are available to all </w:t>
      </w:r>
      <w:r w:rsidR="003C6E91" w:rsidRPr="00AA4677">
        <w:rPr>
          <w:rFonts w:eastAsia="Times New Roman" w:cs="Times New Roman"/>
          <w:szCs w:val="24"/>
        </w:rPr>
        <w:t>University</w:t>
      </w:r>
      <w:r w:rsidRPr="00AA4677">
        <w:rPr>
          <w:rFonts w:eastAsia="Times New Roman" w:cs="Times New Roman"/>
          <w:szCs w:val="24"/>
        </w:rPr>
        <w:t xml:space="preserve"> investigators and research staff </w:t>
      </w:r>
      <w:r w:rsidR="008E2C85" w:rsidRPr="00AA4677">
        <w:rPr>
          <w:rFonts w:eastAsia="Times New Roman" w:cs="Times New Roman"/>
          <w:szCs w:val="24"/>
        </w:rPr>
        <w:t>and posted</w:t>
      </w:r>
      <w:r w:rsidRPr="00AA4677">
        <w:rPr>
          <w:rFonts w:eastAsia="Times New Roman" w:cs="Times New Roman"/>
          <w:szCs w:val="24"/>
        </w:rPr>
        <w:t xml:space="preserve"> on the </w:t>
      </w:r>
      <w:hyperlink r:id="rId10" w:history="1">
        <w:r w:rsidRPr="00AA4677">
          <w:rPr>
            <w:rStyle w:val="Hyperlink"/>
            <w:rFonts w:eastAsia="Times New Roman" w:cs="Times New Roman"/>
            <w:color w:val="auto"/>
            <w:szCs w:val="24"/>
            <w:u w:val="none"/>
          </w:rPr>
          <w:t>Office of Research Compliance</w:t>
        </w:r>
        <w:r w:rsidR="003C6E91" w:rsidRPr="00AA4677">
          <w:rPr>
            <w:rStyle w:val="Hyperlink"/>
            <w:rFonts w:eastAsia="Times New Roman" w:cs="Times New Roman"/>
            <w:color w:val="auto"/>
            <w:szCs w:val="24"/>
            <w:u w:val="none"/>
          </w:rPr>
          <w:t>’s</w:t>
        </w:r>
        <w:r w:rsidRPr="00AA4677">
          <w:rPr>
            <w:rStyle w:val="Hyperlink"/>
            <w:rFonts w:eastAsia="Times New Roman" w:cs="Times New Roman"/>
            <w:color w:val="auto"/>
            <w:szCs w:val="24"/>
            <w:u w:val="none"/>
          </w:rPr>
          <w:t xml:space="preserve"> website</w:t>
        </w:r>
      </w:hyperlink>
      <w:r w:rsidR="00485DF3" w:rsidRPr="00AA4677">
        <w:rPr>
          <w:rFonts w:eastAsia="Times New Roman" w:cs="Times New Roman"/>
          <w:szCs w:val="24"/>
        </w:rPr>
        <w:t>.</w:t>
      </w:r>
      <w:r w:rsidRPr="00AA4677">
        <w:rPr>
          <w:rFonts w:eastAsia="Times New Roman" w:cs="Times New Roman"/>
          <w:szCs w:val="24"/>
        </w:rPr>
        <w:t xml:space="preserve"> </w:t>
      </w:r>
    </w:p>
    <w:p w14:paraId="10E657C2" w14:textId="36338336" w:rsidR="0079746C" w:rsidRPr="00AA4677" w:rsidRDefault="000B294F" w:rsidP="00696B35">
      <w:pPr>
        <w:pStyle w:val="Heading2"/>
      </w:pPr>
      <w:bookmarkStart w:id="14" w:name="_Toc192678140"/>
      <w:r w:rsidRPr="00AA4677">
        <w:t>1.4</w:t>
      </w:r>
      <w:r w:rsidR="0079746C" w:rsidRPr="00AA4677">
        <w:t xml:space="preserve"> Ethical Principles</w:t>
      </w:r>
      <w:bookmarkEnd w:id="14"/>
    </w:p>
    <w:p w14:paraId="6FC16898" w14:textId="77777777" w:rsidR="0079746C" w:rsidRPr="00AA4677" w:rsidRDefault="0079746C" w:rsidP="0079746C">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University is committed to conducting research with the highest regard for the welfare of human subjects.  It upholds and adheres to the principles of </w:t>
      </w:r>
      <w:r w:rsidRPr="00AA4677">
        <w:rPr>
          <w:rFonts w:eastAsia="Times New Roman" w:cs="Times New Roman"/>
          <w:i/>
          <w:iCs/>
          <w:szCs w:val="24"/>
        </w:rPr>
        <w:t>The Belmont Report: Ethical Principles and Guidelines for the Protection of Human Subjects in Research</w:t>
      </w:r>
      <w:r w:rsidRPr="00AA4677">
        <w:rPr>
          <w:rFonts w:eastAsia="Times New Roman" w:cs="Times New Roman"/>
          <w:szCs w:val="24"/>
        </w:rPr>
        <w:t> by the National Commission for the Protection of Human Subjects in Biomedical and Behavioral Research (1979).  These principles are:</w:t>
      </w:r>
    </w:p>
    <w:p w14:paraId="69D6751E" w14:textId="77777777" w:rsidR="0079746C" w:rsidRPr="00AA4677" w:rsidRDefault="0079746C" w:rsidP="0079746C">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Respect for Persons</w:t>
      </w:r>
      <w:r w:rsidRPr="00AA4677">
        <w:rPr>
          <w:rFonts w:eastAsia="Times New Roman" w:cs="Times New Roman"/>
          <w:szCs w:val="24"/>
        </w:rPr>
        <w:t>, which is ensured by obtaining informed consent, consideration of privacy, confidentiality, and additional protections for vulnerable populations.</w:t>
      </w:r>
    </w:p>
    <w:p w14:paraId="6358014C" w14:textId="77777777" w:rsidR="0079746C" w:rsidRPr="00AA4677" w:rsidRDefault="0079746C" w:rsidP="0079746C">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Beneficence</w:t>
      </w:r>
      <w:r w:rsidRPr="00AA4677">
        <w:rPr>
          <w:rFonts w:eastAsia="Times New Roman" w:cs="Times New Roman"/>
          <w:szCs w:val="24"/>
        </w:rPr>
        <w:t>, which is assured by ensuring that possible benefits are maximized and possible risks are minimized to all human subjects.</w:t>
      </w:r>
    </w:p>
    <w:p w14:paraId="4236B50C" w14:textId="77777777" w:rsidR="0079746C" w:rsidRPr="00AA4677" w:rsidRDefault="0079746C" w:rsidP="0079746C">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Justice</w:t>
      </w:r>
      <w:r w:rsidRPr="00AA4677">
        <w:rPr>
          <w:rFonts w:eastAsia="Times New Roman" w:cs="Times New Roman"/>
          <w:szCs w:val="24"/>
        </w:rPr>
        <w:t>, the equitable selection of subjects.</w:t>
      </w:r>
    </w:p>
    <w:p w14:paraId="47CC718A" w14:textId="77777777" w:rsidR="0079746C" w:rsidRPr="00AA4677" w:rsidRDefault="0079746C" w:rsidP="0079746C">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University’s Human Research Protection Program (HRPP), in partnership with its research community, is responsible for ensuring the ethical and equitable treatment of all human subjects in research conducted under its auspices. </w:t>
      </w:r>
    </w:p>
    <w:p w14:paraId="45F88FE8" w14:textId="0AEB439B" w:rsidR="003E7C9E" w:rsidRPr="00AA4677" w:rsidRDefault="000B294F" w:rsidP="00696B35">
      <w:pPr>
        <w:pStyle w:val="Heading2"/>
      </w:pPr>
      <w:bookmarkStart w:id="15" w:name="_Toc192678141"/>
      <w:bookmarkStart w:id="16" w:name="_Hlk193369599"/>
      <w:r w:rsidRPr="00AA4677">
        <w:lastRenderedPageBreak/>
        <w:t>1.5</w:t>
      </w:r>
      <w:r w:rsidR="003E7C9E" w:rsidRPr="00AA4677">
        <w:t xml:space="preserve"> Definitions</w:t>
      </w:r>
      <w:bookmarkEnd w:id="15"/>
    </w:p>
    <w:bookmarkEnd w:id="16"/>
    <w:p w14:paraId="7FB6175A" w14:textId="6A06F822" w:rsidR="00B43A62" w:rsidRPr="00AA4677" w:rsidRDefault="00EA7E97" w:rsidP="00B43A62">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w:t>
      </w:r>
      <w:r w:rsidR="00B43A62" w:rsidRPr="00AA4677">
        <w:rPr>
          <w:rFonts w:eastAsia="Times New Roman" w:cs="Times New Roman"/>
          <w:b/>
          <w:bCs/>
          <w:szCs w:val="24"/>
        </w:rPr>
        <w:t>Agent:</w:t>
      </w:r>
      <w:r w:rsidRPr="00AA4677">
        <w:rPr>
          <w:rFonts w:eastAsia="Times New Roman" w:cs="Times New Roman"/>
          <w:b/>
          <w:bCs/>
          <w:szCs w:val="24"/>
        </w:rPr>
        <w:t>”</w:t>
      </w:r>
      <w:r w:rsidR="00B43A62" w:rsidRPr="00AA4677">
        <w:rPr>
          <w:rFonts w:eastAsia="Times New Roman" w:cs="Times New Roman"/>
          <w:b/>
          <w:bCs/>
          <w:szCs w:val="24"/>
        </w:rPr>
        <w:t xml:space="preserve"> </w:t>
      </w:r>
      <w:r w:rsidR="00B43A62" w:rsidRPr="00AA4677">
        <w:rPr>
          <w:rFonts w:eastAsia="Times New Roman" w:cs="Times New Roman"/>
          <w:szCs w:val="24"/>
        </w:rPr>
        <w:t xml:space="preserve"> all individuals performing institutionally designated activities or exercising institutionally delegated authority or responsibility.</w:t>
      </w:r>
    </w:p>
    <w:p w14:paraId="0FF65E89" w14:textId="591C2C93" w:rsidR="00BC7C7C" w:rsidRPr="00AA4677" w:rsidRDefault="00EA7E97" w:rsidP="00BC7C7C">
      <w:pPr>
        <w:rPr>
          <w:rFonts w:ascii="Calibri" w:hAnsi="Calibri" w:cs="Times New Roman"/>
          <w:szCs w:val="24"/>
        </w:rPr>
      </w:pPr>
      <w:r w:rsidRPr="00AA4677">
        <w:rPr>
          <w:rStyle w:val="BodyTextChar"/>
          <w:rFonts w:ascii="Calibri" w:eastAsiaTheme="minorHAnsi" w:hAnsi="Calibri"/>
          <w:b/>
        </w:rPr>
        <w:t>“</w:t>
      </w:r>
      <w:r w:rsidR="002853E1" w:rsidRPr="00AA4677">
        <w:rPr>
          <w:rStyle w:val="BodyTextChar"/>
          <w:rFonts w:ascii="Calibri" w:eastAsiaTheme="minorHAnsi" w:hAnsi="Calibri"/>
          <w:b/>
        </w:rPr>
        <w:t>Clinical Trial</w:t>
      </w:r>
      <w:r w:rsidRPr="00AA4677">
        <w:rPr>
          <w:rStyle w:val="BodyTextChar"/>
          <w:rFonts w:ascii="Calibri" w:eastAsiaTheme="minorHAnsi" w:hAnsi="Calibri"/>
          <w:b/>
        </w:rPr>
        <w:t>”</w:t>
      </w:r>
      <w:r w:rsidR="002853E1" w:rsidRPr="00AA4677">
        <w:rPr>
          <w:rStyle w:val="BodyTextChar"/>
          <w:rFonts w:ascii="Calibri" w:eastAsiaTheme="minorHAnsi" w:hAnsi="Calibri"/>
          <w:b/>
        </w:rPr>
        <w:t>:</w:t>
      </w:r>
      <w:r w:rsidR="00BC7C7C" w:rsidRPr="00AA4677">
        <w:rPr>
          <w:rStyle w:val="BodyTextChar"/>
          <w:rFonts w:ascii="Calibri" w:eastAsiaTheme="minorHAnsi" w:hAnsi="Calibri"/>
        </w:rPr>
        <w:t xml:space="preserve">  </w:t>
      </w:r>
      <w:r w:rsidR="00B67F64" w:rsidRPr="00AA4677">
        <w:rPr>
          <w:rStyle w:val="BodyTextChar"/>
          <w:rFonts w:ascii="Calibri" w:eastAsiaTheme="minorHAnsi" w:hAnsi="Calibri"/>
        </w:rPr>
        <w:t>p</w:t>
      </w:r>
      <w:r w:rsidR="00BC7C7C" w:rsidRPr="00AA4677">
        <w:rPr>
          <w:rStyle w:val="BodyTextChar"/>
          <w:rFonts w:ascii="Calibri" w:eastAsiaTheme="minorHAnsi" w:hAnsi="Calibri"/>
        </w:rPr>
        <w:t>er the Common Rule and NIH Policy, clinical trial means a research study in which one or more human subjects are prospectively assigned to one or more interventions (which may include placebo or other control) to evaluate the effects of the interventions on biomedical or behavioral health-related outcomes.  FDA regulations refer to “clinical investigations” (see definition of “research” below).</w:t>
      </w:r>
    </w:p>
    <w:p w14:paraId="16A92137" w14:textId="29D344C4" w:rsidR="00EA7E97" w:rsidRPr="00AA4677" w:rsidRDefault="00EA7E97" w:rsidP="00EA7E9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“Color Additives”: </w:t>
      </w:r>
      <w:r w:rsidRPr="00AA4677">
        <w:rPr>
          <w:rFonts w:eastAsia="Times New Roman" w:cs="Times New Roman"/>
          <w:szCs w:val="24"/>
        </w:rPr>
        <w:t xml:space="preserve">any dye, pigment or substance which when added or applied to a food, drug or cosmetic, or to the human body, is capable (alone or through reactions with other substances) of imparting color. </w:t>
      </w:r>
    </w:p>
    <w:p w14:paraId="2901DE5C" w14:textId="56DBF218" w:rsidR="00EA7E97" w:rsidRPr="00AA4677" w:rsidRDefault="00EA7E97" w:rsidP="00EA7E9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“Common Rule”: </w:t>
      </w:r>
      <w:r w:rsidRPr="00AA4677">
        <w:rPr>
          <w:rFonts w:eastAsia="Times New Roman" w:cs="Times New Roman"/>
          <w:szCs w:val="24"/>
        </w:rPr>
        <w:t xml:space="preserve">the “Federal Policy for the Protection of Human Subjects” adopted by </w:t>
      </w:r>
      <w:proofErr w:type="gramStart"/>
      <w:r w:rsidRPr="00AA4677">
        <w:rPr>
          <w:rFonts w:eastAsia="Times New Roman" w:cs="Times New Roman"/>
          <w:szCs w:val="24"/>
        </w:rPr>
        <w:t>a number of</w:t>
      </w:r>
      <w:proofErr w:type="gramEnd"/>
      <w:r w:rsidRPr="00AA4677">
        <w:rPr>
          <w:rFonts w:eastAsia="Times New Roman" w:cs="Times New Roman"/>
          <w:szCs w:val="24"/>
        </w:rPr>
        <w:t xml:space="preserve"> federal agencies. Although the Common Rule is codified by each agency separately, the text is identical to Department of Health and Human Services (DHHS) regulations in 45 CFR 46 Subpart A. For the purposes of this document, references to the Common Rule will cite the DHHS regulations.</w:t>
      </w:r>
    </w:p>
    <w:p w14:paraId="7ECC0320" w14:textId="2CAD7D35" w:rsidR="00B43A62" w:rsidRPr="00AA4677" w:rsidRDefault="00EA7E97" w:rsidP="00B43A62">
      <w:pPr>
        <w:shd w:val="clear" w:color="auto" w:fill="FFFFFF"/>
        <w:spacing w:after="0" w:line="240" w:lineRule="auto"/>
        <w:rPr>
          <w:rFonts w:eastAsia="Times New Roman" w:cs="Times New Roman"/>
          <w:szCs w:val="24"/>
        </w:rPr>
      </w:pPr>
      <w:r w:rsidRPr="00AA4677">
        <w:rPr>
          <w:rFonts w:eastAsia="Times New Roman" w:cs="Times New Roman"/>
          <w:b/>
          <w:bCs/>
          <w:szCs w:val="24"/>
        </w:rPr>
        <w:t>“</w:t>
      </w:r>
      <w:r w:rsidR="00B43A62" w:rsidRPr="00AA4677">
        <w:rPr>
          <w:rFonts w:eastAsia="Times New Roman" w:cs="Times New Roman"/>
          <w:b/>
          <w:bCs/>
          <w:szCs w:val="24"/>
        </w:rPr>
        <w:t>Engagement</w:t>
      </w:r>
      <w:r w:rsidRPr="00AA4677">
        <w:rPr>
          <w:rFonts w:eastAsia="Times New Roman" w:cs="Times New Roman"/>
          <w:b/>
          <w:bCs/>
          <w:szCs w:val="24"/>
        </w:rPr>
        <w:t>”</w:t>
      </w:r>
      <w:r w:rsidR="00B43A62" w:rsidRPr="00AA4677">
        <w:rPr>
          <w:rFonts w:eastAsia="Times New Roman" w:cs="Times New Roman"/>
          <w:b/>
          <w:bCs/>
          <w:szCs w:val="24"/>
        </w:rPr>
        <w:t xml:space="preserve">: </w:t>
      </w:r>
      <w:r w:rsidR="00B43A62" w:rsidRPr="00AA4677">
        <w:rPr>
          <w:rFonts w:eastAsia="Times New Roman" w:cs="Times New Roman"/>
          <w:bCs/>
          <w:szCs w:val="24"/>
        </w:rPr>
        <w:t>an i</w:t>
      </w:r>
      <w:r w:rsidR="00B43A62" w:rsidRPr="00AA4677">
        <w:rPr>
          <w:rFonts w:eastAsia="Times New Roman" w:cs="Times New Roman"/>
          <w:szCs w:val="24"/>
        </w:rPr>
        <w:t>nstitution is considered </w:t>
      </w:r>
      <w:r w:rsidR="00B43A62" w:rsidRPr="00AA4677">
        <w:rPr>
          <w:rFonts w:eastAsia="Times New Roman" w:cs="Times New Roman"/>
          <w:i/>
          <w:iCs/>
          <w:szCs w:val="24"/>
        </w:rPr>
        <w:t>engaged</w:t>
      </w:r>
      <w:r w:rsidR="00B43A62" w:rsidRPr="00AA4677">
        <w:rPr>
          <w:rFonts w:eastAsia="Times New Roman" w:cs="Times New Roman"/>
          <w:szCs w:val="24"/>
        </w:rPr>
        <w:t> in a research project when the involvement of their employees or agents in that project includes any of the following:</w:t>
      </w:r>
    </w:p>
    <w:p w14:paraId="73A0E11A" w14:textId="77777777" w:rsidR="00B43A62" w:rsidRPr="00AA4677" w:rsidRDefault="00B43A62">
      <w:pPr>
        <w:numPr>
          <w:ilvl w:val="0"/>
          <w:numId w:val="296"/>
        </w:numPr>
        <w:shd w:val="clear" w:color="auto" w:fill="FFFFFF"/>
        <w:spacing w:after="0" w:line="240" w:lineRule="auto"/>
        <w:rPr>
          <w:rFonts w:eastAsia="Times New Roman" w:cs="Times New Roman"/>
          <w:szCs w:val="24"/>
        </w:rPr>
      </w:pPr>
      <w:r w:rsidRPr="00AA4677">
        <w:rPr>
          <w:rFonts w:eastAsia="Times New Roman" w:cs="Times New Roman"/>
          <w:szCs w:val="24"/>
        </w:rPr>
        <w:t>Intervention for research purposes with any human subjects of the research by performing invasive or noninvasive procedures.</w:t>
      </w:r>
    </w:p>
    <w:p w14:paraId="7DE893A9" w14:textId="77777777" w:rsidR="00B43A62" w:rsidRPr="00AA4677" w:rsidRDefault="00B43A62">
      <w:pPr>
        <w:numPr>
          <w:ilvl w:val="0"/>
          <w:numId w:val="296"/>
        </w:numPr>
        <w:shd w:val="clear" w:color="auto" w:fill="FFFFFF"/>
        <w:spacing w:after="0" w:line="240" w:lineRule="auto"/>
        <w:rPr>
          <w:rFonts w:eastAsia="Times New Roman" w:cs="Times New Roman"/>
          <w:szCs w:val="24"/>
        </w:rPr>
      </w:pPr>
      <w:r w:rsidRPr="00AA4677">
        <w:rPr>
          <w:rFonts w:eastAsia="Times New Roman" w:cs="Times New Roman"/>
          <w:szCs w:val="24"/>
        </w:rPr>
        <w:t>Intervention for research purposes with any human subject of the research by manipulating the environment.</w:t>
      </w:r>
    </w:p>
    <w:p w14:paraId="5E75A5EA" w14:textId="77777777" w:rsidR="00B43A62" w:rsidRPr="00AA4677" w:rsidRDefault="00B43A62">
      <w:pPr>
        <w:numPr>
          <w:ilvl w:val="0"/>
          <w:numId w:val="296"/>
        </w:numPr>
        <w:shd w:val="clear" w:color="auto" w:fill="FFFFFF"/>
        <w:spacing w:after="0" w:line="240" w:lineRule="auto"/>
        <w:rPr>
          <w:rFonts w:eastAsia="Times New Roman" w:cs="Times New Roman"/>
          <w:szCs w:val="24"/>
        </w:rPr>
      </w:pPr>
      <w:r w:rsidRPr="00AA4677">
        <w:rPr>
          <w:rFonts w:eastAsia="Times New Roman" w:cs="Times New Roman"/>
          <w:szCs w:val="24"/>
        </w:rPr>
        <w:t>Interaction for research purposes with any human subject of the research.</w:t>
      </w:r>
    </w:p>
    <w:p w14:paraId="626AF505" w14:textId="77777777" w:rsidR="00B43A62" w:rsidRPr="00AA4677" w:rsidRDefault="00B43A62">
      <w:pPr>
        <w:numPr>
          <w:ilvl w:val="0"/>
          <w:numId w:val="296"/>
        </w:numPr>
        <w:shd w:val="clear" w:color="auto" w:fill="FFFFFF"/>
        <w:spacing w:after="0" w:line="240" w:lineRule="auto"/>
        <w:rPr>
          <w:rFonts w:eastAsia="Times New Roman" w:cs="Times New Roman"/>
          <w:szCs w:val="24"/>
        </w:rPr>
      </w:pPr>
      <w:r w:rsidRPr="00AA4677">
        <w:rPr>
          <w:rFonts w:eastAsia="Times New Roman" w:cs="Times New Roman"/>
          <w:szCs w:val="24"/>
        </w:rPr>
        <w:t>Obtaining the informed consent of human subjects for the research.</w:t>
      </w:r>
    </w:p>
    <w:p w14:paraId="3C46BA0D" w14:textId="77777777" w:rsidR="00B43A62" w:rsidRPr="00AA4677" w:rsidRDefault="00B43A62">
      <w:pPr>
        <w:numPr>
          <w:ilvl w:val="0"/>
          <w:numId w:val="296"/>
        </w:numPr>
        <w:shd w:val="clear" w:color="auto" w:fill="FFFFFF"/>
        <w:spacing w:after="0" w:line="240" w:lineRule="auto"/>
        <w:rPr>
          <w:rFonts w:eastAsia="Times New Roman" w:cs="Times New Roman"/>
          <w:szCs w:val="24"/>
        </w:rPr>
      </w:pPr>
      <w:r w:rsidRPr="00AA4677">
        <w:rPr>
          <w:rFonts w:eastAsia="Times New Roman" w:cs="Times New Roman"/>
          <w:szCs w:val="24"/>
        </w:rPr>
        <w:t>Obtaining for research purposes identifiable private information or identifiable biological specimens from any source for the research. In general, obtaining identifiable private information or identifiable specimens includes, but is not limited to:</w:t>
      </w:r>
    </w:p>
    <w:p w14:paraId="005C5A85" w14:textId="77777777" w:rsidR="00B43A62" w:rsidRPr="00AA4677" w:rsidRDefault="00B43A62">
      <w:pPr>
        <w:numPr>
          <w:ilvl w:val="0"/>
          <w:numId w:val="296"/>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Observing or recording private </w:t>
      </w:r>
      <w:proofErr w:type="gramStart"/>
      <w:r w:rsidRPr="00AA4677">
        <w:rPr>
          <w:rFonts w:eastAsia="Times New Roman" w:cs="Times New Roman"/>
          <w:szCs w:val="24"/>
        </w:rPr>
        <w:t>behavior;</w:t>
      </w:r>
      <w:proofErr w:type="gramEnd"/>
    </w:p>
    <w:p w14:paraId="720952F7" w14:textId="77777777" w:rsidR="00B43A62" w:rsidRPr="00AA4677" w:rsidRDefault="00B43A62">
      <w:pPr>
        <w:numPr>
          <w:ilvl w:val="0"/>
          <w:numId w:val="296"/>
        </w:numPr>
        <w:shd w:val="clear" w:color="auto" w:fill="FFFFFF"/>
        <w:spacing w:after="0" w:line="240" w:lineRule="auto"/>
        <w:rPr>
          <w:rFonts w:eastAsia="Times New Roman" w:cs="Times New Roman"/>
          <w:szCs w:val="24"/>
        </w:rPr>
      </w:pPr>
      <w:r w:rsidRPr="00AA4677">
        <w:rPr>
          <w:rFonts w:eastAsia="Times New Roman" w:cs="Times New Roman"/>
          <w:szCs w:val="24"/>
        </w:rPr>
        <w:t>Using, studying, or analyzing for research purposes identifiable private information or identifiable specimens provided by another institution; and</w:t>
      </w:r>
    </w:p>
    <w:p w14:paraId="44D1F2F1" w14:textId="4B4E3E46" w:rsidR="00B43A62" w:rsidRPr="00AA4677" w:rsidRDefault="00B43A62">
      <w:pPr>
        <w:numPr>
          <w:ilvl w:val="0"/>
          <w:numId w:val="296"/>
        </w:numPr>
        <w:shd w:val="clear" w:color="auto" w:fill="FFFFFF"/>
        <w:spacing w:after="0" w:line="240" w:lineRule="auto"/>
        <w:rPr>
          <w:rFonts w:eastAsia="Times New Roman" w:cs="Times New Roman"/>
          <w:szCs w:val="24"/>
        </w:rPr>
      </w:pPr>
      <w:r w:rsidRPr="00AA4677">
        <w:rPr>
          <w:rFonts w:eastAsia="Times New Roman" w:cs="Times New Roman"/>
          <w:szCs w:val="24"/>
        </w:rPr>
        <w:t>Using, studying, or analyzing for research purposes identifiable private information or identifiable specimens already in the possession of the investigators.</w:t>
      </w:r>
    </w:p>
    <w:p w14:paraId="42CEDA78" w14:textId="77777777" w:rsidR="00B67F64" w:rsidRPr="00AA4677" w:rsidRDefault="00B67F64" w:rsidP="00B67F64">
      <w:pPr>
        <w:shd w:val="clear" w:color="auto" w:fill="FFFFFF"/>
        <w:spacing w:after="0" w:line="240" w:lineRule="auto"/>
        <w:ind w:left="360"/>
        <w:rPr>
          <w:rFonts w:eastAsia="Times New Roman" w:cs="Times New Roman"/>
          <w:szCs w:val="24"/>
        </w:rPr>
      </w:pPr>
    </w:p>
    <w:p w14:paraId="752B99FE" w14:textId="77777777" w:rsidR="00B67F64" w:rsidRPr="00AA4677" w:rsidRDefault="00EA7E97" w:rsidP="00B67F64">
      <w:pPr>
        <w:shd w:val="clear" w:color="auto" w:fill="FFFFFF"/>
        <w:spacing w:after="0" w:line="240" w:lineRule="auto"/>
        <w:rPr>
          <w:rFonts w:eastAsia="Times New Roman" w:cstheme="minorHAnsi"/>
          <w:bCs/>
          <w:szCs w:val="24"/>
        </w:rPr>
      </w:pPr>
      <w:r w:rsidRPr="00AA4677">
        <w:rPr>
          <w:rFonts w:eastAsia="Times New Roman" w:cs="Times New Roman"/>
          <w:b/>
          <w:bCs/>
          <w:szCs w:val="24"/>
        </w:rPr>
        <w:t xml:space="preserve">“Enrollment”: </w:t>
      </w:r>
      <w:r w:rsidRPr="00AA4677">
        <w:rPr>
          <w:rFonts w:eastAsia="Times New Roman" w:cs="Times New Roman"/>
          <w:bCs/>
          <w:szCs w:val="24"/>
        </w:rPr>
        <w:t>means that subjects have consented to participation in a particular study. These individuals count towards total enrollment despite screen failures,</w:t>
      </w:r>
      <w:r w:rsidR="00A31904" w:rsidRPr="00AA4677">
        <w:rPr>
          <w:rFonts w:eastAsia="Times New Roman" w:cs="Times New Roman"/>
          <w:bCs/>
          <w:szCs w:val="24"/>
        </w:rPr>
        <w:t xml:space="preserve"> failure to meet study criteria,</w:t>
      </w:r>
      <w:r w:rsidRPr="00AA4677">
        <w:rPr>
          <w:rFonts w:eastAsia="Times New Roman" w:cs="Times New Roman"/>
          <w:bCs/>
          <w:szCs w:val="24"/>
        </w:rPr>
        <w:t xml:space="preserve"> </w:t>
      </w:r>
      <w:r w:rsidRPr="00AA4677">
        <w:rPr>
          <w:rFonts w:eastAsia="Times New Roman" w:cs="Times New Roman"/>
          <w:bCs/>
          <w:szCs w:val="24"/>
        </w:rPr>
        <w:lastRenderedPageBreak/>
        <w:t>refusal to continue participation or if for some reason they are withdrawn from the study.</w:t>
      </w:r>
      <w:r w:rsidR="006A79D6" w:rsidRPr="00AA4677">
        <w:rPr>
          <w:rFonts w:eastAsia="Times New Roman" w:cs="Times New Roman"/>
          <w:bCs/>
          <w:szCs w:val="24"/>
        </w:rPr>
        <w:t xml:space="preserve"> Individuals can also </w:t>
      </w:r>
      <w:r w:rsidR="006A79D6" w:rsidRPr="00AA4677">
        <w:rPr>
          <w:rFonts w:cstheme="minorHAnsi"/>
          <w:color w:val="222222"/>
          <w:shd w:val="clear" w:color="auto" w:fill="FFFFFF"/>
        </w:rPr>
        <w:t>document that they agreed to be in the study such as a clicking a radial button to agree to participate in a survey study.</w:t>
      </w:r>
    </w:p>
    <w:p w14:paraId="71A4B763" w14:textId="72AD15D6" w:rsidR="00B67F64" w:rsidRPr="00AA4677" w:rsidRDefault="00B67F64" w:rsidP="00B67F64">
      <w:pPr>
        <w:shd w:val="clear" w:color="auto" w:fill="FFFFFF"/>
        <w:spacing w:after="0" w:line="240" w:lineRule="auto"/>
        <w:rPr>
          <w:rFonts w:eastAsia="Times New Roman" w:cstheme="minorHAnsi"/>
          <w:bCs/>
          <w:szCs w:val="24"/>
        </w:rPr>
      </w:pPr>
      <w:r w:rsidRPr="00AA4677">
        <w:rPr>
          <w:rFonts w:eastAsia="Times New Roman" w:cs="Times New Roman"/>
          <w:b/>
          <w:bCs/>
          <w:szCs w:val="24"/>
        </w:rPr>
        <w:br/>
      </w:r>
      <w:bookmarkStart w:id="17" w:name="_Hlk160542250"/>
      <w:r w:rsidRPr="00AA4677">
        <w:rPr>
          <w:rFonts w:eastAsia="Times New Roman" w:cstheme="minorHAnsi"/>
          <w:b/>
          <w:bCs/>
          <w:szCs w:val="24"/>
        </w:rPr>
        <w:t xml:space="preserve">“Federal Regulations”: </w:t>
      </w:r>
      <w:bookmarkStart w:id="18" w:name="_Hlk160542329"/>
      <w:r w:rsidRPr="00AA4677">
        <w:rPr>
          <w:rFonts w:cstheme="minorHAnsi"/>
          <w:color w:val="040C28"/>
        </w:rPr>
        <w:t>Regulations are published by executive branch agencies to clarify their interpretation of a law and how a law will be implemented</w:t>
      </w:r>
      <w:r w:rsidRPr="00AA4677">
        <w:rPr>
          <w:rFonts w:cstheme="minorHAnsi"/>
          <w:color w:val="4D5156"/>
          <w:shd w:val="clear" w:color="auto" w:fill="FFFFFF"/>
        </w:rPr>
        <w:t xml:space="preserve">. </w:t>
      </w:r>
      <w:r w:rsidRPr="00AA4677">
        <w:rPr>
          <w:rFonts w:cstheme="minorHAnsi"/>
          <w:shd w:val="clear" w:color="auto" w:fill="FFFFFF"/>
        </w:rPr>
        <w:t>Regulations also state requirements or prohibitions.</w:t>
      </w:r>
    </w:p>
    <w:bookmarkEnd w:id="17"/>
    <w:bookmarkEnd w:id="18"/>
    <w:p w14:paraId="6A9DABF5" w14:textId="311E475E" w:rsidR="00EA7E97" w:rsidRPr="00AA4677" w:rsidRDefault="00EA7E97" w:rsidP="00EA7E9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“Food Additive”: </w:t>
      </w:r>
      <w:r w:rsidRPr="00AA4677">
        <w:rPr>
          <w:rFonts w:eastAsia="Times New Roman" w:cs="Times New Roman"/>
          <w:bCs/>
          <w:szCs w:val="24"/>
        </w:rPr>
        <w:t>i</w:t>
      </w:r>
      <w:r w:rsidRPr="00AA4677">
        <w:rPr>
          <w:rFonts w:eastAsia="Times New Roman" w:cs="Times New Roman"/>
          <w:szCs w:val="24"/>
        </w:rPr>
        <w:t xml:space="preserve">n its broadest sense, a food additive is any substance added to food. Legally, the term refers to "any substance the intended use of which results or may reasonably be expected to result -- directly or indirectly -- in </w:t>
      </w:r>
      <w:proofErr w:type="gramStart"/>
      <w:r w:rsidRPr="00AA4677">
        <w:rPr>
          <w:rFonts w:eastAsia="Times New Roman" w:cs="Times New Roman"/>
          <w:szCs w:val="24"/>
        </w:rPr>
        <w:t>its</w:t>
      </w:r>
      <w:proofErr w:type="gramEnd"/>
      <w:r w:rsidRPr="00AA4677">
        <w:rPr>
          <w:rFonts w:eastAsia="Times New Roman" w:cs="Times New Roman"/>
          <w:szCs w:val="24"/>
        </w:rPr>
        <w:t xml:space="preserve"> becoming a component or otherwise affecting the characteristics of any food." This definition includes any substance used in the production, processing, treatment, packaging, transportation or storage of food.</w:t>
      </w:r>
    </w:p>
    <w:p w14:paraId="7F100743" w14:textId="2A01C37E" w:rsidR="00EA7E97" w:rsidRPr="00AA4677" w:rsidRDefault="00EA7E97" w:rsidP="00EA7E9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“Food”: </w:t>
      </w:r>
      <w:r w:rsidRPr="00AA4677">
        <w:rPr>
          <w:rFonts w:eastAsia="Times New Roman" w:cs="Times New Roman"/>
          <w:szCs w:val="24"/>
        </w:rPr>
        <w:t>dietary supplements that bear a nutrient content claim or a health claim.</w:t>
      </w:r>
    </w:p>
    <w:p w14:paraId="51D5DC3F" w14:textId="456863BC" w:rsidR="00EA7E97" w:rsidRPr="00AA4677" w:rsidRDefault="00EA7E97" w:rsidP="00EA7E97">
      <w:pPr>
        <w:shd w:val="clear" w:color="auto" w:fill="FFFFFF"/>
        <w:spacing w:after="0" w:line="240" w:lineRule="auto"/>
        <w:rPr>
          <w:rFonts w:eastAsia="Times New Roman" w:cs="Times New Roman"/>
          <w:szCs w:val="24"/>
        </w:rPr>
      </w:pPr>
      <w:r w:rsidRPr="00AA4677">
        <w:rPr>
          <w:rFonts w:eastAsia="Times New Roman" w:cs="Times New Roman"/>
          <w:b/>
          <w:bCs/>
          <w:szCs w:val="24"/>
        </w:rPr>
        <w:t>“Human Subject’ (for research covered by the Common Rule, e.g., 45 CFR 46, etc.):</w:t>
      </w:r>
      <w:r w:rsidRPr="00AA4677">
        <w:rPr>
          <w:rFonts w:eastAsia="Times New Roman" w:cs="Times New Roman"/>
          <w:szCs w:val="24"/>
        </w:rPr>
        <w:t> </w:t>
      </w:r>
      <w:r w:rsidR="00B67F64" w:rsidRPr="00AA4677">
        <w:t>a</w:t>
      </w:r>
      <w:r w:rsidRPr="00AA4677">
        <w:t xml:space="preserve"> human subject </w:t>
      </w:r>
      <w:r w:rsidRPr="00AA4677">
        <w:rPr>
          <w:rStyle w:val="BodyTextChar"/>
          <w:rFonts w:ascii="Calibri" w:eastAsiaTheme="minorHAnsi" w:hAnsi="Calibri"/>
        </w:rPr>
        <w:t xml:space="preserve">as defined by the Common Rule is </w:t>
      </w:r>
      <w:r w:rsidRPr="00AA4677">
        <w:t xml:space="preserve">a </w:t>
      </w:r>
      <w:r w:rsidRPr="00AA4677">
        <w:rPr>
          <w:b/>
        </w:rPr>
        <w:t>living</w:t>
      </w:r>
      <w:r w:rsidRPr="00AA4677">
        <w:t xml:space="preserve"> individual about whom an investigator conducting research: (</w:t>
      </w:r>
      <w:proofErr w:type="spellStart"/>
      <w:r w:rsidRPr="00AA4677">
        <w:t>i</w:t>
      </w:r>
      <w:proofErr w:type="spellEnd"/>
      <w:r w:rsidRPr="00AA4677">
        <w:t>) Obtains information or biospecimens through intervention or interaction with the individual, and uses, studies, or analyzes the information or biospecimens; or (ii) Obtains, uses, studies, analyzes, or generates identifiable private information or identifiable biospecimens. [45 CFR 46.102(e)(1)]</w:t>
      </w:r>
      <w:r w:rsidRPr="00AA4677">
        <w:rPr>
          <w:rFonts w:eastAsia="Times New Roman" w:cs="Times New Roman"/>
          <w:szCs w:val="24"/>
        </w:rPr>
        <w:t xml:space="preserve"> </w:t>
      </w:r>
    </w:p>
    <w:p w14:paraId="293082C2" w14:textId="07F19981" w:rsidR="00EA7E97" w:rsidRPr="00AA4677" w:rsidRDefault="00EA7E97" w:rsidP="00EA7E9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“Human Subject” (for research covered by FDA regulations (21 CFR 50 and 56)):</w:t>
      </w:r>
      <w:r w:rsidRPr="00AA4677">
        <w:rPr>
          <w:rFonts w:eastAsia="Times New Roman" w:cs="Times New Roman"/>
          <w:szCs w:val="24"/>
        </w:rPr>
        <w:t xml:space="preserve"> an individual who is or becomes a participant in a clinical investigation either as a recipient of the test article or as a control.  A subject may be a healthy human or may have a medical condition or disease. In the case of a medical device, a human subject/participant also includes any individual on whose tissue specimen an investigational device is used or tested (regardless of whether the specimens are identifiable). When medical device research </w:t>
      </w:r>
      <w:proofErr w:type="gramStart"/>
      <w:r w:rsidRPr="00AA4677">
        <w:rPr>
          <w:rFonts w:eastAsia="Times New Roman" w:cs="Times New Roman"/>
          <w:szCs w:val="24"/>
        </w:rPr>
        <w:t>involves in</w:t>
      </w:r>
      <w:proofErr w:type="gramEnd"/>
      <w:r w:rsidRPr="00AA4677">
        <w:rPr>
          <w:rFonts w:eastAsia="Times New Roman" w:cs="Times New Roman"/>
          <w:szCs w:val="24"/>
        </w:rPr>
        <w:t xml:space="preserve"> vitro diagnostics and unidentified tissue specimens, the FDA defines the unidentified tissue specimens as human participants</w:t>
      </w:r>
    </w:p>
    <w:p w14:paraId="4515080B" w14:textId="7A1B59B7" w:rsidR="00EA7E97" w:rsidRPr="00AA4677" w:rsidRDefault="00EA7E97" w:rsidP="00EA7E97">
      <w:pPr>
        <w:shd w:val="clear" w:color="auto" w:fill="FFFFFF"/>
        <w:spacing w:before="100" w:beforeAutospacing="1" w:after="100" w:afterAutospacing="1" w:line="240" w:lineRule="auto"/>
        <w:rPr>
          <w:rFonts w:eastAsia="Times New Roman" w:cs="Times New Roman"/>
          <w:i/>
          <w:szCs w:val="24"/>
        </w:rPr>
      </w:pPr>
      <w:r w:rsidRPr="00AA4677">
        <w:rPr>
          <w:rFonts w:eastAsia="Times New Roman" w:cs="Times New Roman"/>
          <w:b/>
          <w:i/>
          <w:szCs w:val="24"/>
        </w:rPr>
        <w:t>Note:</w:t>
      </w:r>
      <w:r w:rsidRPr="00AA4677">
        <w:rPr>
          <w:rFonts w:eastAsia="Times New Roman" w:cs="Times New Roman"/>
          <w:i/>
          <w:szCs w:val="24"/>
        </w:rPr>
        <w:t xml:space="preserve"> </w:t>
      </w:r>
      <w:r w:rsidR="00B67F64" w:rsidRPr="00AA4677">
        <w:rPr>
          <w:rFonts w:eastAsia="Times New Roman" w:cs="Times New Roman"/>
          <w:i/>
          <w:szCs w:val="24"/>
        </w:rPr>
        <w:t>t</w:t>
      </w:r>
      <w:r w:rsidRPr="00AA4677">
        <w:rPr>
          <w:rFonts w:eastAsia="Times New Roman" w:cs="Times New Roman"/>
          <w:i/>
          <w:szCs w:val="24"/>
        </w:rPr>
        <w:t xml:space="preserve">he terms “subject” and “participant” are used interchangeably in this document and have the same definition. </w:t>
      </w:r>
    </w:p>
    <w:p w14:paraId="52E27758" w14:textId="77777777" w:rsidR="00EA7E97" w:rsidRPr="00AA4677" w:rsidRDefault="00EA7E97" w:rsidP="00EA7E9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“Human Subject Research”: </w:t>
      </w:r>
      <w:r w:rsidRPr="00AA4677">
        <w:rPr>
          <w:rFonts w:eastAsia="Times New Roman" w:cs="Times New Roman"/>
          <w:szCs w:val="24"/>
        </w:rPr>
        <w:t> any activity that meets the definition of “research” and involves “human subjects” as defined by either the Common Rule or Food and Drug Administration (FDA) regulations.</w:t>
      </w:r>
    </w:p>
    <w:p w14:paraId="3FDB79BA" w14:textId="0F21D5F9" w:rsidR="00EA7E97" w:rsidRPr="00AA4677" w:rsidRDefault="00EA7E97" w:rsidP="00EA7E97">
      <w:pPr>
        <w:pStyle w:val="ListParagraph"/>
        <w:spacing w:after="120" w:line="240" w:lineRule="auto"/>
        <w:ind w:left="0"/>
      </w:pPr>
      <w:r w:rsidRPr="00AA4677">
        <w:rPr>
          <w:b/>
        </w:rPr>
        <w:lastRenderedPageBreak/>
        <w:t>“Identifiable private information”</w:t>
      </w:r>
      <w:r w:rsidRPr="00AA4677">
        <w:t xml:space="preserve"> means private information for which the identity of the subject is or may readily be ascertained by the investigator or associated with the information. [45 CFR 46.102(e)(5)]. </w:t>
      </w:r>
      <w:bookmarkStart w:id="19" w:name="_Hlk193369616"/>
      <w:r w:rsidR="001449AA" w:rsidRPr="00AA4677">
        <w:t>Audio recordings are considered identifiable unless altered/distorted resulting in de-identification of the recorded voice</w:t>
      </w:r>
      <w:r w:rsidR="00DE2EED" w:rsidRPr="00AA4677">
        <w:t>.</w:t>
      </w:r>
      <w:r w:rsidR="001449AA" w:rsidRPr="00AA4677">
        <w:t xml:space="preserve"> </w:t>
      </w:r>
      <w:r w:rsidRPr="00AA4677">
        <w:t xml:space="preserve"> </w:t>
      </w:r>
      <w:bookmarkEnd w:id="19"/>
      <w:r w:rsidRPr="00AA4677">
        <w:t>Note: This definition is within the Common Rule.  For a discussion of identifiability under HIPAA, please see Section 16.</w:t>
      </w:r>
    </w:p>
    <w:p w14:paraId="5FF8B254" w14:textId="77777777" w:rsidR="00EA7E97" w:rsidRPr="00AA4677" w:rsidRDefault="00EA7E97" w:rsidP="00EA7E97">
      <w:pPr>
        <w:pStyle w:val="ListParagraph"/>
        <w:spacing w:after="120" w:line="240" w:lineRule="auto"/>
        <w:ind w:left="0"/>
        <w:rPr>
          <w:b/>
        </w:rPr>
      </w:pPr>
    </w:p>
    <w:p w14:paraId="34EC0E94" w14:textId="281F9DE2" w:rsidR="00EA7E97" w:rsidRPr="00AA4677" w:rsidRDefault="00EA7E97" w:rsidP="00EA7E97">
      <w:pPr>
        <w:pStyle w:val="ListParagraph"/>
        <w:spacing w:after="120" w:line="240" w:lineRule="auto"/>
        <w:ind w:left="0"/>
      </w:pPr>
      <w:r w:rsidRPr="00AA4677">
        <w:rPr>
          <w:b/>
        </w:rPr>
        <w:t>“Identifiable biospecimen”</w:t>
      </w:r>
      <w:r w:rsidRPr="00AA4677">
        <w:t xml:space="preserve"> means a biospecimen for which the identity of the subject is or may readily be ascertained by the investigator or associated with the biospecimen [45 CFR 46.102(e)(6)]</w:t>
      </w:r>
    </w:p>
    <w:p w14:paraId="42DAEE6F" w14:textId="146F4E1B" w:rsidR="001939B3" w:rsidRPr="00AA4677" w:rsidRDefault="00EA7E97" w:rsidP="00EA7E97">
      <w:pPr>
        <w:shd w:val="clear" w:color="auto" w:fill="FFFFFF"/>
        <w:spacing w:before="100" w:beforeAutospacing="1" w:after="100" w:afterAutospacing="1" w:line="240" w:lineRule="auto"/>
        <w:rPr>
          <w:rFonts w:eastAsia="Times New Roman" w:cs="Times New Roman"/>
          <w:b/>
          <w:bCs/>
          <w:szCs w:val="24"/>
        </w:rPr>
      </w:pPr>
      <w:r w:rsidRPr="00AA4677">
        <w:rPr>
          <w:rFonts w:eastAsia="Times New Roman" w:cs="Times New Roman"/>
          <w:b/>
          <w:bCs/>
          <w:szCs w:val="24"/>
        </w:rPr>
        <w:t xml:space="preserve"> “Infant Formula”: </w:t>
      </w:r>
      <w:r w:rsidRPr="00AA4677">
        <w:rPr>
          <w:rFonts w:eastAsia="Times New Roman" w:cs="Times New Roman"/>
          <w:bCs/>
          <w:szCs w:val="24"/>
        </w:rPr>
        <w:t xml:space="preserve">liquid foods intended for infants, which substitute for mother’s milk. </w:t>
      </w:r>
    </w:p>
    <w:p w14:paraId="5468BA37" w14:textId="77777777" w:rsidR="00EA7E97" w:rsidRPr="00AA4677" w:rsidRDefault="00EA7E97" w:rsidP="00EA7E97">
      <w:pPr>
        <w:shd w:val="clear" w:color="auto" w:fill="FFFFFF"/>
        <w:spacing w:before="100" w:beforeAutospacing="1" w:after="100" w:afterAutospacing="1" w:line="240" w:lineRule="auto"/>
        <w:rPr>
          <w:rFonts w:eastAsia="Times New Roman" w:cs="Times New Roman"/>
          <w:b/>
          <w:bCs/>
          <w:szCs w:val="24"/>
        </w:rPr>
      </w:pPr>
      <w:r w:rsidRPr="00AA4677">
        <w:rPr>
          <w:rFonts w:eastAsia="Times New Roman" w:cs="Times New Roman"/>
          <w:b/>
          <w:bCs/>
          <w:szCs w:val="24"/>
        </w:rPr>
        <w:t>“Institutional Official” (IO):</w:t>
      </w:r>
      <w:r w:rsidRPr="00AA4677">
        <w:rPr>
          <w:rFonts w:eastAsia="Times New Roman" w:cs="Times New Roman"/>
          <w:szCs w:val="24"/>
        </w:rPr>
        <w:t xml:space="preserve"> the person designated by the University to be responsible for the University’s HRPP. The IO is legally authorized to represent the institution, is the signatory official for all Assurances, and assumes the obligations of the institution’s Assurance. The IO is the point of contact for correspondence addressing human subjects research with OHRP, FDA, and other federal regulatory agencies.  The Institutional Official follows the </w:t>
      </w:r>
      <w:proofErr w:type="gramStart"/>
      <w:r w:rsidRPr="00AA4677">
        <w:rPr>
          <w:rFonts w:eastAsia="Times New Roman" w:cs="Times New Roman"/>
          <w:szCs w:val="24"/>
        </w:rPr>
        <w:t>principals</w:t>
      </w:r>
      <w:proofErr w:type="gramEnd"/>
      <w:r w:rsidRPr="00AA4677">
        <w:rPr>
          <w:rFonts w:eastAsia="Times New Roman" w:cs="Times New Roman"/>
          <w:szCs w:val="24"/>
        </w:rPr>
        <w:t xml:space="preserve"> of the Belmont Report and all federal, state, and local regulatory </w:t>
      </w:r>
      <w:proofErr w:type="spellStart"/>
      <w:r w:rsidRPr="00AA4677">
        <w:rPr>
          <w:rFonts w:eastAsia="Times New Roman" w:cs="Times New Roman"/>
          <w:szCs w:val="24"/>
        </w:rPr>
        <w:t>requiments</w:t>
      </w:r>
      <w:proofErr w:type="spellEnd"/>
      <w:r w:rsidRPr="00AA4677">
        <w:rPr>
          <w:rFonts w:eastAsia="Times New Roman" w:cs="Times New Roman"/>
          <w:szCs w:val="24"/>
        </w:rPr>
        <w:t>. The Institutional Official is responsible for periodically evaluating the Emergency Preparedness and Response Plan and making changes when appropriate.</w:t>
      </w:r>
    </w:p>
    <w:p w14:paraId="50BCB270" w14:textId="77777777" w:rsidR="00EA7E97" w:rsidRPr="00AA4677" w:rsidRDefault="00EA7E97" w:rsidP="00EA7E9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“Institutional Review Board“ (IRB):</w:t>
      </w:r>
      <w:r w:rsidRPr="00AA4677">
        <w:rPr>
          <w:rFonts w:eastAsia="Times New Roman" w:cs="Times New Roman"/>
          <w:szCs w:val="24"/>
        </w:rPr>
        <w:t xml:space="preserve">  a board designated by the University to review, approve the initiation of, and to conduct periodic review of research involving human subjects. The primary purpose of such review is to </w:t>
      </w:r>
      <w:proofErr w:type="gramStart"/>
      <w:r w:rsidRPr="00AA4677">
        <w:rPr>
          <w:rFonts w:eastAsia="Times New Roman" w:cs="Times New Roman"/>
          <w:szCs w:val="24"/>
        </w:rPr>
        <w:t>assure</w:t>
      </w:r>
      <w:proofErr w:type="gramEnd"/>
      <w:r w:rsidRPr="00AA4677">
        <w:rPr>
          <w:rFonts w:eastAsia="Times New Roman" w:cs="Times New Roman"/>
          <w:szCs w:val="24"/>
        </w:rPr>
        <w:t xml:space="preserve"> the protection of the rights and welfare of the human subjects. The IRB may be assigned other review functions as deemed appropriate by the University. All IRB members and Chairs are expected to abide by the ethical principles of the Belmont Report as well as all federal, state and local laws.</w:t>
      </w:r>
    </w:p>
    <w:p w14:paraId="6CD39B18" w14:textId="0C401F84" w:rsidR="00BC7C7C" w:rsidRPr="00AA4677" w:rsidRDefault="00B43A62" w:rsidP="000117C5">
      <w:pPr>
        <w:shd w:val="clear" w:color="auto" w:fill="FFFFFF"/>
        <w:spacing w:before="100" w:beforeAutospacing="1" w:after="100" w:afterAutospacing="1" w:line="240" w:lineRule="auto"/>
      </w:pPr>
      <w:r w:rsidRPr="00AA4677">
        <w:rPr>
          <w:rFonts w:eastAsia="Times New Roman" w:cs="Times New Roman"/>
          <w:b/>
          <w:szCs w:val="24"/>
        </w:rPr>
        <w:t>“Interaction”</w:t>
      </w:r>
      <w:r w:rsidRPr="00AA4677">
        <w:rPr>
          <w:rFonts w:eastAsia="Times New Roman" w:cs="Times New Roman"/>
          <w:szCs w:val="24"/>
        </w:rPr>
        <w:t xml:space="preserve"> means communication or interpersonal contact between investigator and subject.</w:t>
      </w:r>
      <w:r w:rsidR="00BC7C7C" w:rsidRPr="00AA4677">
        <w:rPr>
          <w:rFonts w:eastAsia="Times New Roman" w:cs="Times New Roman"/>
          <w:szCs w:val="24"/>
        </w:rPr>
        <w:t xml:space="preserve"> </w:t>
      </w:r>
      <w:r w:rsidR="00BC7C7C" w:rsidRPr="00AA4677">
        <w:t>[45 CFR 46.102(e)(3)]</w:t>
      </w:r>
    </w:p>
    <w:p w14:paraId="49CA5E8B" w14:textId="77777777" w:rsidR="00EA7E97" w:rsidRPr="00AA4677" w:rsidRDefault="00EA7E97" w:rsidP="00EA7E97">
      <w:pPr>
        <w:pStyle w:val="ListParagraph"/>
        <w:spacing w:after="120" w:line="240" w:lineRule="auto"/>
        <w:ind w:left="0"/>
      </w:pPr>
      <w:r w:rsidRPr="00AA4677">
        <w:rPr>
          <w:rFonts w:eastAsia="Times New Roman" w:cs="Times New Roman"/>
          <w:b/>
          <w:szCs w:val="24"/>
        </w:rPr>
        <w:t>“Intervention”</w:t>
      </w:r>
      <w:r w:rsidRPr="00AA4677">
        <w:rPr>
          <w:rFonts w:eastAsia="Times New Roman" w:cs="Times New Roman"/>
          <w:szCs w:val="24"/>
        </w:rPr>
        <w:t xml:space="preserve"> </w:t>
      </w:r>
      <w:r w:rsidRPr="00AA4677">
        <w:t>means both physical procedures by which information or biospecimens are gathered (for example, venipuncture) and manipulations of the subject or the subject’s environment that are performed for research purposes. [45 CFR 46.102(e)(2)]</w:t>
      </w:r>
    </w:p>
    <w:p w14:paraId="0E1E37A1" w14:textId="77777777" w:rsidR="00EA7E97" w:rsidRPr="00AA4677" w:rsidRDefault="00EA7E97" w:rsidP="00EA7E97">
      <w:pPr>
        <w:shd w:val="clear" w:color="auto" w:fill="FFFFFF"/>
        <w:spacing w:before="100" w:beforeAutospacing="1" w:after="100" w:afterAutospacing="1" w:line="240" w:lineRule="auto"/>
        <w:rPr>
          <w:color w:val="202124"/>
          <w:shd w:val="clear" w:color="auto" w:fill="FFFFFF"/>
        </w:rPr>
      </w:pPr>
      <w:r w:rsidRPr="00AA4677">
        <w:t>“</w:t>
      </w:r>
      <w:r w:rsidRPr="00AA4677">
        <w:rPr>
          <w:b/>
          <w:bCs/>
        </w:rPr>
        <w:t>Primary endpoint”</w:t>
      </w:r>
      <w:r w:rsidRPr="00AA4677">
        <w:t xml:space="preserve"> </w:t>
      </w:r>
      <w:r w:rsidRPr="00AA4677">
        <w:rPr>
          <w:color w:val="202124"/>
          <w:shd w:val="clear" w:color="auto" w:fill="FFFFFF"/>
        </w:rPr>
        <w:t>refers to an analyzed parameter (e.g., change from baseline at 6 weeks in mean depression scores).</w:t>
      </w:r>
    </w:p>
    <w:p w14:paraId="30DF8B41" w14:textId="2EB78C1E" w:rsidR="00B43A62" w:rsidRPr="00AA4677" w:rsidRDefault="00B43A62" w:rsidP="00EA7E97">
      <w:pPr>
        <w:shd w:val="clear" w:color="auto" w:fill="FFFFFF"/>
        <w:spacing w:before="100" w:beforeAutospacing="1" w:after="100" w:afterAutospacing="1" w:line="240" w:lineRule="auto"/>
      </w:pPr>
      <w:r w:rsidRPr="00AA4677">
        <w:rPr>
          <w:rFonts w:eastAsia="Times New Roman" w:cs="Times New Roman"/>
          <w:b/>
          <w:szCs w:val="24"/>
        </w:rPr>
        <w:lastRenderedPageBreak/>
        <w:t>“Private information”</w:t>
      </w:r>
      <w:r w:rsidRPr="00AA4677">
        <w:rPr>
          <w:rFonts w:eastAsia="Times New Roman" w:cs="Times New Roman"/>
          <w:szCs w:val="24"/>
        </w:rPr>
        <w:t xml:space="preserve"> means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w:t>
      </w:r>
      <w:r w:rsidR="00BC7C7C" w:rsidRPr="00AA4677">
        <w:rPr>
          <w:rFonts w:eastAsia="Times New Roman" w:cs="Times New Roman"/>
          <w:szCs w:val="24"/>
        </w:rPr>
        <w:t xml:space="preserve"> </w:t>
      </w:r>
      <w:r w:rsidR="00BC7C7C" w:rsidRPr="00AA4677">
        <w:t>[45 CFR 46.102(e)(4)]</w:t>
      </w:r>
    </w:p>
    <w:p w14:paraId="6A998E2C" w14:textId="092F357A" w:rsidR="00EA7E97" w:rsidRPr="00AA4677" w:rsidRDefault="00EA7E97" w:rsidP="00EA7E97">
      <w:bookmarkStart w:id="20" w:name="_Hlk158817679"/>
      <w:r w:rsidRPr="00AA4677">
        <w:rPr>
          <w:rFonts w:eastAsia="Times New Roman" w:cs="Times New Roman"/>
          <w:b/>
          <w:bCs/>
          <w:szCs w:val="24"/>
        </w:rPr>
        <w:t xml:space="preserve">“Research” (Common Rule): </w:t>
      </w:r>
      <w:r w:rsidRPr="00AA4677">
        <w:rPr>
          <w:rFonts w:eastAsia="Times New Roman" w:cs="Times New Roman"/>
          <w:szCs w:val="24"/>
        </w:rPr>
        <w:t>a systematic investigation, including research development, testing and evaluation, designed to develop or contribute to generalized knowledge. </w:t>
      </w:r>
      <w:bookmarkEnd w:id="20"/>
      <w:r w:rsidRPr="00AA4677">
        <w:t xml:space="preserve">For purposes of this part [the Common Rule], the following activities </w:t>
      </w:r>
      <w:r w:rsidRPr="00AA4677">
        <w:rPr>
          <w:b/>
        </w:rPr>
        <w:t xml:space="preserve">are deemed not to be research: </w:t>
      </w:r>
      <w:r w:rsidRPr="00AA4677">
        <w:t xml:space="preserve">(1) Scholarly and journalistic activities (e.g., oral history, journalism, biography, literary criticism, legal research, and historical scholarship), including the collection and use of information, that focus directly on the specific individuals about whom the information is collected. (2) 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w:t>
      </w:r>
      <w:proofErr w:type="gramStart"/>
      <w:r w:rsidRPr="00AA4677">
        <w:t>during the course of</w:t>
      </w:r>
      <w:proofErr w:type="gramEnd"/>
      <w:r w:rsidRPr="00AA4677">
        <w:t xml:space="preserve"> an event or crisis that threatens public health (including natural or man-made disasters). (3) Collection and analysis of information, biospecimens, or records by or for a criminal justice agency for activities authorized by law or court order solely for criminal justice or criminal investigative purposes. (4) Authorized operational activities (as determined by each agency) in support of intelligence, homeland security, defense, or other national security missions. [45 CFR 46.102(l)]</w:t>
      </w:r>
    </w:p>
    <w:p w14:paraId="1FF0111E" w14:textId="27FA9CCC" w:rsidR="00EA7E97" w:rsidRPr="00AA4677" w:rsidRDefault="00EA7E97" w:rsidP="00EA7E9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For the purposes of this policy, a </w:t>
      </w:r>
      <w:r w:rsidRPr="00AA4677">
        <w:rPr>
          <w:rFonts w:eastAsia="Times New Roman" w:cs="Times New Roman"/>
          <w:b/>
          <w:bCs/>
          <w:szCs w:val="24"/>
        </w:rPr>
        <w:t>“systematic investigation”</w:t>
      </w:r>
      <w:r w:rsidRPr="00AA4677">
        <w:rPr>
          <w:rFonts w:eastAsia="Times New Roman" w:cs="Times New Roman"/>
          <w:szCs w:val="24"/>
        </w:rPr>
        <w:t> is an activity that involves a prospective study plan that incorporates data</w:t>
      </w:r>
      <w:r w:rsidR="004D70AF" w:rsidRPr="00AA4677">
        <w:rPr>
          <w:rFonts w:eastAsia="Times New Roman" w:cs="Times New Roman"/>
          <w:szCs w:val="24"/>
        </w:rPr>
        <w:t xml:space="preserve"> collection either quantitative or qualitative and data analysis to an</w:t>
      </w:r>
      <w:r w:rsidR="001E312B" w:rsidRPr="00AA4677">
        <w:rPr>
          <w:rFonts w:eastAsia="Times New Roman" w:cs="Times New Roman"/>
          <w:szCs w:val="24"/>
        </w:rPr>
        <w:t>s</w:t>
      </w:r>
      <w:r w:rsidR="004D70AF" w:rsidRPr="00AA4677">
        <w:rPr>
          <w:rFonts w:eastAsia="Times New Roman" w:cs="Times New Roman"/>
          <w:szCs w:val="24"/>
        </w:rPr>
        <w:t>wer a question.</w:t>
      </w:r>
    </w:p>
    <w:p w14:paraId="57CD6B49" w14:textId="77777777" w:rsidR="00EA7E97" w:rsidRPr="00AA4677" w:rsidRDefault="00EA7E97" w:rsidP="00EA7E97">
      <w:pPr>
        <w:shd w:val="clear" w:color="auto" w:fill="FFFFFF"/>
        <w:spacing w:after="0" w:line="240" w:lineRule="auto"/>
        <w:rPr>
          <w:rFonts w:eastAsia="Times New Roman" w:cs="Times New Roman"/>
          <w:szCs w:val="24"/>
        </w:rPr>
      </w:pPr>
      <w:r w:rsidRPr="00AA4677">
        <w:rPr>
          <w:rFonts w:eastAsia="Times New Roman" w:cs="Times New Roman"/>
          <w:b/>
          <w:bCs/>
          <w:szCs w:val="24"/>
        </w:rPr>
        <w:t>“Research” (</w:t>
      </w:r>
      <w:r w:rsidRPr="00AA4677">
        <w:rPr>
          <w:rFonts w:eastAsia="Times New Roman" w:cs="Times New Roman"/>
          <w:szCs w:val="24"/>
        </w:rPr>
        <w:t>synonymous with</w:t>
      </w:r>
      <w:r w:rsidRPr="00AA4677">
        <w:rPr>
          <w:rFonts w:eastAsia="Times New Roman" w:cs="Times New Roman"/>
          <w:b/>
          <w:bCs/>
          <w:szCs w:val="24"/>
        </w:rPr>
        <w:t> Clinical Investigation, Study - for activities under FDA jurisdiction):</w:t>
      </w:r>
      <w:r w:rsidRPr="00AA4677">
        <w:rPr>
          <w:rFonts w:eastAsia="Times New Roman" w:cs="Times New Roman"/>
          <w:szCs w:val="24"/>
        </w:rPr>
        <w:t> any experiment that involves a test article and one or more human subjects, and that either:</w:t>
      </w:r>
    </w:p>
    <w:p w14:paraId="7E99C2FB" w14:textId="77777777" w:rsidR="00EA7E97" w:rsidRPr="00AA4677" w:rsidRDefault="00EA7E97">
      <w:pPr>
        <w:numPr>
          <w:ilvl w:val="0"/>
          <w:numId w:val="295"/>
        </w:numPr>
        <w:shd w:val="clear" w:color="auto" w:fill="FFFFFF"/>
        <w:spacing w:after="0" w:line="240" w:lineRule="auto"/>
        <w:ind w:left="360"/>
        <w:rPr>
          <w:rFonts w:eastAsia="Times New Roman" w:cs="Times New Roman"/>
          <w:szCs w:val="24"/>
        </w:rPr>
      </w:pPr>
      <w:r w:rsidRPr="00AA4677">
        <w:rPr>
          <w:rFonts w:eastAsia="Times New Roman" w:cs="Times New Roman"/>
          <w:szCs w:val="24"/>
        </w:rPr>
        <w:t>Must meet the requirements for prior submission to the FDA under section 505(</w:t>
      </w:r>
      <w:proofErr w:type="spellStart"/>
      <w:r w:rsidRPr="00AA4677">
        <w:rPr>
          <w:rFonts w:eastAsia="Times New Roman" w:cs="Times New Roman"/>
          <w:szCs w:val="24"/>
        </w:rPr>
        <w:t>i</w:t>
      </w:r>
      <w:proofErr w:type="spellEnd"/>
      <w:r w:rsidRPr="00AA4677">
        <w:rPr>
          <w:rFonts w:eastAsia="Times New Roman" w:cs="Times New Roman"/>
          <w:szCs w:val="24"/>
        </w:rPr>
        <w:t xml:space="preserve">) or 520(g) of the Federal Food, Drug, and Cosmetic Act. This means any use of a drug other than the use of an approved drug </w:t>
      </w:r>
      <w:proofErr w:type="gramStart"/>
      <w:r w:rsidRPr="00AA4677">
        <w:rPr>
          <w:rFonts w:eastAsia="Times New Roman" w:cs="Times New Roman"/>
          <w:szCs w:val="24"/>
        </w:rPr>
        <w:t>in the course of</w:t>
      </w:r>
      <w:proofErr w:type="gramEnd"/>
      <w:r w:rsidRPr="00AA4677">
        <w:rPr>
          <w:rFonts w:eastAsia="Times New Roman" w:cs="Times New Roman"/>
          <w:szCs w:val="24"/>
        </w:rPr>
        <w:t xml:space="preserve"> medical practice. [21 CFR 312.3(b)] or any activity that evaluates the safety or effectiveness of a device. [21 CFR 812.2(a)], respectively;  </w:t>
      </w:r>
      <w:r w:rsidRPr="00AA4677">
        <w:rPr>
          <w:rFonts w:eastAsia="Times New Roman" w:cs="Times New Roman"/>
          <w:b/>
          <w:szCs w:val="24"/>
        </w:rPr>
        <w:t xml:space="preserve">or </w:t>
      </w:r>
    </w:p>
    <w:p w14:paraId="6BDA13DD" w14:textId="77777777" w:rsidR="00EA7E97" w:rsidRPr="00AA4677" w:rsidRDefault="00EA7E97">
      <w:pPr>
        <w:numPr>
          <w:ilvl w:val="0"/>
          <w:numId w:val="295"/>
        </w:num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Does not need to meet the requirements for prior submission to the FDA under these sections of the Federal Food, Drug, and Cosmetic Act, but the results are intended to be later submitted to, or held for inspection by, the FDA as part of an application for a research or marketing </w:t>
      </w:r>
      <w:r w:rsidRPr="00AA4677">
        <w:rPr>
          <w:rFonts w:eastAsia="Times New Roman" w:cs="Times New Roman"/>
          <w:szCs w:val="24"/>
        </w:rPr>
        <w:lastRenderedPageBreak/>
        <w:t>permit. The terms research, clinical research, clinical study, study, and clinical investigation are synonymous for purposes of FDA regulations. [21 CFR 50.3(c), 21 CFR 56.102(c)]</w:t>
      </w:r>
    </w:p>
    <w:p w14:paraId="2838E8B7" w14:textId="77777777" w:rsidR="00EA7E97" w:rsidRPr="00AA4677" w:rsidRDefault="00EA7E97" w:rsidP="00EA7E97">
      <w:pPr>
        <w:shd w:val="clear" w:color="auto" w:fill="FFFFFF"/>
        <w:spacing w:before="100" w:beforeAutospacing="1" w:after="100" w:afterAutospacing="1" w:line="240" w:lineRule="auto"/>
        <w:rPr>
          <w:rFonts w:eastAsia="Times New Roman" w:cs="Times New Roman"/>
          <w:i/>
          <w:szCs w:val="24"/>
        </w:rPr>
      </w:pPr>
      <w:r w:rsidRPr="00AA4677">
        <w:rPr>
          <w:rFonts w:eastAsia="Times New Roman" w:cs="Times New Roman"/>
          <w:b/>
          <w:i/>
          <w:szCs w:val="24"/>
        </w:rPr>
        <w:t>Note:</w:t>
      </w:r>
      <w:r w:rsidRPr="00AA4677">
        <w:rPr>
          <w:rFonts w:eastAsia="Times New Roman" w:cs="Times New Roman"/>
          <w:i/>
          <w:szCs w:val="24"/>
        </w:rPr>
        <w:t xml:space="preserve"> Any activity in which results are being submitted to or held for inspection by FDA as part of an application for a research or marketing permit </w:t>
      </w:r>
      <w:proofErr w:type="gramStart"/>
      <w:r w:rsidRPr="00AA4677">
        <w:rPr>
          <w:rFonts w:eastAsia="Times New Roman" w:cs="Times New Roman"/>
          <w:i/>
          <w:szCs w:val="24"/>
        </w:rPr>
        <w:t>is considered to be</w:t>
      </w:r>
      <w:proofErr w:type="gramEnd"/>
      <w:r w:rsidRPr="00AA4677">
        <w:rPr>
          <w:rFonts w:eastAsia="Times New Roman" w:cs="Times New Roman"/>
          <w:i/>
          <w:szCs w:val="24"/>
        </w:rPr>
        <w:t xml:space="preserve"> FDA regulated research. [21 CFR 50.3(c), 21 CFR 56.102(c)]”</w:t>
      </w:r>
    </w:p>
    <w:p w14:paraId="2A448FD2" w14:textId="77777777" w:rsidR="00EA7E97" w:rsidRPr="00AA4677" w:rsidRDefault="00EA7E97" w:rsidP="00EA7E97">
      <w:pPr>
        <w:shd w:val="clear" w:color="auto" w:fill="FFFFFF"/>
        <w:spacing w:after="0" w:line="240" w:lineRule="auto"/>
        <w:rPr>
          <w:rFonts w:eastAsia="Times New Roman" w:cs="Times New Roman"/>
          <w:szCs w:val="24"/>
        </w:rPr>
      </w:pPr>
      <w:r w:rsidRPr="00AA4677">
        <w:rPr>
          <w:rFonts w:eastAsia="Times New Roman" w:cs="Times New Roman"/>
          <w:b/>
          <w:bCs/>
          <w:szCs w:val="24"/>
        </w:rPr>
        <w:t>Research under the Auspices of the University</w:t>
      </w:r>
      <w:r w:rsidRPr="00AA4677">
        <w:rPr>
          <w:rFonts w:eastAsia="Times New Roman" w:cs="Times New Roman"/>
          <w:szCs w:val="24"/>
        </w:rPr>
        <w:t xml:space="preserve">:  </w:t>
      </w:r>
    </w:p>
    <w:p w14:paraId="234E2EE0" w14:textId="77777777" w:rsidR="00EA7E97" w:rsidRPr="00AA4677" w:rsidRDefault="00EA7E97" w:rsidP="00EA7E97">
      <w:pPr>
        <w:shd w:val="clear" w:color="auto" w:fill="FFFFFF"/>
        <w:spacing w:after="0" w:line="240" w:lineRule="auto"/>
        <w:rPr>
          <w:rFonts w:eastAsia="Times New Roman" w:cs="Times New Roman"/>
          <w:szCs w:val="24"/>
        </w:rPr>
      </w:pPr>
      <w:r w:rsidRPr="00AA4677">
        <w:rPr>
          <w:rFonts w:eastAsia="Times New Roman" w:cs="Times New Roman"/>
          <w:szCs w:val="24"/>
        </w:rPr>
        <w:t>Includes research that:</w:t>
      </w:r>
    </w:p>
    <w:p w14:paraId="09691B13" w14:textId="77777777" w:rsidR="00EA7E97" w:rsidRPr="00AA4677" w:rsidRDefault="00EA7E97">
      <w:pPr>
        <w:numPr>
          <w:ilvl w:val="0"/>
          <w:numId w:val="29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Engages this Institution in the activity, regardless of the location at which the activity is </w:t>
      </w:r>
      <w:proofErr w:type="gramStart"/>
      <w:r w:rsidRPr="00AA4677">
        <w:rPr>
          <w:rFonts w:eastAsia="Times New Roman" w:cs="Times New Roman"/>
          <w:szCs w:val="24"/>
        </w:rPr>
        <w:t>conducted;</w:t>
      </w:r>
      <w:proofErr w:type="gramEnd"/>
    </w:p>
    <w:p w14:paraId="20405742" w14:textId="77777777" w:rsidR="00EA7E97" w:rsidRPr="00AA4677" w:rsidRDefault="00EA7E97">
      <w:pPr>
        <w:numPr>
          <w:ilvl w:val="0"/>
          <w:numId w:val="294"/>
        </w:numPr>
        <w:shd w:val="clear" w:color="auto" w:fill="FFFFFF"/>
        <w:spacing w:after="0" w:line="240" w:lineRule="auto"/>
        <w:rPr>
          <w:rFonts w:eastAsia="Times New Roman" w:cs="Times New Roman"/>
          <w:szCs w:val="24"/>
        </w:rPr>
      </w:pPr>
      <w:proofErr w:type="gramStart"/>
      <w:r w:rsidRPr="00AA4677">
        <w:rPr>
          <w:rFonts w:eastAsia="Times New Roman" w:cs="Times New Roman"/>
          <w:szCs w:val="24"/>
        </w:rPr>
        <w:t>Is</w:t>
      </w:r>
      <w:proofErr w:type="gramEnd"/>
      <w:r w:rsidRPr="00AA4677">
        <w:rPr>
          <w:rFonts w:eastAsia="Times New Roman" w:cs="Times New Roman"/>
          <w:szCs w:val="24"/>
        </w:rPr>
        <w:t xml:space="preserve"> conducted by or under the direction of any employee or agent of this Institution (including students) in connection with his or her institutional responsibilities regardless of the location at which the research activity is </w:t>
      </w:r>
      <w:proofErr w:type="gramStart"/>
      <w:r w:rsidRPr="00AA4677">
        <w:rPr>
          <w:rFonts w:eastAsia="Times New Roman" w:cs="Times New Roman"/>
          <w:szCs w:val="24"/>
        </w:rPr>
        <w:t>conducted;</w:t>
      </w:r>
      <w:proofErr w:type="gramEnd"/>
      <w:r w:rsidRPr="00AA4677">
        <w:rPr>
          <w:rFonts w:eastAsia="Times New Roman" w:cs="Times New Roman"/>
          <w:szCs w:val="24"/>
        </w:rPr>
        <w:t xml:space="preserve"> </w:t>
      </w:r>
    </w:p>
    <w:p w14:paraId="5F605105" w14:textId="77777777" w:rsidR="00EA7E97" w:rsidRPr="00AA4677" w:rsidRDefault="00EA7E97">
      <w:pPr>
        <w:numPr>
          <w:ilvl w:val="0"/>
          <w:numId w:val="294"/>
        </w:numPr>
        <w:shd w:val="clear" w:color="auto" w:fill="FFFFFF"/>
        <w:spacing w:after="0" w:line="240" w:lineRule="auto"/>
        <w:rPr>
          <w:rFonts w:eastAsia="Times New Roman" w:cs="Times New Roman"/>
          <w:b/>
          <w:bCs/>
          <w:szCs w:val="24"/>
        </w:rPr>
      </w:pPr>
      <w:proofErr w:type="gramStart"/>
      <w:r w:rsidRPr="00AA4677">
        <w:rPr>
          <w:rFonts w:eastAsia="Times New Roman" w:cs="Times New Roman"/>
          <w:szCs w:val="24"/>
        </w:rPr>
        <w:t>Is</w:t>
      </w:r>
      <w:proofErr w:type="gramEnd"/>
      <w:r w:rsidRPr="00AA4677">
        <w:rPr>
          <w:rFonts w:eastAsia="Times New Roman" w:cs="Times New Roman"/>
          <w:szCs w:val="24"/>
        </w:rPr>
        <w:t xml:space="preserve"> conducted by, or under the direction of, any employee or agent of this Institution using any property or facility of this </w:t>
      </w:r>
      <w:proofErr w:type="gramStart"/>
      <w:r w:rsidRPr="00AA4677">
        <w:rPr>
          <w:rFonts w:eastAsia="Times New Roman" w:cs="Times New Roman"/>
          <w:szCs w:val="24"/>
        </w:rPr>
        <w:t>Institution, or</w:t>
      </w:r>
      <w:proofErr w:type="gramEnd"/>
      <w:r w:rsidRPr="00AA4677">
        <w:rPr>
          <w:rFonts w:eastAsia="Times New Roman" w:cs="Times New Roman"/>
          <w:szCs w:val="24"/>
        </w:rPr>
        <w:t xml:space="preserve"> involving the use of this Institution's non-public information to identify or contact human subjects.</w:t>
      </w:r>
    </w:p>
    <w:p w14:paraId="3430C02C" w14:textId="0D11290D" w:rsidR="003B628D" w:rsidRPr="00AA4677" w:rsidRDefault="00EA7E97" w:rsidP="00EA7E9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Research does not begin until the research has received all approvals required by the organization. The HRPP reviews the research in order to assure that all approvals have been obtained when applicable (e.g., conflict of interest, Radioactive Drug Research Committee, Human </w:t>
      </w:r>
      <w:proofErr w:type="spellStart"/>
      <w:r w:rsidRPr="00AA4677">
        <w:rPr>
          <w:rFonts w:eastAsia="Times New Roman" w:cs="Times New Roman"/>
          <w:szCs w:val="24"/>
        </w:rPr>
        <w:t>Radation</w:t>
      </w:r>
      <w:proofErr w:type="spellEnd"/>
      <w:r w:rsidRPr="00AA4677">
        <w:rPr>
          <w:rFonts w:eastAsia="Times New Roman" w:cs="Times New Roman"/>
          <w:szCs w:val="24"/>
        </w:rPr>
        <w:t xml:space="preserve"> Research Committee)</w:t>
      </w:r>
      <w:r w:rsidRPr="00AA4677">
        <w:rPr>
          <w:b/>
          <w:color w:val="202124"/>
          <w:shd w:val="clear" w:color="auto" w:fill="FFFFFF"/>
        </w:rPr>
        <w:t xml:space="preserve"> </w:t>
      </w:r>
      <w:r w:rsidR="003B628D" w:rsidRPr="00AA4677">
        <w:rPr>
          <w:b/>
          <w:color w:val="202124"/>
          <w:shd w:val="clear" w:color="auto" w:fill="FFFFFF"/>
        </w:rPr>
        <w:t>“Secondary endpoint”</w:t>
      </w:r>
      <w:r w:rsidR="003B628D" w:rsidRPr="00AA4677">
        <w:rPr>
          <w:color w:val="202124"/>
          <w:shd w:val="clear" w:color="auto" w:fill="FFFFFF"/>
        </w:rPr>
        <w:t> refers to</w:t>
      </w:r>
      <w:r w:rsidR="003B628D" w:rsidRPr="00AA4677">
        <w:rPr>
          <w:rFonts w:hint="eastAsia"/>
          <w:color w:val="202124"/>
          <w:shd w:val="clear" w:color="auto" w:fill="FFFFFF"/>
        </w:rPr>
        <w:t> </w:t>
      </w:r>
      <w:r w:rsidR="003B628D" w:rsidRPr="00AA4677">
        <w:rPr>
          <w:bCs/>
          <w:color w:val="202124"/>
          <w:shd w:val="clear" w:color="auto" w:fill="FFFFFF"/>
        </w:rPr>
        <w:t>secondary</w:t>
      </w:r>
      <w:r w:rsidR="003B628D" w:rsidRPr="00AA4677">
        <w:rPr>
          <w:color w:val="202124"/>
          <w:shd w:val="clear" w:color="auto" w:fill="FFFFFF"/>
        </w:rPr>
        <w:t> objectives (e.g., a drug designed to prevent high blood pressure might also have a measure of whether quality of life is improved</w:t>
      </w:r>
      <w:r w:rsidR="00091AD8" w:rsidRPr="00AA4677">
        <w:rPr>
          <w:color w:val="202124"/>
          <w:shd w:val="clear" w:color="auto" w:fill="FFFFFF"/>
        </w:rPr>
        <w:t>)</w:t>
      </w:r>
      <w:r w:rsidR="003B628D" w:rsidRPr="00AA4677">
        <w:rPr>
          <w:color w:val="202124"/>
          <w:shd w:val="clear" w:color="auto" w:fill="FFFFFF"/>
        </w:rPr>
        <w:t>. A</w:t>
      </w:r>
      <w:r w:rsidR="003B628D" w:rsidRPr="00AA4677">
        <w:rPr>
          <w:rFonts w:hint="eastAsia"/>
          <w:color w:val="202124"/>
          <w:shd w:val="clear" w:color="auto" w:fill="FFFFFF"/>
        </w:rPr>
        <w:t> </w:t>
      </w:r>
      <w:r w:rsidR="00091AD8" w:rsidRPr="00AA4677">
        <w:rPr>
          <w:bCs/>
          <w:color w:val="202124"/>
          <w:shd w:val="clear" w:color="auto" w:fill="FFFFFF"/>
        </w:rPr>
        <w:t>s</w:t>
      </w:r>
      <w:r w:rsidR="003B628D" w:rsidRPr="00AA4677">
        <w:rPr>
          <w:bCs/>
          <w:color w:val="202124"/>
          <w:shd w:val="clear" w:color="auto" w:fill="FFFFFF"/>
        </w:rPr>
        <w:t>econdary endpoint</w:t>
      </w:r>
      <w:r w:rsidR="003B628D" w:rsidRPr="00AA4677">
        <w:rPr>
          <w:rFonts w:hint="eastAsia"/>
          <w:color w:val="202124"/>
          <w:shd w:val="clear" w:color="auto" w:fill="FFFFFF"/>
        </w:rPr>
        <w:t> </w:t>
      </w:r>
      <w:r w:rsidR="003B628D" w:rsidRPr="00AA4677">
        <w:rPr>
          <w:color w:val="202124"/>
          <w:shd w:val="clear" w:color="auto" w:fill="FFFFFF"/>
        </w:rPr>
        <w:t>always occurs with a primary endpoint.</w:t>
      </w:r>
    </w:p>
    <w:p w14:paraId="202E580D" w14:textId="4E0815D7" w:rsidR="00C807A8" w:rsidRPr="00AA4677" w:rsidRDefault="002E3C7B" w:rsidP="00EA7E97">
      <w:pPr>
        <w:rPr>
          <w:rFonts w:eastAsia="Times New Roman" w:cs="Times New Roman"/>
          <w:b/>
          <w:bCs/>
          <w:szCs w:val="24"/>
        </w:rPr>
      </w:pPr>
      <w:r w:rsidRPr="00AA4677">
        <w:rPr>
          <w:rFonts w:eastAsia="Times New Roman" w:cs="Times New Roman"/>
          <w:szCs w:val="24"/>
        </w:rPr>
        <w:t xml:space="preserve">Research is a </w:t>
      </w:r>
      <w:r w:rsidR="00B43A62" w:rsidRPr="00AA4677">
        <w:rPr>
          <w:rFonts w:eastAsia="Times New Roman" w:cs="Times New Roman"/>
          <w:szCs w:val="24"/>
        </w:rPr>
        <w:t>collection and analysis, either quantitative or qualitative, to answer a study question.  Investigations designed to develop or contribute to </w:t>
      </w:r>
      <w:r w:rsidR="00B43A62" w:rsidRPr="00AA4677">
        <w:rPr>
          <w:rFonts w:eastAsia="Times New Roman" w:cs="Times New Roman"/>
          <w:b/>
          <w:szCs w:val="24"/>
        </w:rPr>
        <w:t>“</w:t>
      </w:r>
      <w:r w:rsidR="00B43A62" w:rsidRPr="00AA4677">
        <w:rPr>
          <w:rFonts w:eastAsia="Times New Roman" w:cs="Times New Roman"/>
          <w:b/>
          <w:bCs/>
          <w:szCs w:val="24"/>
        </w:rPr>
        <w:t>generalizable knowledge”</w:t>
      </w:r>
      <w:r w:rsidR="00B43A62" w:rsidRPr="00AA4677">
        <w:rPr>
          <w:rFonts w:eastAsia="Times New Roman" w:cs="Times New Roman"/>
          <w:szCs w:val="24"/>
        </w:rPr>
        <w:t> are those designed to draw general conclusions (i.e., knowledge gained from a study may be applied to populations outside of the specific study population)</w:t>
      </w:r>
      <w:r w:rsidR="00EA7E97" w:rsidRPr="00AA4677">
        <w:rPr>
          <w:rFonts w:eastAsia="Times New Roman" w:cs="Times New Roman"/>
          <w:b/>
          <w:bCs/>
          <w:szCs w:val="24"/>
        </w:rPr>
        <w:t xml:space="preserve"> </w:t>
      </w:r>
    </w:p>
    <w:p w14:paraId="6087217B" w14:textId="6F2632AA" w:rsidR="003E7C9E" w:rsidRPr="00AA4677" w:rsidRDefault="00EA7E97"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w:t>
      </w:r>
      <w:r w:rsidR="00047AAA" w:rsidRPr="00AA4677">
        <w:rPr>
          <w:rFonts w:eastAsia="Times New Roman" w:cs="Times New Roman"/>
          <w:b/>
          <w:bCs/>
          <w:szCs w:val="24"/>
        </w:rPr>
        <w:t>Test Article</w:t>
      </w:r>
      <w:r w:rsidRPr="00AA4677">
        <w:rPr>
          <w:rFonts w:eastAsia="Times New Roman" w:cs="Times New Roman"/>
          <w:b/>
          <w:bCs/>
          <w:szCs w:val="24"/>
        </w:rPr>
        <w:t>”</w:t>
      </w:r>
      <w:r w:rsidR="00047AAA" w:rsidRPr="00AA4677">
        <w:rPr>
          <w:rFonts w:eastAsia="Times New Roman" w:cs="Times New Roman"/>
          <w:b/>
          <w:bCs/>
          <w:szCs w:val="24"/>
        </w:rPr>
        <w:t>:</w:t>
      </w:r>
      <w:r w:rsidR="003E7C9E" w:rsidRPr="00AA4677">
        <w:rPr>
          <w:rFonts w:eastAsia="Times New Roman" w:cs="Times New Roman"/>
          <w:b/>
          <w:bCs/>
          <w:szCs w:val="24"/>
        </w:rPr>
        <w:t>  </w:t>
      </w:r>
      <w:r w:rsidR="00B67F64" w:rsidRPr="00AA4677">
        <w:rPr>
          <w:rFonts w:eastAsia="Times New Roman" w:cs="Times New Roman"/>
          <w:szCs w:val="24"/>
        </w:rPr>
        <w:t>u</w:t>
      </w:r>
      <w:r w:rsidR="003E7C9E" w:rsidRPr="00AA4677">
        <w:rPr>
          <w:rFonts w:eastAsia="Times New Roman" w:cs="Times New Roman"/>
          <w:szCs w:val="24"/>
        </w:rPr>
        <w:t>nder the FDA regulations</w:t>
      </w:r>
      <w:r w:rsidR="00047AAA" w:rsidRPr="00AA4677">
        <w:rPr>
          <w:rFonts w:eastAsia="Times New Roman" w:cs="Times New Roman"/>
          <w:szCs w:val="24"/>
        </w:rPr>
        <w:t xml:space="preserve">, covered </w:t>
      </w:r>
      <w:r w:rsidR="00D656DC" w:rsidRPr="00AA4677">
        <w:rPr>
          <w:rFonts w:eastAsia="Times New Roman" w:cs="Times New Roman"/>
          <w:szCs w:val="24"/>
        </w:rPr>
        <w:t>t</w:t>
      </w:r>
      <w:r w:rsidR="00047AAA" w:rsidRPr="00AA4677">
        <w:rPr>
          <w:rFonts w:eastAsia="Times New Roman" w:cs="Times New Roman"/>
          <w:szCs w:val="24"/>
        </w:rPr>
        <w:t xml:space="preserve">est </w:t>
      </w:r>
      <w:r w:rsidR="00D656DC" w:rsidRPr="00AA4677">
        <w:rPr>
          <w:rFonts w:eastAsia="Times New Roman" w:cs="Times New Roman"/>
          <w:szCs w:val="24"/>
        </w:rPr>
        <w:t>a</w:t>
      </w:r>
      <w:r w:rsidR="00047AAA" w:rsidRPr="00AA4677">
        <w:rPr>
          <w:rFonts w:eastAsia="Times New Roman" w:cs="Times New Roman"/>
          <w:szCs w:val="24"/>
        </w:rPr>
        <w:t>rticles</w:t>
      </w:r>
      <w:r w:rsidR="003E7C9E" w:rsidRPr="00AA4677">
        <w:rPr>
          <w:rFonts w:eastAsia="Times New Roman" w:cs="Times New Roman"/>
          <w:szCs w:val="24"/>
        </w:rPr>
        <w:t xml:space="preserve"> include:</w:t>
      </w:r>
    </w:p>
    <w:p w14:paraId="3C3534D8" w14:textId="6C3E59DA" w:rsidR="00A015A1" w:rsidRPr="00AA4677" w:rsidRDefault="00EA7E97" w:rsidP="000117C5">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w:t>
      </w:r>
      <w:r w:rsidR="003E7C9E" w:rsidRPr="00AA4677">
        <w:rPr>
          <w:rFonts w:eastAsia="Times New Roman" w:cs="Times New Roman"/>
          <w:b/>
          <w:bCs/>
          <w:szCs w:val="24"/>
        </w:rPr>
        <w:t xml:space="preserve">Human </w:t>
      </w:r>
      <w:r w:rsidR="00047AAA" w:rsidRPr="00AA4677">
        <w:rPr>
          <w:rFonts w:eastAsia="Times New Roman" w:cs="Times New Roman"/>
          <w:b/>
          <w:bCs/>
          <w:szCs w:val="24"/>
        </w:rPr>
        <w:t>D</w:t>
      </w:r>
      <w:r w:rsidR="003E7C9E" w:rsidRPr="00AA4677">
        <w:rPr>
          <w:rFonts w:eastAsia="Times New Roman" w:cs="Times New Roman"/>
          <w:b/>
          <w:bCs/>
          <w:szCs w:val="24"/>
        </w:rPr>
        <w:t>rugs</w:t>
      </w:r>
      <w:r w:rsidRPr="00AA4677">
        <w:rPr>
          <w:rFonts w:eastAsia="Times New Roman" w:cs="Times New Roman"/>
          <w:b/>
          <w:bCs/>
          <w:szCs w:val="24"/>
        </w:rPr>
        <w:t>”</w:t>
      </w:r>
      <w:r w:rsidR="00047AAA" w:rsidRPr="00AA4677">
        <w:rPr>
          <w:rFonts w:eastAsia="Times New Roman" w:cs="Times New Roman"/>
          <w:b/>
          <w:bCs/>
          <w:szCs w:val="24"/>
        </w:rPr>
        <w:t>:</w:t>
      </w:r>
      <w:r w:rsidR="003E7C9E" w:rsidRPr="00AA4677">
        <w:rPr>
          <w:rFonts w:eastAsia="Times New Roman" w:cs="Times New Roman"/>
          <w:szCs w:val="24"/>
        </w:rPr>
        <w:t xml:space="preserve"> </w:t>
      </w:r>
      <w:r w:rsidR="00542714" w:rsidRPr="00AA4677">
        <w:rPr>
          <w:rFonts w:eastAsia="Times New Roman" w:cs="Times New Roman"/>
          <w:szCs w:val="24"/>
        </w:rPr>
        <w:t>t</w:t>
      </w:r>
      <w:r w:rsidR="003E7C9E" w:rsidRPr="00AA4677">
        <w:rPr>
          <w:rFonts w:eastAsia="Times New Roman" w:cs="Times New Roman"/>
          <w:szCs w:val="24"/>
        </w:rPr>
        <w:t>he primary intended use of the product is achieved through chemical action or by being metabolized by the body.</w:t>
      </w:r>
    </w:p>
    <w:p w14:paraId="2E69D2F7" w14:textId="10D63865" w:rsidR="00230BE3" w:rsidRPr="00AA4677" w:rsidRDefault="00EA7E97" w:rsidP="000117C5">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szCs w:val="24"/>
        </w:rPr>
        <w:t>“</w:t>
      </w:r>
      <w:r w:rsidR="00A015A1" w:rsidRPr="00AA4677">
        <w:rPr>
          <w:rFonts w:eastAsia="Times New Roman" w:cs="Times New Roman"/>
          <w:b/>
          <w:szCs w:val="24"/>
        </w:rPr>
        <w:t>Drug</w:t>
      </w:r>
      <w:r w:rsidRPr="00AA4677">
        <w:rPr>
          <w:rFonts w:eastAsia="Times New Roman" w:cs="Times New Roman"/>
          <w:b/>
          <w:szCs w:val="24"/>
        </w:rPr>
        <w:t>”</w:t>
      </w:r>
      <w:r w:rsidR="00A015A1" w:rsidRPr="00AA4677">
        <w:rPr>
          <w:rFonts w:eastAsia="Times New Roman" w:cs="Times New Roman"/>
          <w:b/>
          <w:szCs w:val="24"/>
        </w:rPr>
        <w:t>:</w:t>
      </w:r>
      <w:r w:rsidR="00A015A1" w:rsidRPr="00AA4677">
        <w:rPr>
          <w:rFonts w:eastAsia="Times New Roman" w:cs="Times New Roman"/>
          <w:szCs w:val="24"/>
        </w:rPr>
        <w:t xml:space="preserve"> (a) </w:t>
      </w:r>
      <w:r w:rsidR="003E7C9E" w:rsidRPr="00AA4677">
        <w:rPr>
          <w:rFonts w:eastAsia="Times New Roman" w:cs="Times New Roman"/>
          <w:szCs w:val="24"/>
        </w:rPr>
        <w:t>substance recognized by an offi</w:t>
      </w:r>
      <w:r w:rsidR="00A015A1" w:rsidRPr="00AA4677">
        <w:rPr>
          <w:rFonts w:eastAsia="Times New Roman" w:cs="Times New Roman"/>
          <w:szCs w:val="24"/>
        </w:rPr>
        <w:t>cial pharmacopoeia or formulary; (b)</w:t>
      </w:r>
      <w:r w:rsidR="003E7C9E" w:rsidRPr="00AA4677">
        <w:rPr>
          <w:rFonts w:eastAsia="Times New Roman" w:cs="Times New Roman"/>
          <w:szCs w:val="24"/>
        </w:rPr>
        <w:t xml:space="preserve"> substance intended for use in the diagnosis, cure, mitigation, treatm</w:t>
      </w:r>
      <w:r w:rsidR="00A015A1" w:rsidRPr="00AA4677">
        <w:rPr>
          <w:rFonts w:eastAsia="Times New Roman" w:cs="Times New Roman"/>
          <w:szCs w:val="24"/>
        </w:rPr>
        <w:t>ent, or prevention of disease; (c)</w:t>
      </w:r>
      <w:r w:rsidR="003E7C9E" w:rsidRPr="00AA4677">
        <w:rPr>
          <w:rFonts w:eastAsia="Times New Roman" w:cs="Times New Roman"/>
          <w:szCs w:val="24"/>
        </w:rPr>
        <w:t xml:space="preserve"> substance (other than food) intended to affect the structure or any function of the body;</w:t>
      </w:r>
      <w:r w:rsidR="00A015A1" w:rsidRPr="00AA4677">
        <w:rPr>
          <w:rFonts w:eastAsia="Times New Roman" w:cs="Times New Roman"/>
          <w:szCs w:val="24"/>
        </w:rPr>
        <w:t xml:space="preserve"> or (d)</w:t>
      </w:r>
      <w:r w:rsidR="003E7C9E" w:rsidRPr="00AA4677">
        <w:rPr>
          <w:rFonts w:eastAsia="Times New Roman" w:cs="Times New Roman"/>
          <w:szCs w:val="24"/>
        </w:rPr>
        <w:t xml:space="preserve"> </w:t>
      </w:r>
      <w:r w:rsidR="003E7C9E" w:rsidRPr="00AA4677">
        <w:rPr>
          <w:rFonts w:eastAsia="Times New Roman" w:cs="Times New Roman"/>
          <w:szCs w:val="24"/>
        </w:rPr>
        <w:lastRenderedPageBreak/>
        <w:t>substance intended for use as a component of a medicine but not a device or a component, part or accessory of a device.</w:t>
      </w:r>
      <w:r w:rsidR="00230BE3" w:rsidRPr="00AA4677">
        <w:rPr>
          <w:rFonts w:eastAsia="Times New Roman" w:cs="Times New Roman"/>
          <w:szCs w:val="24"/>
        </w:rPr>
        <w:t xml:space="preserve"> </w:t>
      </w:r>
    </w:p>
    <w:p w14:paraId="3B1C4F0A" w14:textId="159CCEC8" w:rsidR="003E7C9E" w:rsidRPr="00AA4677" w:rsidRDefault="00696B35" w:rsidP="000117C5">
      <w:pPr>
        <w:shd w:val="clear" w:color="auto" w:fill="FFFFFF"/>
        <w:spacing w:before="100" w:beforeAutospacing="1" w:after="100" w:afterAutospacing="1" w:line="240" w:lineRule="auto"/>
        <w:rPr>
          <w:rFonts w:eastAsia="Times New Roman" w:cs="Times New Roman"/>
          <w:szCs w:val="24"/>
        </w:rPr>
      </w:pPr>
      <w:hyperlink r:id="rId11" w:history="1">
        <w:r w:rsidR="003E7C9E" w:rsidRPr="00696B35">
          <w:rPr>
            <w:rStyle w:val="Hyperlink"/>
            <w:rFonts w:eastAsia="Times New Roman" w:cs="Times New Roman"/>
            <w:szCs w:val="24"/>
          </w:rPr>
          <w:t>http://www.fda.gov/Drugs/InformationOnDrugs/ucm079436.htm</w:t>
        </w:r>
      </w:hyperlink>
    </w:p>
    <w:p w14:paraId="411AE992" w14:textId="7357790C" w:rsidR="00230BE3" w:rsidRPr="00AA4677" w:rsidRDefault="00EA7E97" w:rsidP="000117C5">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w:t>
      </w:r>
      <w:r w:rsidR="003E7C9E" w:rsidRPr="00AA4677">
        <w:rPr>
          <w:rFonts w:eastAsia="Times New Roman" w:cs="Times New Roman"/>
          <w:b/>
          <w:bCs/>
          <w:szCs w:val="24"/>
        </w:rPr>
        <w:t>Medical Devices</w:t>
      </w:r>
      <w:r w:rsidR="00047AAA" w:rsidRPr="00AA4677">
        <w:rPr>
          <w:rFonts w:eastAsia="Times New Roman" w:cs="Times New Roman"/>
          <w:b/>
          <w:bCs/>
          <w:szCs w:val="24"/>
        </w:rPr>
        <w:t>:</w:t>
      </w:r>
      <w:r w:rsidRPr="00AA4677">
        <w:rPr>
          <w:rFonts w:eastAsia="Times New Roman" w:cs="Times New Roman"/>
          <w:b/>
          <w:bCs/>
          <w:szCs w:val="24"/>
        </w:rPr>
        <w:t>”</w:t>
      </w:r>
      <w:r w:rsidR="003E7C9E" w:rsidRPr="00AA4677">
        <w:rPr>
          <w:rFonts w:eastAsia="Times New Roman" w:cs="Times New Roman"/>
          <w:szCs w:val="24"/>
        </w:rPr>
        <w:t xml:space="preserve"> "an instrument, apparatus, implement, machine, contrivance, implant, in vitro reagent, or other similar or related article, including a compon</w:t>
      </w:r>
      <w:r w:rsidR="00A015A1" w:rsidRPr="00AA4677">
        <w:rPr>
          <w:rFonts w:eastAsia="Times New Roman" w:cs="Times New Roman"/>
          <w:szCs w:val="24"/>
        </w:rPr>
        <w:t>ent part, or accessory which is (a)</w:t>
      </w:r>
      <w:r w:rsidR="003E7C9E" w:rsidRPr="00AA4677">
        <w:rPr>
          <w:rFonts w:eastAsia="Times New Roman" w:cs="Times New Roman"/>
          <w:szCs w:val="24"/>
        </w:rPr>
        <w:t xml:space="preserve"> recognized in the official National Formulary, or the United States Pharmacopoeia, or any supplement to them; </w:t>
      </w:r>
      <w:r w:rsidR="00A015A1" w:rsidRPr="00AA4677">
        <w:rPr>
          <w:rFonts w:eastAsia="Times New Roman" w:cs="Times New Roman"/>
          <w:szCs w:val="24"/>
        </w:rPr>
        <w:t xml:space="preserve">(b) </w:t>
      </w:r>
      <w:r w:rsidR="003E7C9E" w:rsidRPr="00AA4677">
        <w:rPr>
          <w:rFonts w:eastAsia="Times New Roman" w:cs="Times New Roman"/>
          <w:szCs w:val="24"/>
        </w:rPr>
        <w:t>intended for use in the diagnosis of disease or other conditions, or in the cure, mitigation, treatment, or prevention of disease, in man or other animals; or</w:t>
      </w:r>
      <w:r w:rsidR="00A015A1" w:rsidRPr="00AA4677">
        <w:rPr>
          <w:rFonts w:eastAsia="Times New Roman" w:cs="Times New Roman"/>
          <w:szCs w:val="24"/>
        </w:rPr>
        <w:t xml:space="preserve"> (c)</w:t>
      </w:r>
      <w:r w:rsidR="003E7C9E" w:rsidRPr="00AA4677">
        <w:rPr>
          <w:rFonts w:eastAsia="Times New Roman" w:cs="Times New Roman"/>
          <w:szCs w:val="24"/>
        </w:rPr>
        <w:t xml:space="preserve"> intended to affect the structure or any function of the body of man or other animals, and which does not achieve any of its primary intended purposes through chemical action within or on the body of man or other animals and which is not dependent upon being metabolized for the achievement of any of its primary intended purposes"</w:t>
      </w:r>
      <w:r w:rsidR="00230BE3" w:rsidRPr="00AA4677">
        <w:rPr>
          <w:rFonts w:eastAsia="Times New Roman" w:cs="Times New Roman"/>
          <w:szCs w:val="24"/>
        </w:rPr>
        <w:t>.</w:t>
      </w:r>
    </w:p>
    <w:p w14:paraId="481106ED" w14:textId="2B84A39D" w:rsidR="003E7C9E" w:rsidRPr="00AA4677" w:rsidRDefault="00696B35" w:rsidP="000117C5">
      <w:pPr>
        <w:shd w:val="clear" w:color="auto" w:fill="FFFFFF"/>
        <w:spacing w:before="100" w:beforeAutospacing="1" w:after="100" w:afterAutospacing="1" w:line="240" w:lineRule="auto"/>
        <w:rPr>
          <w:rFonts w:eastAsia="Times New Roman" w:cs="Times New Roman"/>
          <w:szCs w:val="24"/>
        </w:rPr>
      </w:pPr>
      <w:hyperlink r:id="rId12" w:history="1">
        <w:r w:rsidR="003E7C9E" w:rsidRPr="00696B35">
          <w:rPr>
            <w:rStyle w:val="Hyperlink"/>
            <w:rFonts w:eastAsia="Times New Roman" w:cs="Times New Roman"/>
            <w:iCs/>
            <w:szCs w:val="24"/>
          </w:rPr>
          <w:t>http://www.f</w:t>
        </w:r>
        <w:r w:rsidR="003E7C9E" w:rsidRPr="00696B35">
          <w:rPr>
            <w:rStyle w:val="Hyperlink"/>
            <w:rFonts w:eastAsia="Times New Roman" w:cs="Times New Roman"/>
            <w:iCs/>
            <w:szCs w:val="24"/>
          </w:rPr>
          <w:t>d</w:t>
        </w:r>
        <w:r w:rsidR="003E7C9E" w:rsidRPr="00696B35">
          <w:rPr>
            <w:rStyle w:val="Hyperlink"/>
            <w:rFonts w:eastAsia="Times New Roman" w:cs="Times New Roman"/>
            <w:iCs/>
            <w:szCs w:val="24"/>
          </w:rPr>
          <w:t>a.gov/MedicalDevices/DeviceRegulationandGuidance/</w:t>
        </w:r>
      </w:hyperlink>
      <w:r w:rsidRPr="00AA4677">
        <w:rPr>
          <w:rFonts w:eastAsia="Times New Roman" w:cs="Times New Roman"/>
          <w:szCs w:val="24"/>
        </w:rPr>
        <w:t xml:space="preserve"> </w:t>
      </w:r>
    </w:p>
    <w:p w14:paraId="2064D247" w14:textId="5805FDE4" w:rsidR="00230BE3" w:rsidRPr="00AA4677" w:rsidRDefault="00EA7E97" w:rsidP="000117C5">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w:t>
      </w:r>
      <w:r w:rsidR="003E7C9E" w:rsidRPr="00AA4677">
        <w:rPr>
          <w:rFonts w:eastAsia="Times New Roman" w:cs="Times New Roman"/>
          <w:b/>
          <w:bCs/>
          <w:szCs w:val="24"/>
        </w:rPr>
        <w:t>Biological Products</w:t>
      </w:r>
      <w:r w:rsidRPr="00AA4677">
        <w:rPr>
          <w:rFonts w:eastAsia="Times New Roman" w:cs="Times New Roman"/>
          <w:b/>
          <w:bCs/>
          <w:szCs w:val="24"/>
        </w:rPr>
        <w:t>”</w:t>
      </w:r>
      <w:r w:rsidR="00230BE3" w:rsidRPr="00AA4677">
        <w:rPr>
          <w:rFonts w:eastAsia="Times New Roman" w:cs="Times New Roman"/>
          <w:szCs w:val="24"/>
        </w:rPr>
        <w:t xml:space="preserve">: </w:t>
      </w:r>
      <w:r w:rsidR="003E7C9E" w:rsidRPr="00AA4677">
        <w:rPr>
          <w:rFonts w:eastAsia="Times New Roman" w:cs="Times New Roman"/>
          <w:szCs w:val="24"/>
        </w:rPr>
        <w:t xml:space="preserve">a wide range of products such as vaccines, blood and blood components, allergenics, somatic cells, gene therapy, tissues, and recombinant therapeutic proteins. Biologics can be composed of sugars, </w:t>
      </w:r>
      <w:proofErr w:type="gramStart"/>
      <w:r w:rsidR="003E7C9E" w:rsidRPr="00AA4677">
        <w:rPr>
          <w:rFonts w:eastAsia="Times New Roman" w:cs="Times New Roman"/>
          <w:szCs w:val="24"/>
        </w:rPr>
        <w:t>proteins, or</w:t>
      </w:r>
      <w:proofErr w:type="gramEnd"/>
      <w:r w:rsidR="003E7C9E" w:rsidRPr="00AA4677">
        <w:rPr>
          <w:rFonts w:eastAsia="Times New Roman" w:cs="Times New Roman"/>
          <w:szCs w:val="24"/>
        </w:rPr>
        <w:t xml:space="preserve"> nucleic acids or complex combinations of these substances, or may be living entities such as cells and tissues. Biologics are isolated from a variety of natural sources </w:t>
      </w:r>
      <w:r w:rsidR="00A015A1" w:rsidRPr="00AA4677">
        <w:rPr>
          <w:rFonts w:eastAsia="Times New Roman" w:cs="Times New Roman"/>
          <w:szCs w:val="24"/>
        </w:rPr>
        <w:t>-</w:t>
      </w:r>
      <w:r w:rsidR="003E7C9E" w:rsidRPr="00AA4677">
        <w:rPr>
          <w:rFonts w:eastAsia="Times New Roman" w:cs="Times New Roman"/>
          <w:szCs w:val="24"/>
        </w:rPr>
        <w:t xml:space="preserve"> </w:t>
      </w:r>
      <w:proofErr w:type="gramStart"/>
      <w:r w:rsidR="003E7C9E" w:rsidRPr="00AA4677">
        <w:rPr>
          <w:rFonts w:eastAsia="Times New Roman" w:cs="Times New Roman"/>
          <w:szCs w:val="24"/>
        </w:rPr>
        <w:t>hu</w:t>
      </w:r>
      <w:r w:rsidR="00A015A1" w:rsidRPr="00AA4677">
        <w:rPr>
          <w:rFonts w:eastAsia="Times New Roman" w:cs="Times New Roman"/>
          <w:szCs w:val="24"/>
        </w:rPr>
        <w:t>man</w:t>
      </w:r>
      <w:proofErr w:type="gramEnd"/>
      <w:r w:rsidR="00A015A1" w:rsidRPr="00AA4677">
        <w:rPr>
          <w:rFonts w:eastAsia="Times New Roman" w:cs="Times New Roman"/>
          <w:szCs w:val="24"/>
        </w:rPr>
        <w:t xml:space="preserve">, </w:t>
      </w:r>
      <w:proofErr w:type="gramStart"/>
      <w:r w:rsidR="00A015A1" w:rsidRPr="00AA4677">
        <w:rPr>
          <w:rFonts w:eastAsia="Times New Roman" w:cs="Times New Roman"/>
          <w:szCs w:val="24"/>
        </w:rPr>
        <w:t>animal</w:t>
      </w:r>
      <w:proofErr w:type="gramEnd"/>
      <w:r w:rsidR="00A015A1" w:rsidRPr="00AA4677">
        <w:rPr>
          <w:rFonts w:eastAsia="Times New Roman" w:cs="Times New Roman"/>
          <w:szCs w:val="24"/>
        </w:rPr>
        <w:t xml:space="preserve">, or microorganism - </w:t>
      </w:r>
      <w:r w:rsidR="003E7C9E" w:rsidRPr="00AA4677">
        <w:rPr>
          <w:rFonts w:eastAsia="Times New Roman" w:cs="Times New Roman"/>
          <w:szCs w:val="24"/>
        </w:rPr>
        <w:t>and may be produced by biotechnology methods and other cutting-edge technologies. Gene-based and cellular biologics, for example, often are at the forefront of biomedical research, and may be used to treat a variety of medical conditions for which no other treatments are available. </w:t>
      </w:r>
    </w:p>
    <w:p w14:paraId="50439933" w14:textId="708EC112" w:rsidR="003E7C9E" w:rsidRPr="00AA4677" w:rsidRDefault="00696B35" w:rsidP="000117C5">
      <w:pPr>
        <w:shd w:val="clear" w:color="auto" w:fill="FFFFFF"/>
        <w:spacing w:before="100" w:beforeAutospacing="1" w:after="100" w:afterAutospacing="1" w:line="240" w:lineRule="auto"/>
        <w:rPr>
          <w:rFonts w:eastAsia="Times New Roman" w:cs="Times New Roman"/>
          <w:szCs w:val="24"/>
        </w:rPr>
      </w:pPr>
      <w:hyperlink r:id="rId13" w:history="1">
        <w:r w:rsidR="003E7C9E" w:rsidRPr="00696B35">
          <w:rPr>
            <w:rStyle w:val="Hyperlink"/>
            <w:rFonts w:eastAsia="Times New Roman" w:cs="Times New Roman"/>
            <w:iCs/>
            <w:szCs w:val="24"/>
          </w:rPr>
          <w:t>http://www.fda.gov/Drugs/InformationOnDrugs/ucm079436.htm</w:t>
        </w:r>
      </w:hyperlink>
    </w:p>
    <w:p w14:paraId="3BEC1331" w14:textId="0B7BB00B" w:rsidR="003E7C9E" w:rsidRPr="00AA4677" w:rsidRDefault="003E7C9E" w:rsidP="00696B35">
      <w:pPr>
        <w:pStyle w:val="Heading2"/>
      </w:pPr>
      <w:bookmarkStart w:id="21" w:name="_Toc192678142"/>
      <w:r w:rsidRPr="00AA4677">
        <w:t>1.6 Regulatory Compliance</w:t>
      </w:r>
      <w:bookmarkEnd w:id="21"/>
    </w:p>
    <w:p w14:paraId="75598F48" w14:textId="3824F09E"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HRPP is responsible for ensuring compliance with federal regulations, state law and institutional policies</w:t>
      </w:r>
      <w:r w:rsidR="0096234C" w:rsidRPr="00AA4677">
        <w:rPr>
          <w:rFonts w:eastAsia="Times New Roman" w:cs="Times New Roman"/>
          <w:szCs w:val="24"/>
        </w:rPr>
        <w:t xml:space="preserve"> </w:t>
      </w:r>
      <w:r w:rsidR="0096234C" w:rsidRPr="00AA4677">
        <w:t>(including tribal laws passed by the official governing body of an American Indian or Alaska Native tribe)</w:t>
      </w:r>
      <w:r w:rsidRPr="00AA4677">
        <w:rPr>
          <w:rFonts w:eastAsia="Times New Roman" w:cs="Times New Roman"/>
          <w:szCs w:val="24"/>
        </w:rPr>
        <w:t xml:space="preserve">.  All human subjects research at </w:t>
      </w:r>
      <w:r w:rsidR="006568EA" w:rsidRPr="00AA4677">
        <w:rPr>
          <w:rFonts w:eastAsia="Times New Roman" w:cs="Times New Roman"/>
          <w:szCs w:val="24"/>
        </w:rPr>
        <w:t>the University</w:t>
      </w:r>
      <w:r w:rsidRPr="00AA4677">
        <w:rPr>
          <w:rFonts w:eastAsia="Times New Roman" w:cs="Times New Roman"/>
          <w:szCs w:val="24"/>
        </w:rPr>
        <w:t xml:space="preserve"> </w:t>
      </w:r>
      <w:proofErr w:type="gramStart"/>
      <w:r w:rsidRPr="00AA4677">
        <w:rPr>
          <w:rFonts w:eastAsia="Times New Roman" w:cs="Times New Roman"/>
          <w:szCs w:val="24"/>
        </w:rPr>
        <w:t>is</w:t>
      </w:r>
      <w:proofErr w:type="gramEnd"/>
      <w:r w:rsidRPr="00AA4677">
        <w:rPr>
          <w:rFonts w:eastAsia="Times New Roman" w:cs="Times New Roman"/>
          <w:szCs w:val="24"/>
        </w:rPr>
        <w:t xml:space="preserve"> conducted in accordance with the policy and regulations found in the Common Rule and 21 CFR 50 and 56. </w:t>
      </w:r>
    </w:p>
    <w:p w14:paraId="07DAA5D6" w14:textId="38ADD42F" w:rsidR="003E7C9E" w:rsidRPr="00AA4677" w:rsidRDefault="00E45396"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Regulatory compliance for r</w:t>
      </w:r>
      <w:r w:rsidR="003E7C9E" w:rsidRPr="00AA4677">
        <w:rPr>
          <w:rFonts w:eastAsia="Times New Roman" w:cs="Times New Roman"/>
          <w:szCs w:val="24"/>
        </w:rPr>
        <w:t xml:space="preserve">esearch funded by </w:t>
      </w:r>
      <w:r w:rsidRPr="00AA4677">
        <w:rPr>
          <w:rFonts w:eastAsia="Times New Roman" w:cs="Times New Roman"/>
          <w:szCs w:val="24"/>
        </w:rPr>
        <w:t xml:space="preserve">other federal agencies </w:t>
      </w:r>
      <w:r w:rsidR="006568EA" w:rsidRPr="00AA4677">
        <w:rPr>
          <w:rFonts w:eastAsia="Times New Roman" w:cs="Times New Roman"/>
          <w:szCs w:val="24"/>
        </w:rPr>
        <w:t>(</w:t>
      </w:r>
      <w:r w:rsidRPr="00AA4677">
        <w:rPr>
          <w:rFonts w:eastAsia="Times New Roman" w:cs="Times New Roman"/>
          <w:szCs w:val="24"/>
        </w:rPr>
        <w:t xml:space="preserve">e.g., </w:t>
      </w:r>
      <w:r w:rsidR="006568EA" w:rsidRPr="00AA4677">
        <w:rPr>
          <w:rFonts w:eastAsia="Times New Roman" w:cs="Times New Roman"/>
          <w:szCs w:val="24"/>
        </w:rPr>
        <w:t>D</w:t>
      </w:r>
      <w:r w:rsidR="00EC3411" w:rsidRPr="00AA4677">
        <w:rPr>
          <w:rFonts w:eastAsia="Times New Roman" w:cs="Times New Roman"/>
          <w:szCs w:val="24"/>
        </w:rPr>
        <w:t xml:space="preserve">epartment of Defense, </w:t>
      </w:r>
      <w:r w:rsidRPr="00AA4677">
        <w:rPr>
          <w:rFonts w:eastAsia="Times New Roman" w:cs="Times New Roman"/>
          <w:szCs w:val="24"/>
        </w:rPr>
        <w:t>etc.</w:t>
      </w:r>
      <w:r w:rsidR="006568EA" w:rsidRPr="00AA4677">
        <w:rPr>
          <w:rFonts w:eastAsia="Times New Roman" w:cs="Times New Roman"/>
          <w:szCs w:val="24"/>
        </w:rPr>
        <w:t>)</w:t>
      </w:r>
      <w:r w:rsidR="003E7C9E" w:rsidRPr="00AA4677">
        <w:rPr>
          <w:rFonts w:eastAsia="Times New Roman" w:cs="Times New Roman"/>
          <w:szCs w:val="24"/>
        </w:rPr>
        <w:t xml:space="preserve"> </w:t>
      </w:r>
      <w:r w:rsidRPr="00AA4677">
        <w:rPr>
          <w:rFonts w:eastAsia="Times New Roman" w:cs="Times New Roman"/>
          <w:szCs w:val="24"/>
        </w:rPr>
        <w:t xml:space="preserve">is addressed in </w:t>
      </w:r>
      <w:r w:rsidR="004D336E" w:rsidRPr="00AA4677">
        <w:rPr>
          <w:rFonts w:eastAsia="Times New Roman" w:cs="Times New Roman"/>
          <w:szCs w:val="24"/>
        </w:rPr>
        <w:t>the SOP Supplement: Additional Federal Criteria, as well as the Worksheet: Addit</w:t>
      </w:r>
      <w:r w:rsidR="00093829" w:rsidRPr="00AA4677">
        <w:rPr>
          <w:rFonts w:eastAsia="Times New Roman" w:cs="Times New Roman"/>
          <w:szCs w:val="24"/>
        </w:rPr>
        <w:t xml:space="preserve">ional Federal Criteria </w:t>
      </w:r>
      <w:r w:rsidR="004D336E" w:rsidRPr="00AA4677">
        <w:rPr>
          <w:rFonts w:eastAsia="Times New Roman" w:cs="Times New Roman"/>
          <w:szCs w:val="24"/>
        </w:rPr>
        <w:t>to be used by IRB staff and members to ensure compliance with these specific regulations</w:t>
      </w:r>
      <w:r w:rsidRPr="00AA4677">
        <w:rPr>
          <w:rFonts w:eastAsia="Times New Roman" w:cs="Times New Roman"/>
          <w:szCs w:val="24"/>
        </w:rPr>
        <w:t xml:space="preserve">. </w:t>
      </w:r>
    </w:p>
    <w:p w14:paraId="4FA9244F" w14:textId="507DB37F" w:rsidR="003E7C9E" w:rsidRPr="00AA4677" w:rsidRDefault="006568EA"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The University</w:t>
      </w:r>
      <w:r w:rsidR="003E7C9E" w:rsidRPr="00AA4677">
        <w:rPr>
          <w:rFonts w:eastAsia="Times New Roman" w:cs="Times New Roman"/>
          <w:szCs w:val="24"/>
        </w:rPr>
        <w:t xml:space="preserve"> applies the International Conference on Harmonization (“ICH”) Good Clinical Practices (“GCP”) Guidelines (sometimes referred to as “ICH-GCP” or “E6”) to research when required by a sponsor, and only to the extent that they are compatible with FDA and DHHS regulations. </w:t>
      </w:r>
    </w:p>
    <w:p w14:paraId="26E2D89F" w14:textId="0EE2F3F9"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actions </w:t>
      </w:r>
      <w:r w:rsidR="006568EA" w:rsidRPr="00AA4677">
        <w:rPr>
          <w:rFonts w:eastAsia="Times New Roman" w:cs="Times New Roman"/>
          <w:szCs w:val="24"/>
        </w:rPr>
        <w:t>of the University</w:t>
      </w:r>
      <w:r w:rsidRPr="00AA4677">
        <w:rPr>
          <w:rFonts w:eastAsia="Times New Roman" w:cs="Times New Roman"/>
          <w:szCs w:val="24"/>
        </w:rPr>
        <w:t xml:space="preserve"> will also conform to all other applicable federal, state, and local laws and regulations.</w:t>
      </w:r>
    </w:p>
    <w:p w14:paraId="679D1125" w14:textId="2BCB99E1" w:rsidR="003E7C9E" w:rsidRPr="00AA4677" w:rsidRDefault="003E7C9E" w:rsidP="00696B35">
      <w:pPr>
        <w:pStyle w:val="Heading2"/>
      </w:pPr>
      <w:bookmarkStart w:id="22" w:name="_Toc192678143"/>
      <w:r w:rsidRPr="00AA4677">
        <w:t xml:space="preserve">1.7 </w:t>
      </w:r>
      <w:proofErr w:type="spellStart"/>
      <w:r w:rsidRPr="00AA4677">
        <w:t>Federal</w:t>
      </w:r>
      <w:r w:rsidR="006568EA" w:rsidRPr="00AA4677">
        <w:t>w</w:t>
      </w:r>
      <w:r w:rsidRPr="00AA4677">
        <w:t>ide</w:t>
      </w:r>
      <w:proofErr w:type="spellEnd"/>
      <w:r w:rsidRPr="00AA4677">
        <w:t xml:space="preserve"> Assurance (FWA)</w:t>
      </w:r>
      <w:bookmarkEnd w:id="22"/>
    </w:p>
    <w:p w14:paraId="2BC8D8A3" w14:textId="4A0B82B1"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federal regulations require that federally funded human subjects research only be conducted at f</w:t>
      </w:r>
      <w:r w:rsidR="00B51886" w:rsidRPr="00AA4677">
        <w:rPr>
          <w:rFonts w:eastAsia="Times New Roman" w:cs="Times New Roman"/>
          <w:szCs w:val="24"/>
        </w:rPr>
        <w:t>a</w:t>
      </w:r>
      <w:r w:rsidRPr="00AA4677">
        <w:rPr>
          <w:rFonts w:eastAsia="Times New Roman" w:cs="Times New Roman"/>
          <w:szCs w:val="24"/>
        </w:rPr>
        <w:t>cilities covered by a</w:t>
      </w:r>
      <w:r w:rsidR="00AD73D3" w:rsidRPr="00AA4677">
        <w:rPr>
          <w:rFonts w:eastAsia="Times New Roman" w:cs="Times New Roman"/>
          <w:szCs w:val="24"/>
        </w:rPr>
        <w:t>n</w:t>
      </w:r>
      <w:r w:rsidRPr="00AA4677">
        <w:rPr>
          <w:rFonts w:eastAsia="Times New Roman" w:cs="Times New Roman"/>
          <w:szCs w:val="24"/>
        </w:rPr>
        <w:t xml:space="preserve"> FWA approved by the DHHS Office for Human Research Protections (OHRP). An FWA is an institution’s assurance to the federal government that human subject research conducted at that site </w:t>
      </w:r>
      <w:proofErr w:type="gramStart"/>
      <w:r w:rsidRPr="00AA4677">
        <w:rPr>
          <w:rFonts w:eastAsia="Times New Roman" w:cs="Times New Roman"/>
          <w:szCs w:val="24"/>
        </w:rPr>
        <w:t>is in compliance with</w:t>
      </w:r>
      <w:proofErr w:type="gramEnd"/>
      <w:r w:rsidRPr="00AA4677">
        <w:rPr>
          <w:rFonts w:eastAsia="Times New Roman" w:cs="Times New Roman"/>
          <w:szCs w:val="24"/>
        </w:rPr>
        <w:t xml:space="preserve"> federal regulations pertaining to the protection of human subjects. The FWA designates the Institutional Review Board</w:t>
      </w:r>
      <w:r w:rsidR="007302DB" w:rsidRPr="00AA4677">
        <w:rPr>
          <w:rFonts w:eastAsia="Times New Roman" w:cs="Times New Roman"/>
          <w:szCs w:val="24"/>
        </w:rPr>
        <w:t>s</w:t>
      </w:r>
      <w:r w:rsidR="006568EA" w:rsidRPr="00AA4677">
        <w:rPr>
          <w:rFonts w:eastAsia="Times New Roman" w:cs="Times New Roman"/>
          <w:szCs w:val="24"/>
        </w:rPr>
        <w:t xml:space="preserve"> (IRB</w:t>
      </w:r>
      <w:r w:rsidR="007302DB" w:rsidRPr="00AA4677">
        <w:rPr>
          <w:rFonts w:eastAsia="Times New Roman" w:cs="Times New Roman"/>
          <w:szCs w:val="24"/>
        </w:rPr>
        <w:t>s</w:t>
      </w:r>
      <w:r w:rsidR="006568EA" w:rsidRPr="00AA4677">
        <w:rPr>
          <w:rFonts w:eastAsia="Times New Roman" w:cs="Times New Roman"/>
          <w:szCs w:val="24"/>
        </w:rPr>
        <w:t>)</w:t>
      </w:r>
      <w:r w:rsidRPr="00AA4677">
        <w:rPr>
          <w:rFonts w:eastAsia="Times New Roman" w:cs="Times New Roman"/>
          <w:szCs w:val="24"/>
        </w:rPr>
        <w:t xml:space="preserve"> that will review and oversee the research, specifies the ethical principles under which the research will be conducted, and names the individuals who will be responsible for the proper conduct of the research.</w:t>
      </w:r>
    </w:p>
    <w:p w14:paraId="7748C8FA" w14:textId="2848B2EE" w:rsidR="00AD73D3" w:rsidRPr="00AA4677" w:rsidRDefault="006568EA" w:rsidP="00AD73D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University</w:t>
      </w:r>
      <w:r w:rsidR="003E7C9E" w:rsidRPr="00AA4677">
        <w:rPr>
          <w:rFonts w:eastAsia="Times New Roman" w:cs="Times New Roman"/>
          <w:szCs w:val="24"/>
        </w:rPr>
        <w:t xml:space="preserve"> has an OHRP-approved </w:t>
      </w:r>
      <w:proofErr w:type="spellStart"/>
      <w:r w:rsidR="003E7C9E" w:rsidRPr="00AA4677">
        <w:rPr>
          <w:rFonts w:eastAsia="Times New Roman" w:cs="Times New Roman"/>
          <w:szCs w:val="24"/>
        </w:rPr>
        <w:t>Federalwide</w:t>
      </w:r>
      <w:proofErr w:type="spellEnd"/>
      <w:r w:rsidR="003E7C9E" w:rsidRPr="00AA4677">
        <w:rPr>
          <w:rFonts w:eastAsia="Times New Roman" w:cs="Times New Roman"/>
          <w:szCs w:val="24"/>
        </w:rPr>
        <w:t xml:space="preserve"> Assurance (FWA# 00000125) and provides support to </w:t>
      </w:r>
      <w:r w:rsidR="00F35D4B" w:rsidRPr="00AA4677">
        <w:rPr>
          <w:rFonts w:eastAsia="Times New Roman" w:cs="Times New Roman"/>
          <w:szCs w:val="24"/>
        </w:rPr>
        <w:t>one</w:t>
      </w:r>
      <w:r w:rsidR="003E7C9E" w:rsidRPr="00AA4677">
        <w:rPr>
          <w:rFonts w:eastAsia="Times New Roman" w:cs="Times New Roman"/>
          <w:szCs w:val="24"/>
        </w:rPr>
        <w:t xml:space="preserve"> on-site </w:t>
      </w:r>
      <w:r w:rsidR="00EE7207" w:rsidRPr="00AA4677">
        <w:rPr>
          <w:rFonts w:eastAsia="Times New Roman" w:cs="Times New Roman"/>
          <w:szCs w:val="24"/>
        </w:rPr>
        <w:t>IRB</w:t>
      </w:r>
      <w:r w:rsidR="00F35D4B" w:rsidRPr="00AA4677">
        <w:rPr>
          <w:rFonts w:eastAsia="Times New Roman" w:cs="Times New Roman"/>
          <w:szCs w:val="24"/>
        </w:rPr>
        <w:t>.</w:t>
      </w:r>
      <w:r w:rsidR="003E7C9E" w:rsidRPr="00AA4677">
        <w:rPr>
          <w:rFonts w:eastAsia="Times New Roman" w:cs="Times New Roman"/>
          <w:szCs w:val="24"/>
        </w:rPr>
        <w:t xml:space="preserve"> The HRPP also </w:t>
      </w:r>
      <w:r w:rsidR="00B3011E" w:rsidRPr="00AA4677">
        <w:rPr>
          <w:rFonts w:eastAsia="Times New Roman" w:cs="Times New Roman"/>
          <w:szCs w:val="24"/>
        </w:rPr>
        <w:t xml:space="preserve">regularly </w:t>
      </w:r>
      <w:r w:rsidR="003E7C9E" w:rsidRPr="00AA4677">
        <w:rPr>
          <w:rFonts w:eastAsia="Times New Roman" w:cs="Times New Roman"/>
          <w:szCs w:val="24"/>
        </w:rPr>
        <w:t xml:space="preserve">utilizes the IRB services of </w:t>
      </w:r>
      <w:r w:rsidR="000B294F" w:rsidRPr="00AA4677">
        <w:rPr>
          <w:rFonts w:eastAsia="Times New Roman" w:cs="Times New Roman"/>
          <w:szCs w:val="24"/>
        </w:rPr>
        <w:t>Advarra</w:t>
      </w:r>
      <w:r w:rsidR="002A20DC" w:rsidRPr="00AA4677">
        <w:rPr>
          <w:rFonts w:eastAsia="Times New Roman" w:cs="Times New Roman"/>
          <w:szCs w:val="24"/>
        </w:rPr>
        <w:t xml:space="preserve"> and WIRB-Copernicus Group, Inc.</w:t>
      </w:r>
      <w:r w:rsidR="003E7C9E" w:rsidRPr="00AA4677">
        <w:rPr>
          <w:rFonts w:eastAsia="Times New Roman" w:cs="Times New Roman"/>
          <w:szCs w:val="24"/>
        </w:rPr>
        <w:t xml:space="preserve"> (</w:t>
      </w:r>
      <w:r w:rsidR="007302DB" w:rsidRPr="00AA4677">
        <w:rPr>
          <w:rFonts w:eastAsia="Times New Roman" w:cs="Times New Roman"/>
          <w:szCs w:val="24"/>
        </w:rPr>
        <w:t xml:space="preserve">for </w:t>
      </w:r>
      <w:r w:rsidR="003E7C9E" w:rsidRPr="00AA4677">
        <w:rPr>
          <w:rFonts w:eastAsia="Times New Roman" w:cs="Times New Roman"/>
          <w:szCs w:val="24"/>
        </w:rPr>
        <w:t>industry-initiated, industry-</w:t>
      </w:r>
      <w:r w:rsidR="007302DB" w:rsidRPr="00AA4677">
        <w:rPr>
          <w:rFonts w:eastAsia="Times New Roman" w:cs="Times New Roman"/>
          <w:szCs w:val="24"/>
        </w:rPr>
        <w:t>funded</w:t>
      </w:r>
      <w:r w:rsidR="003E7C9E" w:rsidRPr="00AA4677">
        <w:rPr>
          <w:rFonts w:eastAsia="Times New Roman" w:cs="Times New Roman"/>
          <w:szCs w:val="24"/>
        </w:rPr>
        <w:t xml:space="preserve"> protocols), and of the Pediatric and Adult Central IRB</w:t>
      </w:r>
      <w:r w:rsidRPr="00AA4677">
        <w:rPr>
          <w:rFonts w:eastAsia="Times New Roman" w:cs="Times New Roman"/>
          <w:szCs w:val="24"/>
        </w:rPr>
        <w:t>s</w:t>
      </w:r>
      <w:r w:rsidR="003E7C9E" w:rsidRPr="00AA4677">
        <w:rPr>
          <w:rFonts w:eastAsia="Times New Roman" w:cs="Times New Roman"/>
          <w:szCs w:val="24"/>
        </w:rPr>
        <w:t xml:space="preserve"> of the National Cancer Institute (for certain cooperative oncology group protocols). </w:t>
      </w:r>
      <w:r w:rsidR="00B3011E" w:rsidRPr="00AA4677">
        <w:rPr>
          <w:rFonts w:eastAsia="Times New Roman" w:cs="Times New Roman"/>
          <w:szCs w:val="24"/>
        </w:rPr>
        <w:t xml:space="preserve">Details concerning the process </w:t>
      </w:r>
      <w:r w:rsidR="00C96DE0" w:rsidRPr="00AA4677">
        <w:rPr>
          <w:rFonts w:eastAsia="Times New Roman" w:cs="Times New Roman"/>
          <w:szCs w:val="24"/>
        </w:rPr>
        <w:t>for using these external IRBs are</w:t>
      </w:r>
      <w:r w:rsidR="00B3011E" w:rsidRPr="00AA4677">
        <w:rPr>
          <w:rFonts w:eastAsia="Times New Roman" w:cs="Times New Roman"/>
          <w:szCs w:val="24"/>
        </w:rPr>
        <w:t xml:space="preserve"> available on the Office of Research Compliance website. </w:t>
      </w:r>
      <w:r w:rsidR="003E7C9E" w:rsidRPr="00AA4677">
        <w:rPr>
          <w:rFonts w:eastAsia="Times New Roman" w:cs="Times New Roman"/>
          <w:szCs w:val="24"/>
        </w:rPr>
        <w:t xml:space="preserve">Together, these five IRBs review all human research protocols conducted under the auspices of </w:t>
      </w:r>
      <w:r w:rsidRPr="00AA4677">
        <w:rPr>
          <w:rFonts w:eastAsia="Times New Roman" w:cs="Times New Roman"/>
          <w:szCs w:val="24"/>
        </w:rPr>
        <w:t>the</w:t>
      </w:r>
      <w:r w:rsidR="003E7C9E" w:rsidRPr="00AA4677">
        <w:rPr>
          <w:rFonts w:eastAsia="Times New Roman" w:cs="Times New Roman"/>
          <w:szCs w:val="24"/>
        </w:rPr>
        <w:t xml:space="preserve"> University</w:t>
      </w:r>
      <w:r w:rsidR="007302DB" w:rsidRPr="00AA4677">
        <w:rPr>
          <w:rFonts w:eastAsia="Times New Roman" w:cs="Times New Roman"/>
          <w:szCs w:val="24"/>
        </w:rPr>
        <w:t xml:space="preserve"> (unless the University enters into a reliance agreement to cede IRB review to another outside </w:t>
      </w:r>
      <w:r w:rsidR="00B3011E" w:rsidRPr="00AA4677">
        <w:rPr>
          <w:rFonts w:eastAsia="Times New Roman" w:cs="Times New Roman"/>
          <w:szCs w:val="24"/>
        </w:rPr>
        <w:t xml:space="preserve">reviewing </w:t>
      </w:r>
      <w:r w:rsidR="007302DB" w:rsidRPr="00AA4677">
        <w:rPr>
          <w:rFonts w:eastAsia="Times New Roman" w:cs="Times New Roman"/>
          <w:szCs w:val="24"/>
        </w:rPr>
        <w:t>entity</w:t>
      </w:r>
      <w:r w:rsidR="00DE520C" w:rsidRPr="00AA4677">
        <w:rPr>
          <w:rFonts w:eastAsia="Times New Roman" w:cs="Times New Roman"/>
          <w:szCs w:val="24"/>
        </w:rPr>
        <w:t>, see section 1.14 for Multi-center research, and, e.g., via the SMART IRB Reliance Initiative (</w:t>
      </w:r>
      <w:hyperlink r:id="rId14" w:history="1">
        <w:r w:rsidR="00DE520C" w:rsidRPr="00AA4677">
          <w:rPr>
            <w:rStyle w:val="Hyperlink"/>
            <w:rFonts w:eastAsia="Times New Roman" w:cs="Times New Roman"/>
            <w:color w:val="auto"/>
            <w:szCs w:val="24"/>
            <w:u w:val="none"/>
          </w:rPr>
          <w:t>www.smartirb.org</w:t>
        </w:r>
      </w:hyperlink>
      <w:r w:rsidR="00DE520C" w:rsidRPr="00AA4677">
        <w:rPr>
          <w:rFonts w:eastAsia="Times New Roman" w:cs="Times New Roman"/>
          <w:szCs w:val="24"/>
        </w:rPr>
        <w:t>)</w:t>
      </w:r>
      <w:r w:rsidR="007302DB" w:rsidRPr="00AA4677">
        <w:rPr>
          <w:rFonts w:eastAsia="Times New Roman" w:cs="Times New Roman"/>
          <w:szCs w:val="24"/>
        </w:rPr>
        <w:t xml:space="preserve">. </w:t>
      </w:r>
    </w:p>
    <w:p w14:paraId="46B3A29F" w14:textId="23B21C2D" w:rsidR="00763F4F" w:rsidRPr="00AA4677" w:rsidRDefault="0029032B" w:rsidP="00C57C98">
      <w:pPr>
        <w:pStyle w:val="Heading3"/>
      </w:pPr>
      <w:r w:rsidRPr="00AA4677">
        <w:t>When human subjects research is not subject to the Common Rule or FDA regulations, SBU ensures that human research subjects benefit from equivalent protections by applying the Common Rule standards, with purposeful deviations that do not meaningfully diminish protections as noted within these SOPs.</w:t>
      </w:r>
      <w:bookmarkStart w:id="23" w:name="_Toc503253651"/>
      <w:r w:rsidRPr="00AA4677">
        <w:t xml:space="preserve"> </w:t>
      </w:r>
      <w:bookmarkEnd w:id="23"/>
    </w:p>
    <w:p w14:paraId="7932E5AC" w14:textId="4B66ED8A" w:rsidR="0029032B" w:rsidRPr="00AA4677" w:rsidRDefault="0029032B" w:rsidP="00763F4F">
      <w:pPr>
        <w:spacing w:after="0" w:line="240" w:lineRule="auto"/>
      </w:pPr>
      <w:r w:rsidRPr="00AA4677">
        <w:t xml:space="preserve">Management of pre-existing Studies </w:t>
      </w:r>
      <w:r w:rsidR="00161CC8" w:rsidRPr="00AA4677">
        <w:t xml:space="preserve">since </w:t>
      </w:r>
      <w:r w:rsidRPr="00AA4677">
        <w:t xml:space="preserve">the Revised Common Rule </w:t>
      </w:r>
      <w:r w:rsidR="00161CC8" w:rsidRPr="00AA4677">
        <w:t>Went</w:t>
      </w:r>
      <w:r w:rsidRPr="00AA4677">
        <w:t xml:space="preserve"> </w:t>
      </w:r>
      <w:proofErr w:type="gramStart"/>
      <w:r w:rsidRPr="00AA4677">
        <w:t>Into</w:t>
      </w:r>
      <w:proofErr w:type="gramEnd"/>
      <w:r w:rsidRPr="00AA4677">
        <w:t xml:space="preserve"> Effect</w:t>
      </w:r>
    </w:p>
    <w:p w14:paraId="213379E3" w14:textId="77777777" w:rsidR="00763F4F" w:rsidRPr="00AA4677" w:rsidRDefault="00763F4F" w:rsidP="00763F4F">
      <w:pPr>
        <w:spacing w:after="0" w:line="240" w:lineRule="auto"/>
      </w:pPr>
    </w:p>
    <w:p w14:paraId="1235F96E" w14:textId="5D625A6A" w:rsidR="00AD73D3" w:rsidRPr="00AA4677" w:rsidRDefault="00AD73D3" w:rsidP="00763F4F">
      <w:pPr>
        <w:spacing w:after="0" w:line="240" w:lineRule="auto"/>
      </w:pPr>
      <w:r w:rsidRPr="00AA4677">
        <w:t>The revised Common Rule establishes that all studies approved, waived under .101(</w:t>
      </w:r>
      <w:proofErr w:type="spellStart"/>
      <w:r w:rsidRPr="00AA4677">
        <w:t>i</w:t>
      </w:r>
      <w:proofErr w:type="spellEnd"/>
      <w:r w:rsidRPr="00AA4677">
        <w:t xml:space="preserve">), or determined exempt before January </w:t>
      </w:r>
      <w:r w:rsidR="0029032B" w:rsidRPr="00AA4677">
        <w:t>21</w:t>
      </w:r>
      <w:r w:rsidRPr="00AA4677">
        <w:t xml:space="preserve">, </w:t>
      </w:r>
      <w:proofErr w:type="gramStart"/>
      <w:r w:rsidRPr="00AA4677">
        <w:t>201</w:t>
      </w:r>
      <w:r w:rsidR="0029032B" w:rsidRPr="00AA4677">
        <w:t>9</w:t>
      </w:r>
      <w:proofErr w:type="gramEnd"/>
      <w:r w:rsidRPr="00AA4677">
        <w:t xml:space="preserve"> </w:t>
      </w:r>
      <w:r w:rsidR="00161CC8" w:rsidRPr="00AA4677">
        <w:t>is</w:t>
      </w:r>
      <w:r w:rsidRPr="00AA4677">
        <w:t xml:space="preserve"> subject to the old rule through the close of study.  All protocols approved or determined exempt on or after January </w:t>
      </w:r>
      <w:r w:rsidR="0029032B" w:rsidRPr="00AA4677">
        <w:t>21</w:t>
      </w:r>
      <w:r w:rsidRPr="00AA4677">
        <w:t xml:space="preserve">, </w:t>
      </w:r>
      <w:proofErr w:type="gramStart"/>
      <w:r w:rsidRPr="00AA4677">
        <w:t>201</w:t>
      </w:r>
      <w:r w:rsidR="0029032B" w:rsidRPr="00AA4677">
        <w:t>9</w:t>
      </w:r>
      <w:proofErr w:type="gramEnd"/>
      <w:r w:rsidRPr="00AA4677">
        <w:t xml:space="preserve"> </w:t>
      </w:r>
      <w:r w:rsidR="00763F4F" w:rsidRPr="00AA4677">
        <w:t>are</w:t>
      </w:r>
      <w:r w:rsidRPr="00AA4677">
        <w:t xml:space="preserve"> subject to the new </w:t>
      </w:r>
      <w:r w:rsidRPr="00AA4677">
        <w:lastRenderedPageBreak/>
        <w:t xml:space="preserve">rule. </w:t>
      </w:r>
      <w:r w:rsidR="0029032B" w:rsidRPr="00AA4677">
        <w:t xml:space="preserve">Stony Brook University </w:t>
      </w:r>
      <w:r w:rsidR="00763F4F" w:rsidRPr="00AA4677">
        <w:t xml:space="preserve">will </w:t>
      </w:r>
      <w:r w:rsidR="0029032B" w:rsidRPr="00AA4677">
        <w:t xml:space="preserve">not </w:t>
      </w:r>
      <w:r w:rsidRPr="00AA4677">
        <w:t>transition individual studies</w:t>
      </w:r>
      <w:r w:rsidR="0029032B" w:rsidRPr="00AA4677">
        <w:t xml:space="preserve"> from the old to the new rule on or after that date. </w:t>
      </w:r>
    </w:p>
    <w:p w14:paraId="6DD66372" w14:textId="77777777" w:rsidR="00575C27" w:rsidRPr="00AA4677" w:rsidRDefault="00575C27" w:rsidP="00696B35">
      <w:pPr>
        <w:pStyle w:val="Heading2"/>
      </w:pPr>
      <w:bookmarkStart w:id="24" w:name="_Toc192678144"/>
    </w:p>
    <w:p w14:paraId="2513831E" w14:textId="24BC7B64" w:rsidR="003E7C9E" w:rsidRPr="00AA4677" w:rsidRDefault="003E7C9E" w:rsidP="00696B35">
      <w:pPr>
        <w:pStyle w:val="Heading2"/>
      </w:pPr>
      <w:r w:rsidRPr="00AA4677">
        <w:t>1.8 Research Covered by the H</w:t>
      </w:r>
      <w:r w:rsidR="000D5C84" w:rsidRPr="00AA4677">
        <w:t xml:space="preserve">uman </w:t>
      </w:r>
      <w:r w:rsidRPr="00AA4677">
        <w:t>R</w:t>
      </w:r>
      <w:r w:rsidR="000D5C84" w:rsidRPr="00AA4677">
        <w:t xml:space="preserve">esearch </w:t>
      </w:r>
      <w:r w:rsidRPr="00AA4677">
        <w:t>P</w:t>
      </w:r>
      <w:r w:rsidR="000D5C84" w:rsidRPr="00AA4677">
        <w:t xml:space="preserve">rotection </w:t>
      </w:r>
      <w:r w:rsidRPr="00AA4677">
        <w:t>P</w:t>
      </w:r>
      <w:r w:rsidR="000D5C84" w:rsidRPr="00AA4677">
        <w:t>rogram</w:t>
      </w:r>
      <w:bookmarkEnd w:id="24"/>
    </w:p>
    <w:p w14:paraId="43B76108" w14:textId="7EBEDB86" w:rsidR="003E7C9E" w:rsidRPr="00AA4677" w:rsidRDefault="003E7C9E" w:rsidP="00763F4F">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6568EA" w:rsidRPr="00AA4677">
        <w:rPr>
          <w:rFonts w:eastAsia="Times New Roman" w:cs="Times New Roman"/>
          <w:szCs w:val="24"/>
        </w:rPr>
        <w:t>University’s</w:t>
      </w:r>
      <w:r w:rsidRPr="00AA4677">
        <w:rPr>
          <w:rFonts w:eastAsia="Times New Roman" w:cs="Times New Roman"/>
          <w:szCs w:val="24"/>
        </w:rPr>
        <w:t xml:space="preserve"> HRPP covers all research involving human subjects that </w:t>
      </w:r>
      <w:proofErr w:type="gramStart"/>
      <w:r w:rsidRPr="00AA4677">
        <w:rPr>
          <w:rFonts w:eastAsia="Times New Roman" w:cs="Times New Roman"/>
          <w:szCs w:val="24"/>
        </w:rPr>
        <w:t>is</w:t>
      </w:r>
      <w:proofErr w:type="gramEnd"/>
      <w:r w:rsidRPr="00AA4677">
        <w:rPr>
          <w:rFonts w:eastAsia="Times New Roman" w:cs="Times New Roman"/>
          <w:szCs w:val="24"/>
        </w:rPr>
        <w:t xml:space="preserve"> under the auspices of the University.  The research may be externally funded, funded </w:t>
      </w:r>
      <w:proofErr w:type="gramStart"/>
      <w:r w:rsidRPr="00AA4677">
        <w:rPr>
          <w:rFonts w:eastAsia="Times New Roman" w:cs="Times New Roman"/>
          <w:szCs w:val="24"/>
        </w:rPr>
        <w:t>from</w:t>
      </w:r>
      <w:proofErr w:type="gramEnd"/>
      <w:r w:rsidRPr="00AA4677">
        <w:rPr>
          <w:rFonts w:eastAsia="Times New Roman" w:cs="Times New Roman"/>
          <w:szCs w:val="24"/>
        </w:rPr>
        <w:t xml:space="preserve"> </w:t>
      </w:r>
      <w:r w:rsidR="006568EA" w:rsidRPr="00AA4677">
        <w:rPr>
          <w:rFonts w:eastAsia="Times New Roman" w:cs="Times New Roman"/>
          <w:szCs w:val="24"/>
        </w:rPr>
        <w:t>internal University</w:t>
      </w:r>
      <w:r w:rsidRPr="00AA4677">
        <w:rPr>
          <w:rFonts w:eastAsia="Times New Roman" w:cs="Times New Roman"/>
          <w:szCs w:val="24"/>
        </w:rPr>
        <w:t xml:space="preserve"> sources, or conducted without direct funding.</w:t>
      </w:r>
    </w:p>
    <w:p w14:paraId="4DE2B7D6" w14:textId="77777777" w:rsidR="00575C27" w:rsidRPr="00AA4677" w:rsidRDefault="00575C27" w:rsidP="00696B35">
      <w:pPr>
        <w:pStyle w:val="Heading2"/>
      </w:pPr>
      <w:bookmarkStart w:id="25" w:name="_Toc192678145"/>
    </w:p>
    <w:p w14:paraId="6D124B8B" w14:textId="54B20E7D" w:rsidR="003E7C9E" w:rsidRPr="00AA4677" w:rsidRDefault="003E7C9E" w:rsidP="00696B35">
      <w:pPr>
        <w:pStyle w:val="Heading2"/>
      </w:pPr>
      <w:r w:rsidRPr="00AA4677">
        <w:t xml:space="preserve">1.9 Written </w:t>
      </w:r>
      <w:r w:rsidR="00005E81" w:rsidRPr="00AA4677">
        <w:t>Policies and P</w:t>
      </w:r>
      <w:r w:rsidRPr="00AA4677">
        <w:t>rocedures</w:t>
      </w:r>
      <w:bookmarkEnd w:id="25"/>
    </w:p>
    <w:p w14:paraId="10BD645E" w14:textId="63E0F4EE"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6568EA" w:rsidRPr="00AA4677">
        <w:rPr>
          <w:rFonts w:eastAsia="Times New Roman" w:cs="Times New Roman"/>
          <w:szCs w:val="24"/>
        </w:rPr>
        <w:t>University’s</w:t>
      </w:r>
      <w:r w:rsidRPr="00AA4677">
        <w:rPr>
          <w:rFonts w:eastAsia="Times New Roman" w:cs="Times New Roman"/>
          <w:szCs w:val="24"/>
        </w:rPr>
        <w:t xml:space="preserve"> Standard Operating Policies and Procedures for Human Research Protection detail the policies and regulations governing research with human subjects and the requirements for submitting research proposals for review by the SBU IRB.  This is not a static document. The policies and procedures are </w:t>
      </w:r>
      <w:r w:rsidR="007302DB" w:rsidRPr="00AA4677">
        <w:rPr>
          <w:rFonts w:eastAsia="Times New Roman" w:cs="Times New Roman"/>
          <w:szCs w:val="24"/>
        </w:rPr>
        <w:t xml:space="preserve">regularly amended </w:t>
      </w:r>
      <w:r w:rsidRPr="00AA4677">
        <w:rPr>
          <w:rFonts w:eastAsia="Times New Roman" w:cs="Times New Roman"/>
          <w:szCs w:val="24"/>
        </w:rPr>
        <w:t>by the </w:t>
      </w:r>
      <w:r w:rsidR="00F82E75" w:rsidRPr="00AA4677">
        <w:rPr>
          <w:rFonts w:eastAsia="Times New Roman" w:cs="Times New Roman"/>
          <w:szCs w:val="24"/>
        </w:rPr>
        <w:t xml:space="preserve">Assistant Vice President for </w:t>
      </w:r>
      <w:r w:rsidRPr="00AA4677">
        <w:rPr>
          <w:rFonts w:eastAsia="Times New Roman" w:cs="Times New Roman"/>
          <w:szCs w:val="24"/>
        </w:rPr>
        <w:t>Research Complianc</w:t>
      </w:r>
      <w:r w:rsidR="008729FF" w:rsidRPr="00AA4677">
        <w:rPr>
          <w:rFonts w:eastAsia="Times New Roman" w:cs="Times New Roman"/>
          <w:szCs w:val="24"/>
        </w:rPr>
        <w:t>e</w:t>
      </w:r>
      <w:r w:rsidRPr="00AA4677">
        <w:rPr>
          <w:rFonts w:eastAsia="Times New Roman" w:cs="Times New Roman"/>
          <w:szCs w:val="24"/>
        </w:rPr>
        <w:t xml:space="preserve">, in consultation with applicable institutional entities (e.g., </w:t>
      </w:r>
      <w:r w:rsidR="008729FF" w:rsidRPr="00AA4677">
        <w:rPr>
          <w:rFonts w:eastAsia="Times New Roman" w:cs="Times New Roman"/>
          <w:szCs w:val="24"/>
        </w:rPr>
        <w:t>I</w:t>
      </w:r>
      <w:r w:rsidR="000B294F" w:rsidRPr="00AA4677">
        <w:rPr>
          <w:rFonts w:eastAsia="Times New Roman" w:cs="Times New Roman"/>
          <w:szCs w:val="24"/>
        </w:rPr>
        <w:t xml:space="preserve">nstitutional </w:t>
      </w:r>
      <w:r w:rsidR="008729FF" w:rsidRPr="00AA4677">
        <w:rPr>
          <w:rFonts w:eastAsia="Times New Roman" w:cs="Times New Roman"/>
          <w:szCs w:val="24"/>
        </w:rPr>
        <w:t>O</w:t>
      </w:r>
      <w:r w:rsidR="000B294F" w:rsidRPr="00AA4677">
        <w:rPr>
          <w:rFonts w:eastAsia="Times New Roman" w:cs="Times New Roman"/>
          <w:szCs w:val="24"/>
        </w:rPr>
        <w:t>fficial (IO)</w:t>
      </w:r>
      <w:r w:rsidR="00D40C2B" w:rsidRPr="00AA4677">
        <w:rPr>
          <w:rFonts w:eastAsia="Times New Roman" w:cs="Times New Roman"/>
          <w:szCs w:val="24"/>
        </w:rPr>
        <w:t>)</w:t>
      </w:r>
      <w:r w:rsidR="008729FF" w:rsidRPr="00AA4677">
        <w:rPr>
          <w:rFonts w:eastAsia="Times New Roman" w:cs="Times New Roman"/>
          <w:szCs w:val="24"/>
        </w:rPr>
        <w:t xml:space="preserve">, </w:t>
      </w:r>
      <w:r w:rsidR="007302DB" w:rsidRPr="00AA4677">
        <w:rPr>
          <w:rFonts w:eastAsia="Times New Roman" w:cs="Times New Roman"/>
          <w:szCs w:val="24"/>
        </w:rPr>
        <w:t>Office of Research Compliance</w:t>
      </w:r>
      <w:r w:rsidR="008729FF" w:rsidRPr="00AA4677">
        <w:rPr>
          <w:rFonts w:eastAsia="Times New Roman" w:cs="Times New Roman"/>
          <w:szCs w:val="24"/>
        </w:rPr>
        <w:t xml:space="preserve"> staff</w:t>
      </w:r>
      <w:r w:rsidR="007302DB" w:rsidRPr="00AA4677">
        <w:rPr>
          <w:rFonts w:eastAsia="Times New Roman" w:cs="Times New Roman"/>
          <w:szCs w:val="24"/>
        </w:rPr>
        <w:t xml:space="preserve">, </w:t>
      </w:r>
      <w:r w:rsidRPr="00AA4677">
        <w:rPr>
          <w:rFonts w:eastAsia="Times New Roman" w:cs="Times New Roman"/>
          <w:szCs w:val="24"/>
        </w:rPr>
        <w:t>Institutional Review Board</w:t>
      </w:r>
      <w:r w:rsidR="007302DB" w:rsidRPr="00AA4677">
        <w:rPr>
          <w:rFonts w:eastAsia="Times New Roman" w:cs="Times New Roman"/>
          <w:szCs w:val="24"/>
        </w:rPr>
        <w:t>s</w:t>
      </w:r>
      <w:r w:rsidRPr="00AA4677">
        <w:rPr>
          <w:rFonts w:eastAsia="Times New Roman" w:cs="Times New Roman"/>
          <w:szCs w:val="24"/>
        </w:rPr>
        <w:t>, University counsel, etc</w:t>
      </w:r>
      <w:r w:rsidR="00E5244C" w:rsidRPr="00AA4677">
        <w:rPr>
          <w:rFonts w:eastAsia="Times New Roman" w:cs="Times New Roman"/>
          <w:szCs w:val="24"/>
        </w:rPr>
        <w:t>.</w:t>
      </w:r>
      <w:r w:rsidRPr="00AA4677">
        <w:rPr>
          <w:rFonts w:eastAsia="Times New Roman" w:cs="Times New Roman"/>
          <w:szCs w:val="24"/>
        </w:rPr>
        <w:t xml:space="preserve">). The IO will </w:t>
      </w:r>
      <w:r w:rsidR="0040674E" w:rsidRPr="00AA4677">
        <w:rPr>
          <w:rFonts w:eastAsia="Times New Roman" w:cs="Times New Roman"/>
          <w:szCs w:val="24"/>
        </w:rPr>
        <w:t xml:space="preserve">be kept </w:t>
      </w:r>
      <w:proofErr w:type="gramStart"/>
      <w:r w:rsidR="0040674E" w:rsidRPr="00AA4677">
        <w:rPr>
          <w:rFonts w:eastAsia="Times New Roman" w:cs="Times New Roman"/>
          <w:szCs w:val="24"/>
        </w:rPr>
        <w:t>apprised</w:t>
      </w:r>
      <w:proofErr w:type="gramEnd"/>
      <w:r w:rsidR="0040674E" w:rsidRPr="00AA4677">
        <w:rPr>
          <w:rFonts w:eastAsia="Times New Roman" w:cs="Times New Roman"/>
          <w:szCs w:val="24"/>
        </w:rPr>
        <w:t xml:space="preserve"> of all major </w:t>
      </w:r>
      <w:r w:rsidRPr="00AA4677">
        <w:rPr>
          <w:rFonts w:eastAsia="Times New Roman" w:cs="Times New Roman"/>
          <w:szCs w:val="24"/>
        </w:rPr>
        <w:t>revisions of the policies and procedures.</w:t>
      </w:r>
      <w:r w:rsidR="00167EBF" w:rsidRPr="00AA4677">
        <w:rPr>
          <w:rFonts w:eastAsia="Times New Roman" w:cs="Times New Roman"/>
          <w:szCs w:val="24"/>
        </w:rPr>
        <w:t xml:space="preserve"> The policies and procedures and any changes that occur are communicated to the research community via the Office of Research Compliance website. Additionally, a “BLAST” is sent to the </w:t>
      </w:r>
      <w:r w:rsidR="00717203" w:rsidRPr="00AA4677">
        <w:rPr>
          <w:rFonts w:eastAsia="Times New Roman" w:cs="Times New Roman"/>
          <w:szCs w:val="24"/>
        </w:rPr>
        <w:t>research</w:t>
      </w:r>
      <w:r w:rsidR="00167EBF" w:rsidRPr="00AA4677">
        <w:rPr>
          <w:rFonts w:eastAsia="Times New Roman" w:cs="Times New Roman"/>
          <w:szCs w:val="24"/>
        </w:rPr>
        <w:t xml:space="preserve"> community annually to announce changes to the HRPP policies and procedures.</w:t>
      </w:r>
      <w:r w:rsidRPr="00AA4677">
        <w:rPr>
          <w:rFonts w:eastAsia="Times New Roman" w:cs="Times New Roman"/>
          <w:szCs w:val="24"/>
        </w:rPr>
        <w:t> </w:t>
      </w:r>
    </w:p>
    <w:p w14:paraId="067213F1" w14:textId="6B3D8051" w:rsidR="006472F5" w:rsidRPr="00AA4677" w:rsidRDefault="003E7C9E" w:rsidP="00E13DB9">
      <w:pPr>
        <w:shd w:val="clear" w:color="auto" w:fill="FFFFFF"/>
        <w:spacing w:before="100" w:beforeAutospacing="1" w:after="100" w:afterAutospacing="1" w:line="240" w:lineRule="auto"/>
      </w:pPr>
      <w:r w:rsidRPr="00AA4677">
        <w:rPr>
          <w:rFonts w:eastAsia="Times New Roman" w:cs="Times New Roman"/>
          <w:szCs w:val="24"/>
        </w:rPr>
        <w:t xml:space="preserve">The </w:t>
      </w:r>
      <w:r w:rsidR="00F82E75" w:rsidRPr="00AA4677">
        <w:rPr>
          <w:rFonts w:eastAsia="Times New Roman" w:cs="Times New Roman"/>
          <w:szCs w:val="24"/>
        </w:rPr>
        <w:t xml:space="preserve">Assistant Vice President for Research Compliance </w:t>
      </w:r>
      <w:r w:rsidRPr="00AA4677">
        <w:rPr>
          <w:rFonts w:eastAsia="Times New Roman" w:cs="Times New Roman"/>
          <w:szCs w:val="24"/>
        </w:rPr>
        <w:t xml:space="preserve">will keep the University </w:t>
      </w:r>
      <w:r w:rsidR="007302DB" w:rsidRPr="00AA4677">
        <w:rPr>
          <w:rFonts w:eastAsia="Times New Roman" w:cs="Times New Roman"/>
          <w:szCs w:val="24"/>
        </w:rPr>
        <w:t>research</w:t>
      </w:r>
      <w:r w:rsidRPr="00AA4677">
        <w:rPr>
          <w:rFonts w:eastAsia="Times New Roman" w:cs="Times New Roman"/>
          <w:szCs w:val="24"/>
        </w:rPr>
        <w:t xml:space="preserve"> community apprised of new information that</w:t>
      </w:r>
      <w:r w:rsidR="007302DB" w:rsidRPr="00AA4677">
        <w:rPr>
          <w:rFonts w:eastAsia="Times New Roman" w:cs="Times New Roman"/>
          <w:szCs w:val="24"/>
        </w:rPr>
        <w:t xml:space="preserve"> </w:t>
      </w:r>
      <w:r w:rsidRPr="00AA4677">
        <w:rPr>
          <w:rFonts w:eastAsia="Times New Roman" w:cs="Times New Roman"/>
          <w:szCs w:val="24"/>
        </w:rPr>
        <w:t xml:space="preserve">affect the human research protection program, including laws, regulations, policies, procedures, and emerging ethical and scientific issues on its website and through campus electronic mailing lists. The policies and procedures will be available on the </w:t>
      </w:r>
      <w:r w:rsidR="006568EA" w:rsidRPr="00AA4677">
        <w:rPr>
          <w:rFonts w:eastAsia="Times New Roman" w:cs="Times New Roman"/>
          <w:szCs w:val="24"/>
        </w:rPr>
        <w:t>University’s</w:t>
      </w:r>
      <w:r w:rsidRPr="00AA4677">
        <w:rPr>
          <w:rFonts w:eastAsia="Times New Roman" w:cs="Times New Roman"/>
          <w:szCs w:val="24"/>
        </w:rPr>
        <w:t xml:space="preserve"> </w:t>
      </w:r>
      <w:r w:rsidR="007302DB" w:rsidRPr="00AA4677">
        <w:rPr>
          <w:rFonts w:eastAsia="Times New Roman" w:cs="Times New Roman"/>
          <w:szCs w:val="24"/>
        </w:rPr>
        <w:t>Human Research</w:t>
      </w:r>
      <w:r w:rsidRPr="00AA4677">
        <w:rPr>
          <w:rFonts w:eastAsia="Times New Roman" w:cs="Times New Roman"/>
          <w:szCs w:val="24"/>
        </w:rPr>
        <w:t xml:space="preserve"> website and copies will be available upon request.</w:t>
      </w:r>
      <w:r w:rsidR="005822E1" w:rsidRPr="00AA4677">
        <w:rPr>
          <w:rFonts w:eastAsia="Times New Roman" w:cs="Times New Roman"/>
          <w:szCs w:val="24"/>
        </w:rPr>
        <w:t xml:space="preserve"> Information regarding updates to the policies and procedures </w:t>
      </w:r>
      <w:proofErr w:type="gramStart"/>
      <w:r w:rsidR="005822E1" w:rsidRPr="00AA4677">
        <w:rPr>
          <w:rFonts w:eastAsia="Times New Roman" w:cs="Times New Roman"/>
          <w:szCs w:val="24"/>
        </w:rPr>
        <w:t>are</w:t>
      </w:r>
      <w:proofErr w:type="gramEnd"/>
      <w:r w:rsidR="005822E1" w:rsidRPr="00AA4677">
        <w:rPr>
          <w:rFonts w:eastAsia="Times New Roman" w:cs="Times New Roman"/>
          <w:szCs w:val="24"/>
        </w:rPr>
        <w:t xml:space="preserve"> made available to researchers, research staff, IRB members and HRPP staff via informational sessions and email communications.</w:t>
      </w:r>
    </w:p>
    <w:p w14:paraId="02F24125" w14:textId="6EA3A67F" w:rsidR="003E7C9E" w:rsidRPr="00AA4677" w:rsidRDefault="003E7C9E" w:rsidP="00696B35">
      <w:pPr>
        <w:pStyle w:val="Heading2"/>
      </w:pPr>
      <w:bookmarkStart w:id="26" w:name="_Toc192678146"/>
      <w:r w:rsidRPr="00AA4677">
        <w:t>1.10 H</w:t>
      </w:r>
      <w:r w:rsidR="000D5C84" w:rsidRPr="00AA4677">
        <w:t xml:space="preserve">uman </w:t>
      </w:r>
      <w:r w:rsidRPr="00AA4677">
        <w:t>R</w:t>
      </w:r>
      <w:r w:rsidR="000D5C84" w:rsidRPr="00AA4677">
        <w:t xml:space="preserve">esearch </w:t>
      </w:r>
      <w:r w:rsidRPr="00AA4677">
        <w:t>P</w:t>
      </w:r>
      <w:r w:rsidR="000D5C84" w:rsidRPr="00AA4677">
        <w:t xml:space="preserve">rotection </w:t>
      </w:r>
      <w:r w:rsidRPr="00AA4677">
        <w:t>P</w:t>
      </w:r>
      <w:r w:rsidR="000D5C84" w:rsidRPr="00AA4677">
        <w:t>rogram</w:t>
      </w:r>
      <w:r w:rsidRPr="00AA4677">
        <w:t xml:space="preserve"> Organization</w:t>
      </w:r>
      <w:bookmarkEnd w:id="26"/>
    </w:p>
    <w:p w14:paraId="4D426E8C" w14:textId="4E272FB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HRPP is a comprehensive system to ensure the protection of human subjects participating in research. It consists of various individuals</w:t>
      </w:r>
      <w:r w:rsidR="00825855" w:rsidRPr="00AA4677">
        <w:rPr>
          <w:rFonts w:eastAsia="Times New Roman" w:cs="Times New Roman"/>
          <w:szCs w:val="24"/>
        </w:rPr>
        <w:t>, offices,</w:t>
      </w:r>
      <w:r w:rsidRPr="00AA4677">
        <w:rPr>
          <w:rFonts w:eastAsia="Times New Roman" w:cs="Times New Roman"/>
          <w:szCs w:val="24"/>
        </w:rPr>
        <w:t xml:space="preserve"> and committees such as I</w:t>
      </w:r>
      <w:r w:rsidR="00F726BD" w:rsidRPr="00AA4677">
        <w:rPr>
          <w:rFonts w:eastAsia="Times New Roman" w:cs="Times New Roman"/>
          <w:szCs w:val="24"/>
        </w:rPr>
        <w:t xml:space="preserve">nstitutional </w:t>
      </w:r>
      <w:r w:rsidRPr="00AA4677">
        <w:rPr>
          <w:rFonts w:eastAsia="Times New Roman" w:cs="Times New Roman"/>
          <w:szCs w:val="24"/>
        </w:rPr>
        <w:t>O</w:t>
      </w:r>
      <w:r w:rsidR="00F726BD" w:rsidRPr="00AA4677">
        <w:rPr>
          <w:rFonts w:eastAsia="Times New Roman" w:cs="Times New Roman"/>
          <w:szCs w:val="24"/>
        </w:rPr>
        <w:t>fficial (IO)</w:t>
      </w:r>
      <w:r w:rsidRPr="00AA4677">
        <w:rPr>
          <w:rFonts w:eastAsia="Times New Roman" w:cs="Times New Roman"/>
          <w:szCs w:val="24"/>
        </w:rPr>
        <w:t>,</w:t>
      </w:r>
      <w:r w:rsidR="00273E2C" w:rsidRPr="00AA4677">
        <w:rPr>
          <w:rFonts w:eastAsia="Times New Roman" w:cs="Times New Roman"/>
          <w:szCs w:val="24"/>
        </w:rPr>
        <w:t xml:space="preserve"> </w:t>
      </w:r>
      <w:r w:rsidRPr="00AA4677">
        <w:rPr>
          <w:rFonts w:eastAsia="Times New Roman" w:cs="Times New Roman"/>
          <w:szCs w:val="24"/>
        </w:rPr>
        <w:t xml:space="preserve"> the </w:t>
      </w:r>
      <w:r w:rsidR="00F82E75" w:rsidRPr="00AA4677">
        <w:rPr>
          <w:rFonts w:eastAsia="Times New Roman" w:cs="Times New Roman"/>
          <w:szCs w:val="24"/>
        </w:rPr>
        <w:t>Assistant Vice President for Research Compliance</w:t>
      </w:r>
      <w:r w:rsidR="00273E2C" w:rsidRPr="00AA4677">
        <w:rPr>
          <w:rFonts w:eastAsia="Times New Roman" w:cs="Times New Roman"/>
          <w:szCs w:val="24"/>
        </w:rPr>
        <w:t xml:space="preserve"> and Staff of the </w:t>
      </w:r>
      <w:r w:rsidRPr="00AA4677">
        <w:rPr>
          <w:rFonts w:eastAsia="Times New Roman" w:cs="Times New Roman"/>
          <w:szCs w:val="24"/>
        </w:rPr>
        <w:t>Office of Research Compliance</w:t>
      </w:r>
      <w:r w:rsidR="00F726BD" w:rsidRPr="00AA4677">
        <w:rPr>
          <w:rFonts w:eastAsia="Times New Roman" w:cs="Times New Roman"/>
          <w:szCs w:val="24"/>
        </w:rPr>
        <w:t xml:space="preserve"> (ORC)</w:t>
      </w:r>
      <w:r w:rsidRPr="00AA4677">
        <w:rPr>
          <w:rFonts w:eastAsia="Times New Roman" w:cs="Times New Roman"/>
          <w:szCs w:val="24"/>
        </w:rPr>
        <w:t>, the I</w:t>
      </w:r>
      <w:r w:rsidR="00825855" w:rsidRPr="00AA4677">
        <w:rPr>
          <w:rFonts w:eastAsia="Times New Roman" w:cs="Times New Roman"/>
          <w:szCs w:val="24"/>
        </w:rPr>
        <w:t xml:space="preserve">nstitutional </w:t>
      </w:r>
      <w:r w:rsidRPr="00AA4677">
        <w:rPr>
          <w:rFonts w:eastAsia="Times New Roman" w:cs="Times New Roman"/>
          <w:szCs w:val="24"/>
        </w:rPr>
        <w:t>R</w:t>
      </w:r>
      <w:r w:rsidR="00825855" w:rsidRPr="00AA4677">
        <w:rPr>
          <w:rFonts w:eastAsia="Times New Roman" w:cs="Times New Roman"/>
          <w:szCs w:val="24"/>
        </w:rPr>
        <w:t xml:space="preserve">eview </w:t>
      </w:r>
      <w:r w:rsidRPr="00AA4677">
        <w:rPr>
          <w:rFonts w:eastAsia="Times New Roman" w:cs="Times New Roman"/>
          <w:szCs w:val="24"/>
        </w:rPr>
        <w:t>B</w:t>
      </w:r>
      <w:r w:rsidR="000B294F" w:rsidRPr="00AA4677">
        <w:rPr>
          <w:rFonts w:eastAsia="Times New Roman" w:cs="Times New Roman"/>
          <w:szCs w:val="24"/>
        </w:rPr>
        <w:t>oard</w:t>
      </w:r>
      <w:r w:rsidR="00825855" w:rsidRPr="00AA4677">
        <w:rPr>
          <w:rFonts w:eastAsia="Times New Roman" w:cs="Times New Roman"/>
          <w:szCs w:val="24"/>
        </w:rPr>
        <w:t xml:space="preserve"> (IRB)</w:t>
      </w:r>
      <w:r w:rsidRPr="00AA4677">
        <w:rPr>
          <w:rFonts w:eastAsia="Times New Roman" w:cs="Times New Roman"/>
          <w:szCs w:val="24"/>
        </w:rPr>
        <w:t xml:space="preserve">, other committees or subcommittees addressing human subject protection (e.g., Institutional Biosafety Committee, </w:t>
      </w:r>
      <w:r w:rsidR="00E13DB9" w:rsidRPr="00AA4677">
        <w:rPr>
          <w:rFonts w:eastAsia="Times New Roman" w:cs="Times New Roman"/>
          <w:szCs w:val="24"/>
        </w:rPr>
        <w:t>Radiation</w:t>
      </w:r>
      <w:r w:rsidR="00D856FF" w:rsidRPr="00AA4677">
        <w:rPr>
          <w:rFonts w:eastAsia="Times New Roman" w:cs="Times New Roman"/>
          <w:szCs w:val="24"/>
        </w:rPr>
        <w:t xml:space="preserve"> Safety Officer,</w:t>
      </w:r>
      <w:r w:rsidRPr="00AA4677">
        <w:rPr>
          <w:rFonts w:eastAsia="Times New Roman" w:cs="Times New Roman"/>
          <w:szCs w:val="24"/>
        </w:rPr>
        <w:t xml:space="preserve"> </w:t>
      </w:r>
      <w:r w:rsidR="006568EA" w:rsidRPr="00AA4677">
        <w:rPr>
          <w:rFonts w:eastAsia="Times New Roman" w:cs="Times New Roman"/>
          <w:szCs w:val="24"/>
        </w:rPr>
        <w:t>Radioactive Drug Research Committee</w:t>
      </w:r>
      <w:r w:rsidR="00E13DB9" w:rsidRPr="00AA4677">
        <w:rPr>
          <w:rFonts w:eastAsia="Times New Roman" w:cs="Times New Roman"/>
          <w:szCs w:val="24"/>
        </w:rPr>
        <w:t xml:space="preserve">, </w:t>
      </w:r>
      <w:r w:rsidR="006568EA" w:rsidRPr="00AA4677">
        <w:rPr>
          <w:rFonts w:eastAsia="Times New Roman" w:cs="Times New Roman"/>
          <w:szCs w:val="24"/>
        </w:rPr>
        <w:t>Conflict of Interest</w:t>
      </w:r>
      <w:r w:rsidRPr="00AA4677">
        <w:rPr>
          <w:rFonts w:eastAsia="Times New Roman" w:cs="Times New Roman"/>
          <w:szCs w:val="24"/>
        </w:rPr>
        <w:t xml:space="preserve">), investigators, research staff, and research pharmacy staff. The objective of this system is to assist the </w:t>
      </w:r>
      <w:r w:rsidR="00A015A1" w:rsidRPr="00AA4677">
        <w:rPr>
          <w:rFonts w:eastAsia="Times New Roman" w:cs="Times New Roman"/>
          <w:szCs w:val="24"/>
        </w:rPr>
        <w:t>Univer</w:t>
      </w:r>
      <w:r w:rsidR="00825855" w:rsidRPr="00AA4677">
        <w:rPr>
          <w:rFonts w:eastAsia="Times New Roman" w:cs="Times New Roman"/>
          <w:szCs w:val="24"/>
        </w:rPr>
        <w:t>s</w:t>
      </w:r>
      <w:r w:rsidR="00A015A1" w:rsidRPr="00AA4677">
        <w:rPr>
          <w:rFonts w:eastAsia="Times New Roman" w:cs="Times New Roman"/>
          <w:szCs w:val="24"/>
        </w:rPr>
        <w:t>i</w:t>
      </w:r>
      <w:r w:rsidR="00825855" w:rsidRPr="00AA4677">
        <w:rPr>
          <w:rFonts w:eastAsia="Times New Roman" w:cs="Times New Roman"/>
          <w:szCs w:val="24"/>
        </w:rPr>
        <w:t>ty</w:t>
      </w:r>
      <w:r w:rsidRPr="00AA4677">
        <w:rPr>
          <w:rFonts w:eastAsia="Times New Roman" w:cs="Times New Roman"/>
          <w:szCs w:val="24"/>
        </w:rPr>
        <w:t xml:space="preserve"> in meeting ethical principles and regulatory requirements for the protection of human subjects in research.</w:t>
      </w:r>
    </w:p>
    <w:p w14:paraId="0897D56B" w14:textId="3E4078A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The following officials, administrative units and individuals have primary responsibilities for implementing the HRPP</w:t>
      </w:r>
      <w:r w:rsidR="000D5C84" w:rsidRPr="00AA4677">
        <w:rPr>
          <w:rFonts w:eastAsia="Times New Roman" w:cs="Times New Roman"/>
          <w:szCs w:val="24"/>
        </w:rPr>
        <w:t>.</w:t>
      </w:r>
    </w:p>
    <w:p w14:paraId="43E31435" w14:textId="510414EC" w:rsidR="003E7C9E" w:rsidRPr="00AA4677" w:rsidRDefault="003E7C9E" w:rsidP="00C57C98">
      <w:pPr>
        <w:pStyle w:val="Heading3"/>
      </w:pPr>
      <w:r w:rsidRPr="00AA4677">
        <w:t>1.10.1 Institutional Official</w:t>
      </w:r>
    </w:p>
    <w:p w14:paraId="798B00C7" w14:textId="78A898D8" w:rsidR="003E7C9E" w:rsidRPr="00AA4677" w:rsidRDefault="003E7C9E" w:rsidP="000B294F">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ultimate responsibility of the HRPP resides with the </w:t>
      </w:r>
      <w:r w:rsidR="00273E2C" w:rsidRPr="00AA4677">
        <w:rPr>
          <w:rFonts w:eastAsia="Times New Roman" w:cs="Times New Roman"/>
          <w:szCs w:val="24"/>
        </w:rPr>
        <w:t>Vice President for Research (VPR)</w:t>
      </w:r>
      <w:r w:rsidR="000B294F" w:rsidRPr="00AA4677">
        <w:rPr>
          <w:rFonts w:eastAsia="Times New Roman" w:cs="Times New Roman"/>
          <w:szCs w:val="24"/>
        </w:rPr>
        <w:t>. The Assistant Vice President for Research Compliance</w:t>
      </w:r>
      <w:r w:rsidRPr="00AA4677">
        <w:rPr>
          <w:rFonts w:eastAsia="Times New Roman" w:cs="Times New Roman"/>
          <w:szCs w:val="24"/>
        </w:rPr>
        <w:t xml:space="preserve"> serves as the </w:t>
      </w:r>
      <w:r w:rsidRPr="00AA4677">
        <w:rPr>
          <w:rFonts w:eastAsia="Times New Roman" w:cs="Times New Roman"/>
          <w:bCs/>
          <w:szCs w:val="24"/>
        </w:rPr>
        <w:t>Institutional Official (IO)</w:t>
      </w:r>
      <w:r w:rsidRPr="00AA4677">
        <w:rPr>
          <w:rFonts w:eastAsia="Times New Roman" w:cs="Times New Roman"/>
          <w:szCs w:val="24"/>
        </w:rPr>
        <w:t xml:space="preserve"> of the program. The </w:t>
      </w:r>
      <w:r w:rsidR="00273E2C" w:rsidRPr="00AA4677">
        <w:rPr>
          <w:rFonts w:eastAsia="Times New Roman" w:cs="Times New Roman"/>
          <w:szCs w:val="24"/>
        </w:rPr>
        <w:t xml:space="preserve">IO </w:t>
      </w:r>
      <w:r w:rsidRPr="00AA4677">
        <w:rPr>
          <w:rFonts w:eastAsia="Times New Roman" w:cs="Times New Roman"/>
          <w:szCs w:val="24"/>
        </w:rPr>
        <w:t xml:space="preserve">is the primary contact at </w:t>
      </w:r>
      <w:r w:rsidR="00737B03" w:rsidRPr="00AA4677">
        <w:rPr>
          <w:rFonts w:eastAsia="Times New Roman" w:cs="Times New Roman"/>
          <w:szCs w:val="24"/>
        </w:rPr>
        <w:t>the</w:t>
      </w:r>
      <w:r w:rsidRPr="00AA4677">
        <w:rPr>
          <w:rFonts w:eastAsia="Times New Roman" w:cs="Times New Roman"/>
          <w:szCs w:val="24"/>
        </w:rPr>
        <w:t xml:space="preserve"> University for the Office for Human Research Protections, Department of Health and Human Services,</w:t>
      </w:r>
      <w:r w:rsidR="007302DB" w:rsidRPr="00AA4677">
        <w:rPr>
          <w:rFonts w:eastAsia="Times New Roman" w:cs="Times New Roman"/>
          <w:szCs w:val="24"/>
        </w:rPr>
        <w:t xml:space="preserve"> and the Food and Drug Administration</w:t>
      </w:r>
      <w:r w:rsidR="00273E2C" w:rsidRPr="00AA4677">
        <w:rPr>
          <w:rFonts w:eastAsia="Times New Roman" w:cs="Times New Roman"/>
          <w:szCs w:val="24"/>
        </w:rPr>
        <w:t xml:space="preserve">. The IO, in close partnership with the </w:t>
      </w:r>
      <w:r w:rsidR="00F82E75" w:rsidRPr="00AA4677">
        <w:rPr>
          <w:rFonts w:eastAsia="Times New Roman" w:cs="Times New Roman"/>
          <w:szCs w:val="24"/>
        </w:rPr>
        <w:t xml:space="preserve">Vice President for </w:t>
      </w:r>
      <w:r w:rsidR="000B294F" w:rsidRPr="00AA4677">
        <w:rPr>
          <w:rFonts w:eastAsia="Times New Roman" w:cs="Times New Roman"/>
          <w:szCs w:val="24"/>
        </w:rPr>
        <w:t>Research</w:t>
      </w:r>
      <w:r w:rsidR="00F82E75" w:rsidRPr="00AA4677">
        <w:rPr>
          <w:rFonts w:eastAsia="Times New Roman" w:cs="Times New Roman"/>
          <w:szCs w:val="24"/>
        </w:rPr>
        <w:t xml:space="preserve"> </w:t>
      </w:r>
      <w:r w:rsidR="00146256" w:rsidRPr="00AA4677">
        <w:rPr>
          <w:rFonts w:eastAsia="Times New Roman" w:cs="Times New Roman"/>
          <w:szCs w:val="24"/>
        </w:rPr>
        <w:t>(see Section 1.11.1)</w:t>
      </w:r>
      <w:r w:rsidR="007302DB" w:rsidRPr="00AA4677">
        <w:rPr>
          <w:rFonts w:eastAsia="Times New Roman" w:cs="Times New Roman"/>
          <w:szCs w:val="24"/>
        </w:rPr>
        <w:t>,</w:t>
      </w:r>
      <w:r w:rsidRPr="00AA4677">
        <w:rPr>
          <w:rFonts w:eastAsia="Times New Roman" w:cs="Times New Roman"/>
          <w:szCs w:val="24"/>
        </w:rPr>
        <w:t xml:space="preserve"> </w:t>
      </w:r>
      <w:r w:rsidR="00273E2C" w:rsidRPr="00AA4677">
        <w:rPr>
          <w:rFonts w:eastAsia="Times New Roman" w:cs="Times New Roman"/>
          <w:szCs w:val="24"/>
        </w:rPr>
        <w:t>has ultimate responsibility for</w:t>
      </w:r>
      <w:r w:rsidR="008729FF" w:rsidRPr="00AA4677">
        <w:rPr>
          <w:rFonts w:eastAsia="Times New Roman" w:cs="Times New Roman"/>
          <w:szCs w:val="24"/>
        </w:rPr>
        <w:t xml:space="preserve"> oversight of</w:t>
      </w:r>
      <w:r w:rsidRPr="00AA4677">
        <w:rPr>
          <w:rFonts w:eastAsia="Times New Roman" w:cs="Times New Roman"/>
          <w:szCs w:val="24"/>
        </w:rPr>
        <w:t>:</w:t>
      </w:r>
    </w:p>
    <w:p w14:paraId="64A9D617" w14:textId="5E1DD5D9" w:rsidR="003E7C9E" w:rsidRPr="00AA4677" w:rsidRDefault="008729FF">
      <w:pPr>
        <w:numPr>
          <w:ilvl w:val="0"/>
          <w:numId w:val="293"/>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273E2C" w:rsidRPr="00AA4677">
        <w:rPr>
          <w:rFonts w:eastAsia="Times New Roman" w:cs="Times New Roman"/>
          <w:szCs w:val="24"/>
        </w:rPr>
        <w:t>he d</w:t>
      </w:r>
      <w:r w:rsidR="003E7C9E" w:rsidRPr="00AA4677">
        <w:rPr>
          <w:rFonts w:eastAsia="Times New Roman" w:cs="Times New Roman"/>
          <w:szCs w:val="24"/>
        </w:rPr>
        <w:t>evelop</w:t>
      </w:r>
      <w:r w:rsidR="00273E2C" w:rsidRPr="00AA4677">
        <w:rPr>
          <w:rFonts w:eastAsia="Times New Roman" w:cs="Times New Roman"/>
          <w:szCs w:val="24"/>
        </w:rPr>
        <w:t xml:space="preserve">ment, </w:t>
      </w:r>
      <w:r w:rsidR="003E7C9E" w:rsidRPr="00AA4677">
        <w:rPr>
          <w:rFonts w:eastAsia="Times New Roman" w:cs="Times New Roman"/>
          <w:szCs w:val="24"/>
        </w:rPr>
        <w:t>manag</w:t>
      </w:r>
      <w:r w:rsidR="00273E2C" w:rsidRPr="00AA4677">
        <w:rPr>
          <w:rFonts w:eastAsia="Times New Roman" w:cs="Times New Roman"/>
          <w:szCs w:val="24"/>
        </w:rPr>
        <w:t xml:space="preserve">ement </w:t>
      </w:r>
      <w:r w:rsidR="003E7C9E" w:rsidRPr="00AA4677">
        <w:rPr>
          <w:rFonts w:eastAsia="Times New Roman" w:cs="Times New Roman"/>
          <w:szCs w:val="24"/>
        </w:rPr>
        <w:t>and evaluati</w:t>
      </w:r>
      <w:r w:rsidR="00273E2C" w:rsidRPr="00AA4677">
        <w:rPr>
          <w:rFonts w:eastAsia="Times New Roman" w:cs="Times New Roman"/>
          <w:szCs w:val="24"/>
        </w:rPr>
        <w:t>on of</w:t>
      </w:r>
      <w:r w:rsidR="003E7C9E" w:rsidRPr="00AA4677">
        <w:rPr>
          <w:rFonts w:eastAsia="Times New Roman" w:cs="Times New Roman"/>
          <w:szCs w:val="24"/>
        </w:rPr>
        <w:t xml:space="preserve"> policies and procedures that ensure compliance with all </w:t>
      </w:r>
      <w:proofErr w:type="gramStart"/>
      <w:r w:rsidR="003E7C9E" w:rsidRPr="00AA4677">
        <w:rPr>
          <w:rFonts w:eastAsia="Times New Roman" w:cs="Times New Roman"/>
          <w:szCs w:val="24"/>
        </w:rPr>
        <w:t>state</w:t>
      </w:r>
      <w:proofErr w:type="gramEnd"/>
      <w:r w:rsidR="003E7C9E" w:rsidRPr="00AA4677">
        <w:rPr>
          <w:rFonts w:eastAsia="Times New Roman" w:cs="Times New Roman"/>
          <w:szCs w:val="24"/>
        </w:rPr>
        <w:t>, and federal regulations governing research.  This includes monitoring changes in regulations and policies that relate to human research protection and overseeing all aspects of the HRPP program.</w:t>
      </w:r>
    </w:p>
    <w:p w14:paraId="62871DAD" w14:textId="37160F6F" w:rsidR="003E7C9E" w:rsidRPr="00AA4677" w:rsidRDefault="008729FF">
      <w:pPr>
        <w:numPr>
          <w:ilvl w:val="0"/>
          <w:numId w:val="29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0B294F" w:rsidRPr="00AA4677">
        <w:rPr>
          <w:rFonts w:eastAsia="Times New Roman" w:cs="Times New Roman"/>
          <w:szCs w:val="24"/>
        </w:rPr>
        <w:t>Institutional Review Board</w:t>
      </w:r>
      <w:r w:rsidR="003E7C9E" w:rsidRPr="00AA4677">
        <w:rPr>
          <w:rFonts w:eastAsia="Times New Roman" w:cs="Times New Roman"/>
          <w:szCs w:val="24"/>
        </w:rPr>
        <w:t xml:space="preserve"> and </w:t>
      </w:r>
      <w:r w:rsidR="00737B03" w:rsidRPr="00AA4677">
        <w:rPr>
          <w:rFonts w:eastAsia="Times New Roman" w:cs="Times New Roman"/>
          <w:szCs w:val="24"/>
        </w:rPr>
        <w:t>University</w:t>
      </w:r>
      <w:r w:rsidR="003E7C9E" w:rsidRPr="00AA4677">
        <w:rPr>
          <w:rFonts w:eastAsia="Times New Roman" w:cs="Times New Roman"/>
          <w:szCs w:val="24"/>
        </w:rPr>
        <w:t xml:space="preserve"> Investigators, ensuring that all are appropriately knowledgeable to conduct research in accordance with ethical standards and applicable regulations</w:t>
      </w:r>
    </w:p>
    <w:p w14:paraId="748A5035" w14:textId="4BB4720A" w:rsidR="003E7C9E" w:rsidRPr="00AA4677" w:rsidRDefault="008729FF">
      <w:pPr>
        <w:numPr>
          <w:ilvl w:val="0"/>
          <w:numId w:val="29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Keeping other a</w:t>
      </w:r>
      <w:r w:rsidR="000B294F" w:rsidRPr="00AA4677">
        <w:rPr>
          <w:rFonts w:eastAsia="Times New Roman" w:cs="Times New Roman"/>
          <w:szCs w:val="24"/>
        </w:rPr>
        <w:t>ppropriate i</w:t>
      </w:r>
      <w:r w:rsidR="003E7C9E" w:rsidRPr="00AA4677">
        <w:rPr>
          <w:rFonts w:eastAsia="Times New Roman" w:cs="Times New Roman"/>
          <w:szCs w:val="24"/>
        </w:rPr>
        <w:t xml:space="preserve">nstitutional officials </w:t>
      </w:r>
      <w:r w:rsidRPr="00AA4677">
        <w:rPr>
          <w:rFonts w:eastAsia="Times New Roman" w:cs="Times New Roman"/>
          <w:szCs w:val="24"/>
        </w:rPr>
        <w:t xml:space="preserve">apprised </w:t>
      </w:r>
      <w:r w:rsidR="003E7C9E" w:rsidRPr="00AA4677">
        <w:rPr>
          <w:rFonts w:eastAsia="Times New Roman" w:cs="Times New Roman"/>
          <w:szCs w:val="24"/>
        </w:rPr>
        <w:t xml:space="preserve">on key matters regarding research </w:t>
      </w:r>
      <w:r w:rsidR="00737B03" w:rsidRPr="00AA4677">
        <w:rPr>
          <w:rFonts w:eastAsia="Times New Roman" w:cs="Times New Roman"/>
          <w:szCs w:val="24"/>
        </w:rPr>
        <w:t>at the University</w:t>
      </w:r>
      <w:r w:rsidR="003E7C9E" w:rsidRPr="00AA4677">
        <w:rPr>
          <w:rFonts w:eastAsia="Times New Roman" w:cs="Times New Roman"/>
          <w:szCs w:val="24"/>
        </w:rPr>
        <w:t>.</w:t>
      </w:r>
    </w:p>
    <w:p w14:paraId="793403B3" w14:textId="1F84E864" w:rsidR="003E7C9E" w:rsidRPr="00AA4677" w:rsidRDefault="003E7C9E">
      <w:pPr>
        <w:numPr>
          <w:ilvl w:val="0"/>
          <w:numId w:val="29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Implement</w:t>
      </w:r>
      <w:r w:rsidR="002F6E72" w:rsidRPr="00AA4677">
        <w:rPr>
          <w:rFonts w:eastAsia="Times New Roman" w:cs="Times New Roman"/>
          <w:szCs w:val="24"/>
        </w:rPr>
        <w:t>ation of</w:t>
      </w:r>
      <w:r w:rsidRPr="00AA4677">
        <w:rPr>
          <w:rFonts w:eastAsia="Times New Roman" w:cs="Times New Roman"/>
          <w:szCs w:val="24"/>
        </w:rPr>
        <w:t xml:space="preserve"> the </w:t>
      </w:r>
      <w:r w:rsidR="00737B03" w:rsidRPr="00AA4677">
        <w:rPr>
          <w:rFonts w:eastAsia="Times New Roman" w:cs="Times New Roman"/>
          <w:szCs w:val="24"/>
        </w:rPr>
        <w:t>University</w:t>
      </w:r>
      <w:r w:rsidRPr="00AA4677">
        <w:rPr>
          <w:rFonts w:eastAsia="Times New Roman" w:cs="Times New Roman"/>
          <w:szCs w:val="24"/>
        </w:rPr>
        <w:t>’s HRPP policy.</w:t>
      </w:r>
    </w:p>
    <w:p w14:paraId="5B7EF35F" w14:textId="79621C4A" w:rsidR="003E7C9E" w:rsidRPr="00AA4677" w:rsidRDefault="003E7C9E">
      <w:pPr>
        <w:numPr>
          <w:ilvl w:val="0"/>
          <w:numId w:val="29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Submi</w:t>
      </w:r>
      <w:r w:rsidR="008729FF" w:rsidRPr="00AA4677">
        <w:rPr>
          <w:rFonts w:eastAsia="Times New Roman" w:cs="Times New Roman"/>
          <w:szCs w:val="24"/>
        </w:rPr>
        <w:t>ssion</w:t>
      </w:r>
      <w:r w:rsidRPr="00AA4677">
        <w:rPr>
          <w:rFonts w:eastAsia="Times New Roman" w:cs="Times New Roman"/>
          <w:szCs w:val="24"/>
        </w:rPr>
        <w:t>, implement</w:t>
      </w:r>
      <w:r w:rsidR="008729FF" w:rsidRPr="00AA4677">
        <w:rPr>
          <w:rFonts w:eastAsia="Times New Roman" w:cs="Times New Roman"/>
          <w:szCs w:val="24"/>
        </w:rPr>
        <w:t>ation</w:t>
      </w:r>
      <w:r w:rsidRPr="00AA4677">
        <w:rPr>
          <w:rFonts w:eastAsia="Times New Roman" w:cs="Times New Roman"/>
          <w:szCs w:val="24"/>
        </w:rPr>
        <w:t xml:space="preserve"> and maint</w:t>
      </w:r>
      <w:r w:rsidR="008729FF" w:rsidRPr="00AA4677">
        <w:rPr>
          <w:rFonts w:eastAsia="Times New Roman" w:cs="Times New Roman"/>
          <w:szCs w:val="24"/>
        </w:rPr>
        <w:t>enance of</w:t>
      </w:r>
      <w:r w:rsidRPr="00AA4677">
        <w:rPr>
          <w:rFonts w:eastAsia="Times New Roman" w:cs="Times New Roman"/>
          <w:szCs w:val="24"/>
        </w:rPr>
        <w:t xml:space="preserve"> an approved FWA through the Department of Health and Human Services Office of Human Research Protection (OHRP).</w:t>
      </w:r>
    </w:p>
    <w:p w14:paraId="304B5B67" w14:textId="7229F84A" w:rsidR="003E7C9E" w:rsidRPr="00AA4677" w:rsidRDefault="00E13DB9">
      <w:pPr>
        <w:numPr>
          <w:ilvl w:val="0"/>
          <w:numId w:val="29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Assess</w:t>
      </w:r>
      <w:r w:rsidR="008729FF" w:rsidRPr="00AA4677">
        <w:rPr>
          <w:rFonts w:eastAsia="Times New Roman" w:cs="Times New Roman"/>
          <w:szCs w:val="24"/>
        </w:rPr>
        <w:t>ment of</w:t>
      </w:r>
      <w:r w:rsidRPr="00AA4677">
        <w:rPr>
          <w:rFonts w:eastAsia="Times New Roman" w:cs="Times New Roman"/>
          <w:szCs w:val="24"/>
        </w:rPr>
        <w:t xml:space="preserve"> </w:t>
      </w:r>
      <w:r w:rsidR="003E7C9E" w:rsidRPr="00AA4677">
        <w:rPr>
          <w:rFonts w:eastAsia="Times New Roman" w:cs="Times New Roman"/>
          <w:szCs w:val="24"/>
        </w:rPr>
        <w:t xml:space="preserve">the </w:t>
      </w:r>
      <w:r w:rsidRPr="00AA4677">
        <w:rPr>
          <w:rFonts w:eastAsia="Times New Roman" w:cs="Times New Roman"/>
          <w:szCs w:val="24"/>
        </w:rPr>
        <w:t>resources</w:t>
      </w:r>
      <w:r w:rsidR="003E7C9E" w:rsidRPr="00AA4677">
        <w:rPr>
          <w:rFonts w:eastAsia="Times New Roman" w:cs="Times New Roman"/>
          <w:szCs w:val="24"/>
        </w:rPr>
        <w:t xml:space="preserve"> of the </w:t>
      </w:r>
      <w:r w:rsidR="00737B03" w:rsidRPr="00AA4677">
        <w:rPr>
          <w:rFonts w:eastAsia="Times New Roman" w:cs="Times New Roman"/>
          <w:szCs w:val="24"/>
        </w:rPr>
        <w:t>University’s</w:t>
      </w:r>
      <w:r w:rsidR="003E7C9E" w:rsidRPr="00AA4677">
        <w:rPr>
          <w:rFonts w:eastAsia="Times New Roman" w:cs="Times New Roman"/>
          <w:szCs w:val="24"/>
        </w:rPr>
        <w:t xml:space="preserve"> HRPP</w:t>
      </w:r>
      <w:r w:rsidR="0029032B" w:rsidRPr="00AA4677">
        <w:rPr>
          <w:rFonts w:eastAsia="Times New Roman" w:cs="Times New Roman"/>
          <w:szCs w:val="24"/>
        </w:rPr>
        <w:t>, including, but not limited to:</w:t>
      </w:r>
    </w:p>
    <w:p w14:paraId="60D5CD1F" w14:textId="77777777" w:rsidR="0029032B" w:rsidRPr="00AA4677" w:rsidRDefault="0029032B" w:rsidP="00C129F1">
      <w:pPr>
        <w:numPr>
          <w:ilvl w:val="1"/>
          <w:numId w:val="2"/>
        </w:numPr>
        <w:tabs>
          <w:tab w:val="clear" w:pos="1080"/>
          <w:tab w:val="num" w:pos="720"/>
        </w:tabs>
        <w:spacing w:after="0" w:line="240" w:lineRule="auto"/>
        <w:ind w:left="720"/>
      </w:pPr>
      <w:r w:rsidRPr="00AA4677">
        <w:t xml:space="preserve">Staffing commensurate with the size and complexity of the research </w:t>
      </w:r>
      <w:proofErr w:type="gramStart"/>
      <w:r w:rsidRPr="00AA4677">
        <w:t>program;</w:t>
      </w:r>
      <w:proofErr w:type="gramEnd"/>
    </w:p>
    <w:p w14:paraId="052B08D0" w14:textId="77777777" w:rsidR="0029032B" w:rsidRPr="00AA4677" w:rsidRDefault="0029032B" w:rsidP="00C129F1">
      <w:pPr>
        <w:numPr>
          <w:ilvl w:val="1"/>
          <w:numId w:val="2"/>
        </w:numPr>
        <w:tabs>
          <w:tab w:val="clear" w:pos="1080"/>
          <w:tab w:val="num" w:pos="720"/>
        </w:tabs>
        <w:spacing w:after="0" w:line="240" w:lineRule="auto"/>
        <w:ind w:left="720"/>
      </w:pPr>
      <w:r w:rsidRPr="00AA4677">
        <w:t xml:space="preserve">Appropriate office space, meeting space, equipment, materials, and </w:t>
      </w:r>
      <w:proofErr w:type="gramStart"/>
      <w:r w:rsidRPr="00AA4677">
        <w:t>technology;</w:t>
      </w:r>
      <w:proofErr w:type="gramEnd"/>
    </w:p>
    <w:p w14:paraId="5EFDD247" w14:textId="77777777" w:rsidR="0029032B" w:rsidRPr="00AA4677" w:rsidRDefault="0029032B" w:rsidP="00C129F1">
      <w:pPr>
        <w:numPr>
          <w:ilvl w:val="1"/>
          <w:numId w:val="2"/>
        </w:numPr>
        <w:tabs>
          <w:tab w:val="clear" w:pos="1080"/>
          <w:tab w:val="num" w:pos="720"/>
        </w:tabs>
        <w:spacing w:after="0" w:line="240" w:lineRule="auto"/>
        <w:ind w:left="720"/>
      </w:pPr>
      <w:r w:rsidRPr="00AA4677">
        <w:t xml:space="preserve">Resources for the production, maintenance, and secure storage of HRPP and IRB </w:t>
      </w:r>
      <w:proofErr w:type="gramStart"/>
      <w:r w:rsidRPr="00AA4677">
        <w:t>records;</w:t>
      </w:r>
      <w:proofErr w:type="gramEnd"/>
    </w:p>
    <w:p w14:paraId="4A78C8E8" w14:textId="77777777" w:rsidR="0029032B" w:rsidRPr="00AA4677" w:rsidRDefault="0029032B" w:rsidP="00C129F1">
      <w:pPr>
        <w:numPr>
          <w:ilvl w:val="1"/>
          <w:numId w:val="2"/>
        </w:numPr>
        <w:tabs>
          <w:tab w:val="clear" w:pos="1080"/>
          <w:tab w:val="num" w:pos="720"/>
        </w:tabs>
        <w:spacing w:after="0" w:line="240" w:lineRule="auto"/>
        <w:ind w:left="720"/>
      </w:pPr>
      <w:r w:rsidRPr="00AA4677">
        <w:t xml:space="preserve">Resources for auditing and other compliance activities and investigation of </w:t>
      </w:r>
      <w:proofErr w:type="gramStart"/>
      <w:r w:rsidRPr="00AA4677">
        <w:t>noncompliance;</w:t>
      </w:r>
      <w:proofErr w:type="gramEnd"/>
    </w:p>
    <w:p w14:paraId="16C04154" w14:textId="77777777" w:rsidR="0029032B" w:rsidRPr="00AA4677" w:rsidRDefault="0029032B" w:rsidP="00C129F1">
      <w:pPr>
        <w:numPr>
          <w:ilvl w:val="1"/>
          <w:numId w:val="2"/>
        </w:numPr>
        <w:tabs>
          <w:tab w:val="clear" w:pos="1080"/>
          <w:tab w:val="num" w:pos="720"/>
        </w:tabs>
        <w:spacing w:after="0" w:line="240" w:lineRule="auto"/>
        <w:ind w:left="720"/>
      </w:pPr>
      <w:r w:rsidRPr="00AA4677">
        <w:t>Access to legal counsel; and</w:t>
      </w:r>
    </w:p>
    <w:p w14:paraId="4F272246" w14:textId="01E3225E" w:rsidR="0029032B" w:rsidRPr="00AA4677" w:rsidRDefault="0029032B" w:rsidP="00C129F1">
      <w:pPr>
        <w:numPr>
          <w:ilvl w:val="1"/>
          <w:numId w:val="2"/>
        </w:numPr>
        <w:tabs>
          <w:tab w:val="clear" w:pos="1080"/>
          <w:tab w:val="num" w:pos="720"/>
        </w:tabs>
        <w:spacing w:after="0" w:line="240" w:lineRule="auto"/>
        <w:ind w:left="720"/>
      </w:pPr>
      <w:r w:rsidRPr="00AA4677">
        <w:t>Ensuring that the IRB, investigators, and staff receive training related to human research protections.</w:t>
      </w:r>
    </w:p>
    <w:p w14:paraId="55FE5ABB" w14:textId="782F3D66" w:rsidR="003E7C9E" w:rsidRPr="00AA4677" w:rsidRDefault="008729FF">
      <w:pPr>
        <w:numPr>
          <w:ilvl w:val="0"/>
          <w:numId w:val="29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Ensuring a</w:t>
      </w:r>
      <w:r w:rsidR="003E7C9E" w:rsidRPr="00AA4677">
        <w:rPr>
          <w:rFonts w:eastAsia="Times New Roman" w:cs="Times New Roman"/>
          <w:szCs w:val="24"/>
        </w:rPr>
        <w:t>ssist</w:t>
      </w:r>
      <w:r w:rsidRPr="00AA4677">
        <w:rPr>
          <w:rFonts w:eastAsia="Times New Roman" w:cs="Times New Roman"/>
          <w:szCs w:val="24"/>
        </w:rPr>
        <w:t xml:space="preserve">ance for </w:t>
      </w:r>
      <w:r w:rsidR="003E7C9E" w:rsidRPr="00AA4677">
        <w:rPr>
          <w:rFonts w:eastAsia="Times New Roman" w:cs="Times New Roman"/>
          <w:szCs w:val="24"/>
        </w:rPr>
        <w:t xml:space="preserve">investigators in their efforts to carry out </w:t>
      </w:r>
      <w:r w:rsidR="00737B03" w:rsidRPr="00AA4677">
        <w:rPr>
          <w:rFonts w:eastAsia="Times New Roman" w:cs="Times New Roman"/>
          <w:szCs w:val="24"/>
        </w:rPr>
        <w:t>U</w:t>
      </w:r>
      <w:r w:rsidR="003E7C9E" w:rsidRPr="00AA4677">
        <w:rPr>
          <w:rFonts w:eastAsia="Times New Roman" w:cs="Times New Roman"/>
          <w:szCs w:val="24"/>
        </w:rPr>
        <w:t>niversity’s research mission.</w:t>
      </w:r>
    </w:p>
    <w:p w14:paraId="19EB8962" w14:textId="665BEAD8" w:rsidR="003E7C9E" w:rsidRPr="00AA4677" w:rsidRDefault="003E7C9E">
      <w:pPr>
        <w:numPr>
          <w:ilvl w:val="0"/>
          <w:numId w:val="29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Develop</w:t>
      </w:r>
      <w:r w:rsidR="008729FF" w:rsidRPr="00AA4677">
        <w:rPr>
          <w:rFonts w:eastAsia="Times New Roman" w:cs="Times New Roman"/>
          <w:szCs w:val="24"/>
        </w:rPr>
        <w:t>ment</w:t>
      </w:r>
      <w:r w:rsidRPr="00AA4677">
        <w:rPr>
          <w:rFonts w:eastAsia="Times New Roman" w:cs="Times New Roman"/>
          <w:szCs w:val="24"/>
        </w:rPr>
        <w:t xml:space="preserve"> and implement</w:t>
      </w:r>
      <w:r w:rsidR="008729FF" w:rsidRPr="00AA4677">
        <w:rPr>
          <w:rFonts w:eastAsia="Times New Roman" w:cs="Times New Roman"/>
          <w:szCs w:val="24"/>
        </w:rPr>
        <w:t>ation of</w:t>
      </w:r>
      <w:r w:rsidRPr="00AA4677">
        <w:rPr>
          <w:rFonts w:eastAsia="Times New Roman" w:cs="Times New Roman"/>
          <w:szCs w:val="24"/>
        </w:rPr>
        <w:t xml:space="preserve"> needed improvements and ensuring follow-up of actions, as appropriate, for the purpose of managing risk in the research program.</w:t>
      </w:r>
    </w:p>
    <w:p w14:paraId="0D434DDB" w14:textId="77777777" w:rsidR="002F6E72" w:rsidRPr="00AA4677" w:rsidRDefault="003E7C9E">
      <w:pPr>
        <w:numPr>
          <w:ilvl w:val="0"/>
          <w:numId w:val="292"/>
        </w:numPr>
        <w:shd w:val="clear" w:color="auto" w:fill="FFFFFF"/>
        <w:spacing w:before="100" w:beforeAutospacing="1" w:after="100" w:afterAutospacing="1" w:line="240" w:lineRule="auto"/>
      </w:pPr>
      <w:r w:rsidRPr="00AA4677">
        <w:rPr>
          <w:rFonts w:eastAsia="Times New Roman" w:cs="Times New Roman"/>
          <w:szCs w:val="24"/>
        </w:rPr>
        <w:t>Develop</w:t>
      </w:r>
      <w:r w:rsidR="008729FF" w:rsidRPr="00AA4677">
        <w:rPr>
          <w:rFonts w:eastAsia="Times New Roman" w:cs="Times New Roman"/>
          <w:szCs w:val="24"/>
        </w:rPr>
        <w:t>ment of</w:t>
      </w:r>
      <w:r w:rsidRPr="00AA4677">
        <w:rPr>
          <w:rFonts w:eastAsia="Times New Roman" w:cs="Times New Roman"/>
          <w:szCs w:val="24"/>
        </w:rPr>
        <w:t xml:space="preserve"> training requirements as required and as appropriate for investigators, subcommittee members and research staff, and ensuring that training is completed on a timely basis. </w:t>
      </w:r>
    </w:p>
    <w:p w14:paraId="07533406" w14:textId="5183040E" w:rsidR="002F6E72" w:rsidRPr="00AA4677" w:rsidRDefault="002F6E72">
      <w:pPr>
        <w:numPr>
          <w:ilvl w:val="0"/>
          <w:numId w:val="292"/>
        </w:numPr>
        <w:shd w:val="clear" w:color="auto" w:fill="FFFFFF"/>
        <w:spacing w:before="100" w:beforeAutospacing="1" w:after="100" w:afterAutospacing="1" w:line="240" w:lineRule="auto"/>
      </w:pPr>
      <w:r w:rsidRPr="00AA4677">
        <w:rPr>
          <w:rFonts w:eastAsia="Times New Roman" w:cs="Times New Roman"/>
          <w:szCs w:val="24"/>
        </w:rPr>
        <w:lastRenderedPageBreak/>
        <w:t>Periodic evaluation of the Emergency Preparedness and Response Plan</w:t>
      </w:r>
      <w:r w:rsidR="00F15F51" w:rsidRPr="00AA4677">
        <w:rPr>
          <w:rFonts w:eastAsia="Times New Roman" w:cs="Times New Roman"/>
          <w:szCs w:val="24"/>
        </w:rPr>
        <w:t xml:space="preserve"> as well as educational materials</w:t>
      </w:r>
      <w:r w:rsidRPr="00AA4677">
        <w:rPr>
          <w:rFonts w:eastAsia="Times New Roman" w:cs="Times New Roman"/>
          <w:szCs w:val="24"/>
        </w:rPr>
        <w:t xml:space="preserve"> and making changes when appropriate. This includes defining actions the organization may take during emergencies regarding the continuation of research.</w:t>
      </w:r>
    </w:p>
    <w:p w14:paraId="644C0A36" w14:textId="0DF927E4" w:rsidR="003E7C9E" w:rsidRPr="00AA4677" w:rsidRDefault="007926F2" w:rsidP="00C57C98">
      <w:pPr>
        <w:pStyle w:val="Heading3"/>
      </w:pPr>
      <w:r w:rsidRPr="00AA4677">
        <w:t>1.10.2</w:t>
      </w:r>
      <w:r w:rsidR="003E7C9E" w:rsidRPr="00AA4677">
        <w:t> University Counsel’s Office</w:t>
      </w:r>
    </w:p>
    <w:p w14:paraId="54309361" w14:textId="0CE5766B"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737B03" w:rsidRPr="00AA4677">
        <w:rPr>
          <w:rFonts w:eastAsia="Times New Roman" w:cs="Times New Roman"/>
          <w:szCs w:val="24"/>
        </w:rPr>
        <w:t>University’s</w:t>
      </w:r>
      <w:r w:rsidRPr="00AA4677">
        <w:rPr>
          <w:rFonts w:eastAsia="Times New Roman" w:cs="Times New Roman"/>
          <w:szCs w:val="24"/>
        </w:rPr>
        <w:t xml:space="preserve"> HRPP relies on the University</w:t>
      </w:r>
      <w:r w:rsidR="007926F2" w:rsidRPr="00AA4677">
        <w:rPr>
          <w:rFonts w:eastAsia="Times New Roman" w:cs="Times New Roman"/>
          <w:szCs w:val="24"/>
        </w:rPr>
        <w:t xml:space="preserve"> Counsel for the interpretation and application</w:t>
      </w:r>
      <w:r w:rsidRPr="00AA4677">
        <w:rPr>
          <w:rFonts w:eastAsia="Times New Roman" w:cs="Times New Roman"/>
          <w:szCs w:val="24"/>
        </w:rPr>
        <w:t xml:space="preserve"> of New York State law and the laws of any other jurisdiction</w:t>
      </w:r>
      <w:r w:rsidR="007926F2" w:rsidRPr="00AA4677">
        <w:rPr>
          <w:rFonts w:eastAsia="Times New Roman" w:cs="Times New Roman"/>
          <w:szCs w:val="24"/>
        </w:rPr>
        <w:t>s</w:t>
      </w:r>
      <w:r w:rsidRPr="00AA4677">
        <w:rPr>
          <w:rFonts w:eastAsia="Times New Roman" w:cs="Times New Roman"/>
          <w:szCs w:val="24"/>
        </w:rPr>
        <w:t xml:space="preserve"> where research is conducted as they apply to human subject research.</w:t>
      </w:r>
    </w:p>
    <w:p w14:paraId="6692E14E" w14:textId="5D37585D" w:rsidR="003E7C9E" w:rsidRPr="00AA4677" w:rsidRDefault="007926F2" w:rsidP="00C57C98">
      <w:pPr>
        <w:pStyle w:val="Heading3"/>
      </w:pPr>
      <w:r w:rsidRPr="00AA4677">
        <w:t>1.10.3</w:t>
      </w:r>
      <w:r w:rsidR="003E7C9E" w:rsidRPr="00AA4677">
        <w:t> The Investigator</w:t>
      </w:r>
    </w:p>
    <w:p w14:paraId="2BDA4AD9" w14:textId="6225D811"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investigator is the ultimate protector of the human subjects who participate in research.  The investigator is expected to abide by the highest ethical standards and to develop a protocol that incorporates the principles of the Belmont Report.  He/she is expected to conduct research in accordance with the approved research protocol and to oversee all aspects of the research by providing supervision of support staff, including oversight of the informed consent process.  All subjects must give informed consent </w:t>
      </w:r>
      <w:r w:rsidR="007302DB" w:rsidRPr="00AA4677">
        <w:rPr>
          <w:rFonts w:eastAsia="Times New Roman" w:cs="Times New Roman"/>
          <w:szCs w:val="24"/>
        </w:rPr>
        <w:t xml:space="preserve">(unless a waiver of informed consent is granted by the IRB) </w:t>
      </w:r>
      <w:r w:rsidRPr="00AA4677">
        <w:rPr>
          <w:rFonts w:eastAsia="Times New Roman" w:cs="Times New Roman"/>
          <w:szCs w:val="24"/>
        </w:rPr>
        <w:t>and the investigator must establish and maintain an open line of communication with all research subjects within his/her responsibility.  In addition to complying wi</w:t>
      </w:r>
      <w:r w:rsidR="00A015A1" w:rsidRPr="00AA4677">
        <w:rPr>
          <w:rFonts w:eastAsia="Times New Roman" w:cs="Times New Roman"/>
          <w:szCs w:val="24"/>
        </w:rPr>
        <w:t>th</w:t>
      </w:r>
      <w:r w:rsidRPr="00AA4677">
        <w:rPr>
          <w:rFonts w:eastAsia="Times New Roman" w:cs="Times New Roman"/>
          <w:szCs w:val="24"/>
        </w:rPr>
        <w:t xml:space="preserve"> all the policies and standards of the governing regulatory </w:t>
      </w:r>
      <w:r w:rsidR="00A015A1" w:rsidRPr="00AA4677">
        <w:rPr>
          <w:rFonts w:eastAsia="Times New Roman" w:cs="Times New Roman"/>
          <w:szCs w:val="24"/>
        </w:rPr>
        <w:t>bodies,</w:t>
      </w:r>
      <w:r w:rsidRPr="00AA4677">
        <w:rPr>
          <w:rFonts w:eastAsia="Times New Roman" w:cs="Times New Roman"/>
          <w:szCs w:val="24"/>
        </w:rPr>
        <w:t xml:space="preserve"> the investigator must comply with institutional and administrative requirements for conducting research.  The investigator is responsible for ensuring t</w:t>
      </w:r>
      <w:r w:rsidR="007926F2" w:rsidRPr="00AA4677">
        <w:rPr>
          <w:rFonts w:eastAsia="Times New Roman" w:cs="Times New Roman"/>
          <w:szCs w:val="24"/>
        </w:rPr>
        <w:t>hat all research staff complete</w:t>
      </w:r>
      <w:r w:rsidRPr="00AA4677">
        <w:rPr>
          <w:rFonts w:eastAsia="Times New Roman" w:cs="Times New Roman"/>
          <w:szCs w:val="24"/>
        </w:rPr>
        <w:t xml:space="preserve"> appropriate training and must obtain all required approvals prior to initiating research.  When investigational drugs or devices are used, the investigator is responsible for </w:t>
      </w:r>
      <w:r w:rsidR="007302DB" w:rsidRPr="00AA4677">
        <w:rPr>
          <w:rFonts w:eastAsia="Times New Roman" w:cs="Times New Roman"/>
          <w:szCs w:val="24"/>
        </w:rPr>
        <w:t xml:space="preserve">ceding oversight to the research pharmacy (for investigational drugs), or </w:t>
      </w:r>
      <w:r w:rsidRPr="00AA4677">
        <w:rPr>
          <w:rFonts w:eastAsia="Times New Roman" w:cs="Times New Roman"/>
          <w:szCs w:val="24"/>
        </w:rPr>
        <w:t>providing</w:t>
      </w:r>
      <w:r w:rsidR="007302DB" w:rsidRPr="00AA4677">
        <w:rPr>
          <w:rFonts w:eastAsia="Times New Roman" w:cs="Times New Roman"/>
          <w:szCs w:val="24"/>
        </w:rPr>
        <w:t xml:space="preserve"> </w:t>
      </w:r>
      <w:r w:rsidRPr="00AA4677">
        <w:rPr>
          <w:rFonts w:eastAsia="Times New Roman" w:cs="Times New Roman"/>
          <w:szCs w:val="24"/>
        </w:rPr>
        <w:t>written procedures for their storage, security, dispensing and disposal.</w:t>
      </w:r>
    </w:p>
    <w:p w14:paraId="707634AE" w14:textId="1DB112B0" w:rsidR="003E7C9E" w:rsidRPr="00AA4677" w:rsidRDefault="007926F2" w:rsidP="00C57C98">
      <w:pPr>
        <w:pStyle w:val="Heading3"/>
      </w:pPr>
      <w:r w:rsidRPr="00AA4677">
        <w:t>1.10.4</w:t>
      </w:r>
      <w:r w:rsidR="003E7C9E" w:rsidRPr="00AA4677">
        <w:t> Other Related Units</w:t>
      </w:r>
    </w:p>
    <w:p w14:paraId="01CFECDA" w14:textId="410BF9D5" w:rsidR="003E7C9E" w:rsidRPr="00AA4677" w:rsidRDefault="003E7C9E" w:rsidP="001D3801">
      <w:pPr>
        <w:pStyle w:val="Heading4"/>
      </w:pPr>
      <w:r w:rsidRPr="00AA4677">
        <w:t>1</w:t>
      </w:r>
      <w:r w:rsidR="007926F2" w:rsidRPr="00AA4677">
        <w:t>.10.4</w:t>
      </w:r>
      <w:r w:rsidRPr="00AA4677">
        <w:t>.1 Office of Sponsored Programs (OSP)</w:t>
      </w:r>
    </w:p>
    <w:p w14:paraId="20BE2191" w14:textId="3CFAE483" w:rsidR="003E7C9E" w:rsidRPr="00AA4677" w:rsidRDefault="003E7C9E" w:rsidP="000117C5">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Office of Sponsored Program (OSP) staff review all research grants and agreements with federal, foundation, for-profit or non-profit sponsors. This institutional review ensures that all terms of</w:t>
      </w:r>
      <w:r w:rsidR="00825855" w:rsidRPr="00AA4677">
        <w:rPr>
          <w:rFonts w:eastAsia="Times New Roman" w:cs="Times New Roman"/>
          <w:szCs w:val="24"/>
        </w:rPr>
        <w:t xml:space="preserve"> an</w:t>
      </w:r>
      <w:r w:rsidRPr="00AA4677">
        <w:rPr>
          <w:rFonts w:eastAsia="Times New Roman" w:cs="Times New Roman"/>
          <w:szCs w:val="24"/>
        </w:rPr>
        <w:t xml:space="preserve"> award </w:t>
      </w:r>
      <w:proofErr w:type="gramStart"/>
      <w:r w:rsidRPr="00AA4677">
        <w:rPr>
          <w:rFonts w:eastAsia="Times New Roman" w:cs="Times New Roman"/>
          <w:szCs w:val="24"/>
        </w:rPr>
        <w:t>are in compliance with</w:t>
      </w:r>
      <w:proofErr w:type="gramEnd"/>
      <w:r w:rsidRPr="00AA4677">
        <w:rPr>
          <w:rFonts w:eastAsia="Times New Roman" w:cs="Times New Roman"/>
          <w:szCs w:val="24"/>
        </w:rPr>
        <w:t xml:space="preserve"> institutional and federal policies. Only designated individuals within OSP have the signature authority to approve and submit research proposals and to execute research grants and agreements on behalf of the </w:t>
      </w:r>
      <w:r w:rsidR="00825855" w:rsidRPr="00AA4677">
        <w:rPr>
          <w:rFonts w:eastAsia="Times New Roman" w:cs="Times New Roman"/>
          <w:szCs w:val="24"/>
        </w:rPr>
        <w:t>University</w:t>
      </w:r>
      <w:r w:rsidRPr="00AA4677">
        <w:rPr>
          <w:rFonts w:eastAsia="Times New Roman" w:cs="Times New Roman"/>
          <w:szCs w:val="24"/>
        </w:rPr>
        <w:t>. As a further control, internal documents retained by OSP as part of the application process for extramural funding include information pertaining to IRB approval status, and investigator conflict of interest disclosure.</w:t>
      </w:r>
    </w:p>
    <w:p w14:paraId="391A7E43" w14:textId="23DBDD22" w:rsidR="003E7C9E" w:rsidRPr="00AA4677" w:rsidRDefault="003E7C9E" w:rsidP="000117C5">
      <w:pPr>
        <w:shd w:val="clear" w:color="auto" w:fill="FFFFFF"/>
        <w:spacing w:before="100" w:beforeAutospacing="1" w:after="100" w:afterAutospacing="1" w:line="240" w:lineRule="auto"/>
        <w:rPr>
          <w:rFonts w:eastAsia="Times New Roman" w:cs="Times New Roman"/>
          <w:szCs w:val="24"/>
        </w:rPr>
      </w:pPr>
      <w:bookmarkStart w:id="27" w:name="_Hlk192159109"/>
      <w:r w:rsidRPr="00AA4677">
        <w:rPr>
          <w:rFonts w:eastAsia="Times New Roman" w:cs="Times New Roman"/>
          <w:szCs w:val="24"/>
        </w:rPr>
        <w:lastRenderedPageBreak/>
        <w:t xml:space="preserve">When the grant or contract agreement includes human research activities that will be conducted by investigators who are not employees or agents of </w:t>
      </w:r>
      <w:r w:rsidR="00170C07" w:rsidRPr="00AA4677">
        <w:rPr>
          <w:rFonts w:eastAsia="Times New Roman" w:cs="Times New Roman"/>
          <w:szCs w:val="24"/>
        </w:rPr>
        <w:t>the University</w:t>
      </w:r>
      <w:r w:rsidRPr="00AA4677">
        <w:rPr>
          <w:rFonts w:eastAsia="Times New Roman" w:cs="Times New Roman"/>
          <w:szCs w:val="24"/>
        </w:rPr>
        <w:t xml:space="preserve">, a subcontract is executed between </w:t>
      </w:r>
      <w:r w:rsidR="00170C07" w:rsidRPr="00AA4677">
        <w:rPr>
          <w:rFonts w:eastAsia="Times New Roman" w:cs="Times New Roman"/>
          <w:szCs w:val="24"/>
        </w:rPr>
        <w:t>the University</w:t>
      </w:r>
      <w:r w:rsidRPr="00AA4677">
        <w:rPr>
          <w:rFonts w:eastAsia="Times New Roman" w:cs="Times New Roman"/>
          <w:szCs w:val="24"/>
        </w:rPr>
        <w:t xml:space="preserve"> and the collaborating institution. The subcontract includes the </w:t>
      </w:r>
      <w:bookmarkStart w:id="28" w:name="_Hlk192159126"/>
      <w:bookmarkEnd w:id="27"/>
      <w:r w:rsidRPr="00AA4677">
        <w:rPr>
          <w:rFonts w:eastAsia="Times New Roman" w:cs="Times New Roman"/>
          <w:szCs w:val="24"/>
        </w:rPr>
        <w:t>requirement for the collaborating institution to assure compliance with federal regulations for the protection of human subjects in research</w:t>
      </w:r>
      <w:r w:rsidR="00E13DB9" w:rsidRPr="00AA4677">
        <w:rPr>
          <w:rFonts w:eastAsia="Times New Roman" w:cs="Times New Roman"/>
          <w:szCs w:val="24"/>
        </w:rPr>
        <w:t xml:space="preserve">. For unfunded collaborations, a subcontract is not executed, but </w:t>
      </w:r>
      <w:r w:rsidR="00877DBD" w:rsidRPr="00AA4677">
        <w:rPr>
          <w:rFonts w:eastAsia="Times New Roman" w:cs="Times New Roman"/>
          <w:szCs w:val="24"/>
        </w:rPr>
        <w:t xml:space="preserve">the </w:t>
      </w:r>
      <w:r w:rsidR="00E13DB9" w:rsidRPr="00AA4677">
        <w:rPr>
          <w:rFonts w:eastAsia="Times New Roman" w:cs="Times New Roman"/>
          <w:szCs w:val="24"/>
        </w:rPr>
        <w:t>O</w:t>
      </w:r>
      <w:r w:rsidR="00877DBD" w:rsidRPr="00AA4677">
        <w:rPr>
          <w:rFonts w:eastAsia="Times New Roman" w:cs="Times New Roman"/>
          <w:szCs w:val="24"/>
        </w:rPr>
        <w:t xml:space="preserve">ffice of </w:t>
      </w:r>
      <w:r w:rsidR="00E13DB9" w:rsidRPr="00AA4677">
        <w:rPr>
          <w:rFonts w:eastAsia="Times New Roman" w:cs="Times New Roman"/>
          <w:szCs w:val="24"/>
        </w:rPr>
        <w:t>S</w:t>
      </w:r>
      <w:r w:rsidR="00877DBD" w:rsidRPr="00AA4677">
        <w:rPr>
          <w:rFonts w:eastAsia="Times New Roman" w:cs="Times New Roman"/>
          <w:szCs w:val="24"/>
        </w:rPr>
        <w:t xml:space="preserve">ponsored </w:t>
      </w:r>
      <w:r w:rsidR="00E13DB9" w:rsidRPr="00AA4677">
        <w:rPr>
          <w:rFonts w:eastAsia="Times New Roman" w:cs="Times New Roman"/>
          <w:szCs w:val="24"/>
        </w:rPr>
        <w:t>P</w:t>
      </w:r>
      <w:r w:rsidR="00877DBD" w:rsidRPr="00AA4677">
        <w:rPr>
          <w:rFonts w:eastAsia="Times New Roman" w:cs="Times New Roman"/>
          <w:szCs w:val="24"/>
        </w:rPr>
        <w:t>rograms</w:t>
      </w:r>
      <w:r w:rsidR="00E13DB9" w:rsidRPr="00AA4677">
        <w:rPr>
          <w:rFonts w:eastAsia="Times New Roman" w:cs="Times New Roman"/>
          <w:szCs w:val="24"/>
        </w:rPr>
        <w:t xml:space="preserve"> nonetheless verifies </w:t>
      </w:r>
      <w:r w:rsidR="00E13DB9" w:rsidRPr="00AA4677">
        <w:rPr>
          <w:szCs w:val="24"/>
          <w:shd w:val="clear" w:color="auto" w:fill="FFFFFF"/>
        </w:rPr>
        <w:t>compliance by the other institution (e.g., copy of their IRB approval, etc.).</w:t>
      </w:r>
    </w:p>
    <w:bookmarkEnd w:id="28"/>
    <w:p w14:paraId="486A9EDD" w14:textId="5DA9E291" w:rsidR="003E7C9E" w:rsidRPr="00AA4677" w:rsidRDefault="007926F2" w:rsidP="001D3801">
      <w:pPr>
        <w:pStyle w:val="Heading4"/>
      </w:pPr>
      <w:r w:rsidRPr="00AA4677">
        <w:t>1.10.4.2 </w:t>
      </w:r>
      <w:r w:rsidR="003E7C9E" w:rsidRPr="00AA4677">
        <w:t>Pharmacy</w:t>
      </w:r>
    </w:p>
    <w:p w14:paraId="3D5D6BE9" w14:textId="61B5F78F" w:rsidR="003E7C9E" w:rsidRPr="00AA4677" w:rsidRDefault="003E7C9E" w:rsidP="000117C5">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Pharmacists from the Investigational Drug Service (IDS) within </w:t>
      </w:r>
      <w:r w:rsidR="00825855" w:rsidRPr="00AA4677">
        <w:rPr>
          <w:rFonts w:eastAsia="Times New Roman" w:cs="Times New Roman"/>
          <w:szCs w:val="24"/>
        </w:rPr>
        <w:t>University’s</w:t>
      </w:r>
      <w:r w:rsidRPr="00AA4677">
        <w:rPr>
          <w:rFonts w:eastAsia="Times New Roman" w:cs="Times New Roman"/>
          <w:szCs w:val="24"/>
        </w:rPr>
        <w:t xml:space="preserve"> Hospital Pharmacy Department serve as consultants</w:t>
      </w:r>
      <w:r w:rsidR="00485DF3" w:rsidRPr="00AA4677">
        <w:rPr>
          <w:rFonts w:eastAsia="Times New Roman" w:cs="Times New Roman"/>
          <w:szCs w:val="24"/>
        </w:rPr>
        <w:t xml:space="preserve"> </w:t>
      </w:r>
      <w:proofErr w:type="gramStart"/>
      <w:r w:rsidR="005B5ABE" w:rsidRPr="00AA4677">
        <w:rPr>
          <w:rFonts w:eastAsia="Times New Roman" w:cs="Times New Roman"/>
          <w:szCs w:val="24"/>
        </w:rPr>
        <w:t>to</w:t>
      </w:r>
      <w:proofErr w:type="gramEnd"/>
      <w:r w:rsidR="005B5ABE" w:rsidRPr="00AA4677">
        <w:rPr>
          <w:rFonts w:eastAsia="Times New Roman" w:cs="Times New Roman"/>
          <w:szCs w:val="24"/>
        </w:rPr>
        <w:t xml:space="preserve">, and/or IRB members on the </w:t>
      </w:r>
      <w:r w:rsidR="00EE7207" w:rsidRPr="00AA4677">
        <w:rPr>
          <w:rFonts w:eastAsia="Times New Roman" w:cs="Times New Roman"/>
          <w:szCs w:val="24"/>
        </w:rPr>
        <w:t>IRB</w:t>
      </w:r>
      <w:r w:rsidRPr="00AA4677">
        <w:rPr>
          <w:rFonts w:eastAsia="Times New Roman" w:cs="Times New Roman"/>
          <w:szCs w:val="24"/>
        </w:rPr>
        <w:t>. They receive minutes from all</w:t>
      </w:r>
      <w:r w:rsidR="000D5C84"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meetings and applicable correspondence from </w:t>
      </w:r>
      <w:r w:rsidR="00825855" w:rsidRPr="00AA4677">
        <w:rPr>
          <w:rFonts w:eastAsia="Times New Roman" w:cs="Times New Roman"/>
          <w:szCs w:val="24"/>
        </w:rPr>
        <w:t xml:space="preserve">the University’s </w:t>
      </w:r>
      <w:r w:rsidRPr="00AA4677">
        <w:rPr>
          <w:rFonts w:eastAsia="Times New Roman" w:cs="Times New Roman"/>
          <w:szCs w:val="24"/>
        </w:rPr>
        <w:t xml:space="preserve">off-site IRBs allowing the Pharmacy to have complete information about all IRB approved research that takes place at </w:t>
      </w:r>
      <w:r w:rsidR="00825855" w:rsidRPr="00AA4677">
        <w:rPr>
          <w:rFonts w:eastAsia="Times New Roman" w:cs="Times New Roman"/>
          <w:szCs w:val="24"/>
        </w:rPr>
        <w:t xml:space="preserve">the </w:t>
      </w:r>
      <w:r w:rsidRPr="00AA4677">
        <w:rPr>
          <w:rFonts w:eastAsia="Times New Roman" w:cs="Times New Roman"/>
          <w:szCs w:val="24"/>
        </w:rPr>
        <w:t>U</w:t>
      </w:r>
      <w:r w:rsidR="00825855" w:rsidRPr="00AA4677">
        <w:rPr>
          <w:rFonts w:eastAsia="Times New Roman" w:cs="Times New Roman"/>
          <w:szCs w:val="24"/>
        </w:rPr>
        <w:t>niversity</w:t>
      </w:r>
      <w:r w:rsidRPr="00AA4677">
        <w:rPr>
          <w:rFonts w:eastAsia="Times New Roman" w:cs="Times New Roman"/>
          <w:szCs w:val="24"/>
        </w:rPr>
        <w:t xml:space="preserve"> and under its jurisdiction. The Pharmacists assure that information about all studies involving drugs used in research </w:t>
      </w:r>
      <w:r w:rsidR="00825855" w:rsidRPr="00AA4677">
        <w:rPr>
          <w:rFonts w:eastAsia="Times New Roman" w:cs="Times New Roman"/>
          <w:szCs w:val="24"/>
        </w:rPr>
        <w:t>is</w:t>
      </w:r>
      <w:r w:rsidRPr="00AA4677">
        <w:rPr>
          <w:rFonts w:eastAsia="Times New Roman" w:cs="Times New Roman"/>
          <w:szCs w:val="24"/>
        </w:rPr>
        <w:t xml:space="preserve"> shared with the Pharmacy </w:t>
      </w:r>
      <w:r w:rsidR="000D5C84" w:rsidRPr="00AA4677">
        <w:rPr>
          <w:rFonts w:eastAsia="Times New Roman" w:cs="Times New Roman"/>
          <w:szCs w:val="24"/>
        </w:rPr>
        <w:t>s</w:t>
      </w:r>
      <w:r w:rsidRPr="00AA4677">
        <w:rPr>
          <w:rFonts w:eastAsia="Times New Roman" w:cs="Times New Roman"/>
          <w:szCs w:val="24"/>
        </w:rPr>
        <w:t xml:space="preserve">taff as appropriate. The </w:t>
      </w:r>
      <w:r w:rsidR="00825855" w:rsidRPr="00AA4677">
        <w:rPr>
          <w:rFonts w:eastAsia="Times New Roman" w:cs="Times New Roman"/>
          <w:szCs w:val="24"/>
        </w:rPr>
        <w:t>University’s</w:t>
      </w:r>
      <w:r w:rsidRPr="00AA4677">
        <w:rPr>
          <w:rFonts w:eastAsia="Times New Roman" w:cs="Times New Roman"/>
          <w:szCs w:val="24"/>
        </w:rPr>
        <w:t xml:space="preserve"> Hospital Pharmacy and Therapeutics Committee is made aware of research involving drugs that is reviewed by </w:t>
      </w:r>
      <w:r w:rsidR="000D5C8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w:t>
      </w:r>
    </w:p>
    <w:p w14:paraId="4401AB80" w14:textId="444C759F" w:rsidR="003E7C9E" w:rsidRPr="00AA4677" w:rsidRDefault="003E7C9E" w:rsidP="00C94FA5">
      <w:pPr>
        <w:pStyle w:val="Bullet1ICH-GCPE6"/>
        <w:tabs>
          <w:tab w:val="clear" w:pos="360"/>
          <w:tab w:val="clear" w:pos="407"/>
          <w:tab w:val="num" w:pos="2880"/>
        </w:tabs>
        <w:ind w:left="0" w:firstLine="0"/>
        <w:rPr>
          <w:rFonts w:cstheme="minorHAnsi"/>
          <w:color w:val="auto"/>
          <w:sz w:val="24"/>
          <w:szCs w:val="24"/>
        </w:rPr>
      </w:pPr>
      <w:r w:rsidRPr="00AA4677">
        <w:rPr>
          <w:rFonts w:asciiTheme="minorHAnsi" w:hAnsiTheme="minorHAnsi" w:cstheme="minorHAnsi"/>
          <w:color w:val="auto"/>
          <w:sz w:val="24"/>
          <w:szCs w:val="24"/>
        </w:rPr>
        <w:t xml:space="preserve">The IDS controls the storage, dispensing, labeling and distribution of drugs used in human research conducted in the University Hospital, the Health Science Center, the Cancer Center, and the Ambulatory Surgery building.  </w:t>
      </w:r>
      <w:r w:rsidR="007926F2" w:rsidRPr="00AA4677">
        <w:rPr>
          <w:rFonts w:asciiTheme="minorHAnsi" w:hAnsiTheme="minorHAnsi" w:cstheme="minorHAnsi"/>
          <w:color w:val="auto"/>
          <w:sz w:val="24"/>
          <w:szCs w:val="24"/>
        </w:rPr>
        <w:t xml:space="preserve">The </w:t>
      </w:r>
      <w:r w:rsidRPr="00AA4677">
        <w:rPr>
          <w:rFonts w:asciiTheme="minorHAnsi" w:hAnsiTheme="minorHAnsi" w:cstheme="minorHAnsi"/>
          <w:color w:val="auto"/>
          <w:sz w:val="24"/>
          <w:szCs w:val="24"/>
        </w:rPr>
        <w:t>IDS reviews and approves plans for the storage, dispensing, labeling, and distribution of drugs used in human research conduct</w:t>
      </w:r>
      <w:r w:rsidR="00E13DB9" w:rsidRPr="00AA4677">
        <w:rPr>
          <w:rFonts w:asciiTheme="minorHAnsi" w:hAnsiTheme="minorHAnsi" w:cstheme="minorHAnsi"/>
          <w:color w:val="auto"/>
          <w:sz w:val="24"/>
          <w:szCs w:val="24"/>
        </w:rPr>
        <w:t>ed</w:t>
      </w:r>
      <w:r w:rsidRPr="00AA4677">
        <w:rPr>
          <w:rFonts w:asciiTheme="minorHAnsi" w:hAnsiTheme="minorHAnsi" w:cstheme="minorHAnsi"/>
          <w:color w:val="auto"/>
          <w:sz w:val="24"/>
          <w:szCs w:val="24"/>
        </w:rPr>
        <w:t xml:space="preserve"> in other campus sites.  </w:t>
      </w:r>
      <w:r w:rsidR="007309D3" w:rsidRPr="00AA4677">
        <w:rPr>
          <w:rFonts w:asciiTheme="minorHAnsi" w:hAnsiTheme="minorHAnsi" w:cstheme="minorHAnsi"/>
          <w:color w:val="auto"/>
          <w:sz w:val="24"/>
          <w:szCs w:val="24"/>
        </w:rPr>
        <w:t xml:space="preserve">The researcher, pharmacist, or other designated </w:t>
      </w:r>
      <w:proofErr w:type="gramStart"/>
      <w:r w:rsidR="007309D3" w:rsidRPr="00AA4677">
        <w:rPr>
          <w:rFonts w:asciiTheme="minorHAnsi" w:hAnsiTheme="minorHAnsi" w:cstheme="minorHAnsi"/>
          <w:color w:val="auto"/>
          <w:sz w:val="24"/>
          <w:szCs w:val="24"/>
        </w:rPr>
        <w:t>individual</w:t>
      </w:r>
      <w:proofErr w:type="gramEnd"/>
      <w:r w:rsidR="007309D3" w:rsidRPr="00AA4677">
        <w:rPr>
          <w:rFonts w:asciiTheme="minorHAnsi" w:hAnsiTheme="minorHAnsi" w:cstheme="minorHAnsi"/>
          <w:color w:val="auto"/>
          <w:sz w:val="24"/>
          <w:szCs w:val="24"/>
        </w:rPr>
        <w:t xml:space="preserve"> will maintain records of the product's delivery to the trial site, the inventory at the site, the use by each participant, and the return to the sponsor or alternative disposition of unused products. These records will include dates, quantities, batch/serial numbers, expiration dates (if applicable), and the unique code numbers assigned to the investigational products and trial participants.</w:t>
      </w:r>
    </w:p>
    <w:p w14:paraId="0F1D2FE2" w14:textId="62BC566F" w:rsidR="003E7C9E" w:rsidRPr="00AA4677" w:rsidRDefault="003E7C9E" w:rsidP="000117C5">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a patient admitted to the hospital as an inpatient is a </w:t>
      </w:r>
      <w:r w:rsidR="00BF7470" w:rsidRPr="00AA4677">
        <w:rPr>
          <w:rFonts w:eastAsia="Times New Roman" w:cs="Times New Roman"/>
          <w:szCs w:val="24"/>
        </w:rPr>
        <w:t>subject</w:t>
      </w:r>
      <w:r w:rsidRPr="00AA4677">
        <w:rPr>
          <w:rFonts w:eastAsia="Times New Roman" w:cs="Times New Roman"/>
          <w:szCs w:val="24"/>
        </w:rPr>
        <w:t xml:space="preserve"> in a research protocol involving medication, </w:t>
      </w:r>
      <w:proofErr w:type="gramStart"/>
      <w:r w:rsidRPr="00AA4677">
        <w:rPr>
          <w:rFonts w:eastAsia="Times New Roman" w:cs="Times New Roman"/>
          <w:szCs w:val="24"/>
        </w:rPr>
        <w:t>whether or</w:t>
      </w:r>
      <w:r w:rsidR="00825855" w:rsidRPr="00AA4677">
        <w:rPr>
          <w:rFonts w:eastAsia="Times New Roman" w:cs="Times New Roman"/>
          <w:szCs w:val="24"/>
        </w:rPr>
        <w:t xml:space="preserve"> not</w:t>
      </w:r>
      <w:proofErr w:type="gramEnd"/>
      <w:r w:rsidR="00825855" w:rsidRPr="00AA4677">
        <w:rPr>
          <w:rFonts w:eastAsia="Times New Roman" w:cs="Times New Roman"/>
          <w:szCs w:val="24"/>
        </w:rPr>
        <w:t xml:space="preserve"> the study is conducted by the University</w:t>
      </w:r>
      <w:r w:rsidRPr="00AA4677">
        <w:rPr>
          <w:rFonts w:eastAsia="Times New Roman" w:cs="Times New Roman"/>
          <w:szCs w:val="24"/>
        </w:rPr>
        <w:t xml:space="preserve">, the Pharmacy </w:t>
      </w:r>
      <w:r w:rsidR="00E13DB9" w:rsidRPr="00AA4677">
        <w:rPr>
          <w:szCs w:val="24"/>
          <w:shd w:val="clear" w:color="auto" w:fill="FFFFFF"/>
        </w:rPr>
        <w:t xml:space="preserve">must receive copies of all relevant study materials from the PI </w:t>
      </w:r>
      <w:proofErr w:type="gramStart"/>
      <w:r w:rsidR="00E13DB9" w:rsidRPr="00AA4677">
        <w:rPr>
          <w:szCs w:val="24"/>
          <w:shd w:val="clear" w:color="auto" w:fill="FFFFFF"/>
        </w:rPr>
        <w:t>in order for</w:t>
      </w:r>
      <w:proofErr w:type="gramEnd"/>
      <w:r w:rsidR="00E13DB9" w:rsidRPr="00AA4677">
        <w:rPr>
          <w:szCs w:val="24"/>
          <w:shd w:val="clear" w:color="auto" w:fill="FFFFFF"/>
        </w:rPr>
        <w:t xml:space="preserve"> the patient to continue the study while an inpatient. </w:t>
      </w:r>
      <w:r w:rsidRPr="00AA4677">
        <w:rPr>
          <w:rFonts w:eastAsia="Times New Roman" w:cs="Times New Roman"/>
          <w:szCs w:val="24"/>
        </w:rPr>
        <w:t xml:space="preserve">  The Pharmacy will review the protocol and accommodate the patient’s continued participation in the study if deemed appropriate, after consultation with the </w:t>
      </w:r>
      <w:r w:rsidR="00F82E75" w:rsidRPr="00AA4677">
        <w:rPr>
          <w:rFonts w:eastAsia="Times New Roman" w:cs="Times New Roman"/>
          <w:szCs w:val="24"/>
        </w:rPr>
        <w:t xml:space="preserve">Assistant Vice President for Research Compliance </w:t>
      </w:r>
      <w:r w:rsidRPr="00AA4677">
        <w:rPr>
          <w:rFonts w:eastAsia="Times New Roman" w:cs="Times New Roman"/>
          <w:szCs w:val="24"/>
        </w:rPr>
        <w:t>(and IRBs as applicable).  </w:t>
      </w:r>
    </w:p>
    <w:p w14:paraId="6DC2B788" w14:textId="77777777" w:rsidR="003E7C9E" w:rsidRPr="00AA4677" w:rsidRDefault="003E7C9E" w:rsidP="000117C5">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Pharmacy is available to provide guidance to investigators in relation to the management of the study drugs.</w:t>
      </w:r>
    </w:p>
    <w:p w14:paraId="6207D2B7" w14:textId="44FEEE22" w:rsidR="003E7C9E" w:rsidRPr="00AA4677" w:rsidRDefault="007926F2" w:rsidP="001D3801">
      <w:pPr>
        <w:pStyle w:val="Heading4"/>
      </w:pPr>
      <w:r w:rsidRPr="00AA4677">
        <w:lastRenderedPageBreak/>
        <w:t>1.10.4</w:t>
      </w:r>
      <w:r w:rsidR="003E7C9E" w:rsidRPr="00AA4677">
        <w:t>.3 Office of Clinical Trials</w:t>
      </w:r>
    </w:p>
    <w:p w14:paraId="612BAF7D" w14:textId="63F05F31" w:rsidR="003E7C9E" w:rsidRPr="00AA4677" w:rsidRDefault="003E7C9E" w:rsidP="000117C5">
      <w:pPr>
        <w:shd w:val="clear" w:color="auto" w:fill="FFFFFF"/>
        <w:spacing w:after="0" w:line="240" w:lineRule="auto"/>
        <w:rPr>
          <w:rFonts w:eastAsia="Times New Roman" w:cs="Times New Roman"/>
          <w:szCs w:val="24"/>
        </w:rPr>
      </w:pPr>
      <w:r w:rsidRPr="00AA4677">
        <w:rPr>
          <w:rFonts w:eastAsia="Times New Roman" w:cs="Times New Roman"/>
          <w:szCs w:val="24"/>
        </w:rPr>
        <w:t>The goals of this office are to streamline the process of industry sponsored clinical trials by utilizing the office as a single point of contact between industry sponsors and Stony Brook University Hospital. The functions of th</w:t>
      </w:r>
      <w:r w:rsidR="00825855" w:rsidRPr="00AA4677">
        <w:rPr>
          <w:rFonts w:eastAsia="Times New Roman" w:cs="Times New Roman"/>
          <w:szCs w:val="24"/>
        </w:rPr>
        <w:t xml:space="preserve">e Office of Clinical Trials are to: </w:t>
      </w:r>
    </w:p>
    <w:p w14:paraId="63F835A9" w14:textId="1CE70B68" w:rsidR="003E7C9E" w:rsidRPr="00AA4677" w:rsidRDefault="00BB4A78">
      <w:pPr>
        <w:numPr>
          <w:ilvl w:val="0"/>
          <w:numId w:val="75"/>
        </w:numPr>
        <w:shd w:val="clear" w:color="auto" w:fill="FFFFFF"/>
        <w:tabs>
          <w:tab w:val="clear" w:pos="1080"/>
          <w:tab w:val="num" w:pos="720"/>
          <w:tab w:val="num" w:pos="1800"/>
        </w:tabs>
        <w:spacing w:after="0" w:line="240" w:lineRule="auto"/>
        <w:ind w:left="360"/>
        <w:rPr>
          <w:rFonts w:eastAsia="Times New Roman" w:cs="Times New Roman"/>
          <w:szCs w:val="24"/>
        </w:rPr>
      </w:pPr>
      <w:r w:rsidRPr="00AA4677">
        <w:rPr>
          <w:rFonts w:eastAsia="Times New Roman" w:cs="Times New Roman"/>
          <w:szCs w:val="24"/>
        </w:rPr>
        <w:t>M</w:t>
      </w:r>
      <w:r w:rsidR="003E7C9E" w:rsidRPr="00AA4677">
        <w:rPr>
          <w:rFonts w:eastAsia="Times New Roman" w:cs="Times New Roman"/>
          <w:szCs w:val="24"/>
        </w:rPr>
        <w:t>atch trials to appropriate investigators</w:t>
      </w:r>
    </w:p>
    <w:p w14:paraId="442F79C6" w14:textId="66AD622E" w:rsidR="003E7C9E" w:rsidRPr="00AA4677" w:rsidRDefault="00BB4A78">
      <w:pPr>
        <w:numPr>
          <w:ilvl w:val="0"/>
          <w:numId w:val="75"/>
        </w:numPr>
        <w:shd w:val="clear" w:color="auto" w:fill="FFFFFF"/>
        <w:tabs>
          <w:tab w:val="clear" w:pos="1080"/>
          <w:tab w:val="num" w:pos="720"/>
          <w:tab w:val="num" w:pos="1800"/>
        </w:tabs>
        <w:spacing w:after="0" w:line="240" w:lineRule="auto"/>
        <w:ind w:left="360"/>
        <w:rPr>
          <w:rFonts w:eastAsia="Times New Roman" w:cs="Times New Roman"/>
          <w:szCs w:val="24"/>
        </w:rPr>
      </w:pPr>
      <w:r w:rsidRPr="00AA4677">
        <w:rPr>
          <w:rFonts w:eastAsia="Times New Roman" w:cs="Times New Roman"/>
          <w:szCs w:val="24"/>
        </w:rPr>
        <w:t>H</w:t>
      </w:r>
      <w:r w:rsidR="003E7C9E" w:rsidRPr="00AA4677">
        <w:rPr>
          <w:rFonts w:eastAsia="Times New Roman" w:cs="Times New Roman"/>
          <w:szCs w:val="24"/>
        </w:rPr>
        <w:t>elp find resources for those investigators who lack support</w:t>
      </w:r>
    </w:p>
    <w:p w14:paraId="3C93E3C6" w14:textId="77777777" w:rsidR="003C1FD8" w:rsidRPr="00AA4677" w:rsidRDefault="00BB4A78">
      <w:pPr>
        <w:numPr>
          <w:ilvl w:val="0"/>
          <w:numId w:val="75"/>
        </w:numPr>
        <w:shd w:val="clear" w:color="auto" w:fill="FFFFFF"/>
        <w:tabs>
          <w:tab w:val="clear" w:pos="1080"/>
          <w:tab w:val="num" w:pos="720"/>
          <w:tab w:val="num" w:pos="180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R</w:t>
      </w:r>
      <w:r w:rsidR="003E7C9E" w:rsidRPr="00AA4677">
        <w:rPr>
          <w:rFonts w:eastAsia="Times New Roman" w:cs="Times New Roman"/>
          <w:szCs w:val="24"/>
        </w:rPr>
        <w:t xml:space="preserve">eview </w:t>
      </w:r>
      <w:r w:rsidR="003C1FD8" w:rsidRPr="00AA4677">
        <w:rPr>
          <w:rFonts w:eastAsia="Times New Roman" w:cs="Times New Roman"/>
          <w:szCs w:val="24"/>
        </w:rPr>
        <w:t xml:space="preserve">and/or create </w:t>
      </w:r>
      <w:r w:rsidR="003E7C9E" w:rsidRPr="00AA4677">
        <w:rPr>
          <w:rFonts w:eastAsia="Times New Roman" w:cs="Times New Roman"/>
          <w:szCs w:val="24"/>
        </w:rPr>
        <w:t>budgets for assessment and identification of study procedures, study visits, etc</w:t>
      </w:r>
      <w:r w:rsidR="003704D4" w:rsidRPr="00AA4677">
        <w:rPr>
          <w:rFonts w:eastAsia="Times New Roman" w:cs="Times New Roman"/>
          <w:szCs w:val="24"/>
        </w:rPr>
        <w:t>.</w:t>
      </w:r>
    </w:p>
    <w:p w14:paraId="6C5F718D" w14:textId="20A420DE" w:rsidR="003E7C9E" w:rsidRPr="00AA4677" w:rsidRDefault="003C1FD8">
      <w:pPr>
        <w:numPr>
          <w:ilvl w:val="0"/>
          <w:numId w:val="75"/>
        </w:numPr>
        <w:shd w:val="clear" w:color="auto" w:fill="FFFFFF"/>
        <w:tabs>
          <w:tab w:val="clear" w:pos="1080"/>
          <w:tab w:val="num" w:pos="720"/>
          <w:tab w:val="num" w:pos="180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Negotiate budge</w:t>
      </w:r>
      <w:r w:rsidR="00CA676F" w:rsidRPr="00AA4677">
        <w:rPr>
          <w:rFonts w:eastAsia="Times New Roman" w:cs="Times New Roman"/>
          <w:szCs w:val="24"/>
        </w:rPr>
        <w:t>t</w:t>
      </w:r>
      <w:r w:rsidRPr="00AA4677">
        <w:rPr>
          <w:rFonts w:eastAsia="Times New Roman" w:cs="Times New Roman"/>
          <w:szCs w:val="24"/>
        </w:rPr>
        <w:t>s with sponsor</w:t>
      </w:r>
      <w:r w:rsidR="00CA676F" w:rsidRPr="00AA4677">
        <w:rPr>
          <w:rFonts w:eastAsia="Times New Roman" w:cs="Times New Roman"/>
          <w:szCs w:val="24"/>
        </w:rPr>
        <w:t>s</w:t>
      </w:r>
      <w:r w:rsidRPr="00AA4677">
        <w:rPr>
          <w:rFonts w:eastAsia="Times New Roman" w:cs="Times New Roman"/>
          <w:szCs w:val="24"/>
        </w:rPr>
        <w:t>/Clinical Research Organizations</w:t>
      </w:r>
    </w:p>
    <w:p w14:paraId="57024161" w14:textId="261DBC40" w:rsidR="003C1FD8" w:rsidRPr="00AA4677" w:rsidRDefault="003C1FD8">
      <w:pPr>
        <w:numPr>
          <w:ilvl w:val="0"/>
          <w:numId w:val="75"/>
        </w:numPr>
        <w:shd w:val="clear" w:color="auto" w:fill="FFFFFF"/>
        <w:tabs>
          <w:tab w:val="clear" w:pos="1080"/>
          <w:tab w:val="num" w:pos="720"/>
          <w:tab w:val="num" w:pos="180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Assist investigators with funding proposals, IRB, and regulatory submissions, if requested</w:t>
      </w:r>
    </w:p>
    <w:p w14:paraId="177D2CF2" w14:textId="72B16E33" w:rsidR="00CA676F" w:rsidRPr="00AA4677" w:rsidRDefault="00CA676F">
      <w:pPr>
        <w:numPr>
          <w:ilvl w:val="0"/>
          <w:numId w:val="75"/>
        </w:numPr>
        <w:shd w:val="clear" w:color="auto" w:fill="FFFFFF"/>
        <w:tabs>
          <w:tab w:val="clear" w:pos="1080"/>
          <w:tab w:val="num" w:pos="720"/>
          <w:tab w:val="num" w:pos="180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Collaborate with the Office of Sponsored Programs regarding CTA/Payment terms</w:t>
      </w:r>
    </w:p>
    <w:p w14:paraId="383209DE" w14:textId="1BDD9197" w:rsidR="00CA676F" w:rsidRPr="00AA4677" w:rsidRDefault="00CA676F">
      <w:pPr>
        <w:numPr>
          <w:ilvl w:val="0"/>
          <w:numId w:val="75"/>
        </w:numPr>
        <w:shd w:val="clear" w:color="auto" w:fill="FFFFFF"/>
        <w:tabs>
          <w:tab w:val="clear" w:pos="1080"/>
          <w:tab w:val="num" w:pos="720"/>
          <w:tab w:val="num" w:pos="180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Collaborate with the Office of Grants Management regarding payments received.</w:t>
      </w:r>
    </w:p>
    <w:p w14:paraId="1E271976" w14:textId="7A81F040" w:rsidR="00CA676F" w:rsidRPr="00AA4677" w:rsidRDefault="003C1FD8">
      <w:pPr>
        <w:numPr>
          <w:ilvl w:val="0"/>
          <w:numId w:val="75"/>
        </w:numPr>
        <w:shd w:val="clear" w:color="auto" w:fill="FFFFFF"/>
        <w:tabs>
          <w:tab w:val="clear" w:pos="1080"/>
          <w:tab w:val="num" w:pos="720"/>
          <w:tab w:val="num" w:pos="180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A</w:t>
      </w:r>
      <w:r w:rsidR="003E7C9E" w:rsidRPr="00AA4677">
        <w:rPr>
          <w:rFonts w:eastAsia="Times New Roman" w:cs="Times New Roman"/>
          <w:szCs w:val="24"/>
        </w:rPr>
        <w:t>dvertise current studies enrolling subjects for recruitment purposes</w:t>
      </w:r>
    </w:p>
    <w:p w14:paraId="2A6C8A68" w14:textId="77777777" w:rsidR="00CA676F" w:rsidRPr="00AA4677" w:rsidRDefault="00CA676F">
      <w:pPr>
        <w:numPr>
          <w:ilvl w:val="0"/>
          <w:numId w:val="75"/>
        </w:numPr>
        <w:shd w:val="clear" w:color="auto" w:fill="FFFFFF"/>
        <w:tabs>
          <w:tab w:val="clear" w:pos="1080"/>
          <w:tab w:val="num" w:pos="720"/>
          <w:tab w:val="num" w:pos="180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Track enrollment of subjects on Cerner/</w:t>
      </w:r>
      <w:proofErr w:type="spellStart"/>
      <w:r w:rsidRPr="00AA4677">
        <w:rPr>
          <w:rFonts w:eastAsia="Times New Roman" w:cs="Times New Roman"/>
          <w:szCs w:val="24"/>
        </w:rPr>
        <w:t>PowerTrials</w:t>
      </w:r>
      <w:proofErr w:type="spellEnd"/>
      <w:r w:rsidRPr="00AA4677">
        <w:rPr>
          <w:rFonts w:eastAsia="Times New Roman" w:cs="Times New Roman"/>
          <w:szCs w:val="24"/>
        </w:rPr>
        <w:t xml:space="preserve"> and OCT database</w:t>
      </w:r>
    </w:p>
    <w:p w14:paraId="24941926" w14:textId="65EABFBC" w:rsidR="003E7C9E" w:rsidRPr="00AA4677" w:rsidRDefault="00CA676F">
      <w:pPr>
        <w:numPr>
          <w:ilvl w:val="0"/>
          <w:numId w:val="75"/>
        </w:numPr>
        <w:shd w:val="clear" w:color="auto" w:fill="FFFFFF"/>
        <w:tabs>
          <w:tab w:val="clear" w:pos="1080"/>
          <w:tab w:val="num" w:pos="720"/>
          <w:tab w:val="num" w:pos="180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Manage Clinical Trials Management System (CTMS)</w:t>
      </w:r>
    </w:p>
    <w:p w14:paraId="57CC88DB" w14:textId="77777777" w:rsidR="00CA676F" w:rsidRPr="00AA4677" w:rsidRDefault="00BB4A78">
      <w:pPr>
        <w:numPr>
          <w:ilvl w:val="0"/>
          <w:numId w:val="75"/>
        </w:numPr>
        <w:shd w:val="clear" w:color="auto" w:fill="FFFFFF"/>
        <w:tabs>
          <w:tab w:val="clear" w:pos="1080"/>
          <w:tab w:val="num" w:pos="720"/>
          <w:tab w:val="num" w:pos="180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P</w:t>
      </w:r>
      <w:r w:rsidR="003E7C9E" w:rsidRPr="00AA4677">
        <w:rPr>
          <w:rFonts w:eastAsia="Times New Roman" w:cs="Times New Roman"/>
          <w:szCs w:val="24"/>
        </w:rPr>
        <w:t>rovide Study Coordinator services, if requested</w:t>
      </w:r>
      <w:r w:rsidRPr="00AA4677">
        <w:rPr>
          <w:rFonts w:eastAsia="Times New Roman" w:cs="Times New Roman"/>
          <w:szCs w:val="24"/>
        </w:rPr>
        <w:t>.</w:t>
      </w:r>
      <w:r w:rsidR="003E7C9E" w:rsidRPr="00AA4677">
        <w:rPr>
          <w:rFonts w:eastAsia="Times New Roman" w:cs="Times New Roman"/>
          <w:szCs w:val="24"/>
        </w:rPr>
        <w:t xml:space="preserve">  </w:t>
      </w:r>
    </w:p>
    <w:p w14:paraId="251709F3" w14:textId="69E00FC5" w:rsidR="00416320" w:rsidRPr="00AA4677" w:rsidRDefault="00CA676F">
      <w:pPr>
        <w:numPr>
          <w:ilvl w:val="0"/>
          <w:numId w:val="75"/>
        </w:numPr>
        <w:shd w:val="clear" w:color="auto" w:fill="FFFFFF"/>
        <w:tabs>
          <w:tab w:val="clear" w:pos="1080"/>
          <w:tab w:val="num" w:pos="720"/>
          <w:tab w:val="num" w:pos="180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Mentor new investigators and study coordinators</w:t>
      </w:r>
      <w:r w:rsidR="003E7C9E" w:rsidRPr="00AA4677">
        <w:rPr>
          <w:rFonts w:eastAsia="Times New Roman" w:cs="Times New Roman"/>
          <w:szCs w:val="24"/>
        </w:rPr>
        <w:t> </w:t>
      </w:r>
    </w:p>
    <w:p w14:paraId="39B440C0" w14:textId="387C69CD" w:rsidR="003E7C9E" w:rsidRPr="00AA4677" w:rsidRDefault="007926F2" w:rsidP="00C57C98">
      <w:pPr>
        <w:pStyle w:val="Heading3"/>
      </w:pPr>
      <w:r w:rsidRPr="00AA4677">
        <w:t>1.10.5</w:t>
      </w:r>
      <w:r w:rsidR="00BB4A78" w:rsidRPr="00AA4677">
        <w:t> </w:t>
      </w:r>
      <w:r w:rsidR="003E7C9E" w:rsidRPr="00AA4677">
        <w:t xml:space="preserve">Relationship </w:t>
      </w:r>
      <w:r w:rsidR="00BB4A78" w:rsidRPr="00AA4677">
        <w:t>among</w:t>
      </w:r>
      <w:r w:rsidR="003E7C9E" w:rsidRPr="00AA4677">
        <w:t xml:space="preserve"> Components</w:t>
      </w:r>
    </w:p>
    <w:p w14:paraId="6B981219" w14:textId="77777777" w:rsidR="00C35949" w:rsidRPr="00AA4677" w:rsidRDefault="006E3248" w:rsidP="00E13DB9">
      <w:pPr>
        <w:shd w:val="clear" w:color="auto" w:fill="FFFFFF"/>
        <w:rPr>
          <w:rFonts w:eastAsia="Times New Roman" w:cs="Times New Roman"/>
          <w:szCs w:val="24"/>
        </w:rPr>
      </w:pPr>
      <w:r w:rsidRPr="00AA4677">
        <w:rPr>
          <w:rFonts w:eastAsia="Times New Roman" w:cs="Times New Roman"/>
          <w:szCs w:val="24"/>
        </w:rPr>
        <w:t>The IRB</w:t>
      </w:r>
      <w:r w:rsidR="004806E0" w:rsidRPr="00AA4677">
        <w:rPr>
          <w:rFonts w:eastAsia="Times New Roman" w:cs="Times New Roman"/>
          <w:szCs w:val="24"/>
        </w:rPr>
        <w:t>s</w:t>
      </w:r>
      <w:r w:rsidR="003E7C9E" w:rsidRPr="00AA4677">
        <w:rPr>
          <w:rFonts w:eastAsia="Times New Roman" w:cs="Times New Roman"/>
          <w:szCs w:val="24"/>
        </w:rPr>
        <w:t xml:space="preserve"> function independently of, but in coordination with, other </w:t>
      </w:r>
      <w:r w:rsidR="00BB4A78" w:rsidRPr="00AA4677">
        <w:rPr>
          <w:rFonts w:eastAsia="Times New Roman" w:cs="Times New Roman"/>
          <w:szCs w:val="24"/>
        </w:rPr>
        <w:t>University</w:t>
      </w:r>
      <w:r w:rsidR="003E7C9E" w:rsidRPr="00AA4677">
        <w:rPr>
          <w:rFonts w:eastAsia="Times New Roman" w:cs="Times New Roman"/>
          <w:szCs w:val="24"/>
        </w:rPr>
        <w:t xml:space="preserve"> regulatory committees</w:t>
      </w:r>
      <w:r w:rsidR="009549CB" w:rsidRPr="00AA4677">
        <w:rPr>
          <w:rFonts w:eastAsia="Times New Roman" w:cs="Times New Roman"/>
          <w:szCs w:val="24"/>
        </w:rPr>
        <w:t xml:space="preserve"> (e.g., </w:t>
      </w:r>
      <w:r w:rsidR="000263D1" w:rsidRPr="00AA4677">
        <w:rPr>
          <w:rFonts w:eastAsia="Times New Roman" w:cs="Times New Roman"/>
          <w:szCs w:val="24"/>
        </w:rPr>
        <w:t xml:space="preserve">legal office, </w:t>
      </w:r>
      <w:r w:rsidR="00033C39" w:rsidRPr="00AA4677">
        <w:rPr>
          <w:rFonts w:eastAsia="Times New Roman" w:cs="Times New Roman"/>
          <w:szCs w:val="24"/>
        </w:rPr>
        <w:t>Office of Grants and C</w:t>
      </w:r>
      <w:r w:rsidR="000263D1" w:rsidRPr="00AA4677">
        <w:rPr>
          <w:rFonts w:eastAsia="Times New Roman" w:cs="Times New Roman"/>
          <w:szCs w:val="24"/>
        </w:rPr>
        <w:t>ontracts</w:t>
      </w:r>
      <w:r w:rsidR="00033C39" w:rsidRPr="00AA4677">
        <w:rPr>
          <w:rFonts w:eastAsia="Times New Roman" w:cs="Times New Roman"/>
          <w:szCs w:val="24"/>
        </w:rPr>
        <w:t>, Intellectual Property Partners</w:t>
      </w:r>
      <w:r w:rsidR="00C35949" w:rsidRPr="00AA4677">
        <w:rPr>
          <w:rFonts w:eastAsia="Times New Roman" w:cs="Times New Roman"/>
          <w:szCs w:val="24"/>
        </w:rPr>
        <w:t>, Office of Research Security</w:t>
      </w:r>
      <w:r w:rsidR="000263D1" w:rsidRPr="00AA4677">
        <w:rPr>
          <w:rFonts w:eastAsia="Times New Roman" w:cs="Times New Roman"/>
          <w:szCs w:val="24"/>
        </w:rPr>
        <w:t xml:space="preserve"> and the </w:t>
      </w:r>
      <w:r w:rsidR="00033C39" w:rsidRPr="00AA4677">
        <w:rPr>
          <w:rFonts w:eastAsia="Times New Roman" w:cs="Times New Roman"/>
          <w:szCs w:val="24"/>
        </w:rPr>
        <w:t>Office of Sponsored P</w:t>
      </w:r>
      <w:r w:rsidR="000263D1" w:rsidRPr="00AA4677">
        <w:rPr>
          <w:rFonts w:eastAsia="Times New Roman" w:cs="Times New Roman"/>
          <w:szCs w:val="24"/>
        </w:rPr>
        <w:t>rograms</w:t>
      </w:r>
      <w:r w:rsidR="009549CB" w:rsidRPr="00AA4677">
        <w:rPr>
          <w:rFonts w:eastAsia="Times New Roman" w:cs="Times New Roman"/>
          <w:szCs w:val="24"/>
        </w:rPr>
        <w:t>)</w:t>
      </w:r>
      <w:r w:rsidR="003E7C9E" w:rsidRPr="00AA4677">
        <w:rPr>
          <w:rFonts w:eastAsia="Times New Roman" w:cs="Times New Roman"/>
          <w:szCs w:val="24"/>
        </w:rPr>
        <w:t xml:space="preserve">. </w:t>
      </w:r>
    </w:p>
    <w:p w14:paraId="43FB4BFB" w14:textId="662107EB" w:rsidR="00C35949" w:rsidRPr="00AA4677" w:rsidRDefault="00C35949" w:rsidP="00C35949">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Office of Research Security</w:t>
      </w:r>
      <w:r w:rsidR="00F17CA3" w:rsidRPr="00AA4677">
        <w:rPr>
          <w:rFonts w:eastAsia="Times New Roman" w:cs="Times New Roman"/>
          <w:szCs w:val="24"/>
        </w:rPr>
        <w:t xml:space="preserve"> (ORS)</w:t>
      </w:r>
      <w:r w:rsidRPr="00AA4677">
        <w:rPr>
          <w:rFonts w:eastAsia="Times New Roman" w:cs="Times New Roman"/>
          <w:szCs w:val="24"/>
        </w:rPr>
        <w:t xml:space="preserve"> is responsible for </w:t>
      </w:r>
      <w:r w:rsidR="00A2515A" w:rsidRPr="00AA4677">
        <w:rPr>
          <w:rFonts w:eastAsia="Times New Roman" w:cs="Times New Roman"/>
          <w:szCs w:val="24"/>
        </w:rPr>
        <w:t xml:space="preserve">overseeing the University’s research security program including the campus </w:t>
      </w:r>
      <w:r w:rsidR="00F17CA3" w:rsidRPr="00AA4677">
        <w:rPr>
          <w:rFonts w:eastAsia="Times New Roman" w:cs="Times New Roman"/>
          <w:szCs w:val="24"/>
        </w:rPr>
        <w:t>C</w:t>
      </w:r>
      <w:r w:rsidRPr="00AA4677">
        <w:rPr>
          <w:rFonts w:eastAsia="Times New Roman" w:cs="Times New Roman"/>
          <w:szCs w:val="24"/>
        </w:rPr>
        <w:t>onflict of Interest</w:t>
      </w:r>
      <w:r w:rsidR="00A2515A" w:rsidRPr="00AA4677">
        <w:rPr>
          <w:rFonts w:eastAsia="Times New Roman" w:cs="Times New Roman"/>
          <w:szCs w:val="24"/>
        </w:rPr>
        <w:t xml:space="preserve"> policy</w:t>
      </w:r>
      <w:r w:rsidR="00F17CA3" w:rsidRPr="00AA4677">
        <w:rPr>
          <w:rFonts w:eastAsia="Times New Roman" w:cs="Times New Roman"/>
          <w:szCs w:val="24"/>
        </w:rPr>
        <w:t>,</w:t>
      </w:r>
      <w:r w:rsidR="00A2515A" w:rsidRPr="00AA4677">
        <w:rPr>
          <w:rFonts w:eastAsia="Times New Roman" w:cs="Times New Roman"/>
          <w:szCs w:val="24"/>
        </w:rPr>
        <w:t xml:space="preserve"> </w:t>
      </w:r>
      <w:r w:rsidR="00F17CA3" w:rsidRPr="00AA4677">
        <w:rPr>
          <w:rFonts w:eastAsia="Times New Roman" w:cs="Times New Roman"/>
          <w:szCs w:val="24"/>
        </w:rPr>
        <w:t>international engagements/activities, and export controls. The ORS works closely with central IT, researchers, and other administrative offices for data security and protection measures. The ORS maintains the internal system for Investigator COI disclosures and reviews and works closely with the ORC in handling COI involving human research. The ORS works also with the ORC in the review of international studies. </w:t>
      </w:r>
    </w:p>
    <w:p w14:paraId="6AED98FC" w14:textId="5B73267B" w:rsidR="00E13DB9" w:rsidRPr="00AA4677" w:rsidRDefault="006E3248" w:rsidP="00E13DB9">
      <w:pPr>
        <w:shd w:val="clear" w:color="auto" w:fill="FFFFFF"/>
        <w:rPr>
          <w:rFonts w:eastAsia="Times New Roman" w:cs="Times New Roman"/>
          <w:szCs w:val="24"/>
        </w:rPr>
      </w:pPr>
      <w:r w:rsidRPr="00AA4677">
        <w:rPr>
          <w:rFonts w:eastAsia="Times New Roman" w:cs="Times New Roman"/>
          <w:szCs w:val="24"/>
        </w:rPr>
        <w:t>IRB</w:t>
      </w:r>
      <w:r w:rsidR="003E7C9E" w:rsidRPr="00AA4677">
        <w:rPr>
          <w:rFonts w:eastAsia="Times New Roman" w:cs="Times New Roman"/>
          <w:szCs w:val="24"/>
        </w:rPr>
        <w:t xml:space="preserve"> committees, however, make their independent determination whether to approve or disapprove a protocol based upon </w:t>
      </w:r>
      <w:proofErr w:type="gramStart"/>
      <w:r w:rsidR="003E7C9E" w:rsidRPr="00AA4677">
        <w:rPr>
          <w:rFonts w:eastAsia="Times New Roman" w:cs="Times New Roman"/>
          <w:szCs w:val="24"/>
        </w:rPr>
        <w:t>whether or not</w:t>
      </w:r>
      <w:proofErr w:type="gramEnd"/>
      <w:r w:rsidR="003E7C9E" w:rsidRPr="00AA4677">
        <w:rPr>
          <w:rFonts w:eastAsia="Times New Roman" w:cs="Times New Roman"/>
          <w:szCs w:val="24"/>
        </w:rPr>
        <w:t xml:space="preserve"> human subjects are adequately protected. </w:t>
      </w:r>
      <w:r w:rsidRPr="00AA4677">
        <w:rPr>
          <w:rFonts w:eastAsia="Times New Roman" w:cs="Times New Roman"/>
          <w:szCs w:val="24"/>
        </w:rPr>
        <w:t>The IRB</w:t>
      </w:r>
      <w:r w:rsidR="003E7C9E" w:rsidRPr="00AA4677">
        <w:rPr>
          <w:rFonts w:eastAsia="Times New Roman" w:cs="Times New Roman"/>
          <w:szCs w:val="24"/>
        </w:rPr>
        <w:t xml:space="preserve"> has </w:t>
      </w:r>
      <w:proofErr w:type="gramStart"/>
      <w:r w:rsidR="003E7C9E" w:rsidRPr="00AA4677">
        <w:rPr>
          <w:rFonts w:eastAsia="Times New Roman" w:cs="Times New Roman"/>
          <w:szCs w:val="24"/>
        </w:rPr>
        <w:t>review</w:t>
      </w:r>
      <w:proofErr w:type="gramEnd"/>
      <w:r w:rsidR="003E7C9E" w:rsidRPr="00AA4677">
        <w:rPr>
          <w:rFonts w:eastAsia="Times New Roman" w:cs="Times New Roman"/>
          <w:szCs w:val="24"/>
        </w:rPr>
        <w:t xml:space="preserve"> jurisdiction over all research involving human subjects conducted, supported, or otherwise subject to regulation by any federal department or agency tha</w:t>
      </w:r>
      <w:r w:rsidR="005F1064" w:rsidRPr="00AA4677">
        <w:rPr>
          <w:rFonts w:eastAsia="Times New Roman" w:cs="Times New Roman"/>
          <w:szCs w:val="24"/>
        </w:rPr>
        <w:t>t has adopted the human subject</w:t>
      </w:r>
      <w:r w:rsidR="003E7C9E" w:rsidRPr="00AA4677">
        <w:rPr>
          <w:rFonts w:eastAsia="Times New Roman" w:cs="Times New Roman"/>
          <w:szCs w:val="24"/>
        </w:rPr>
        <w:t xml:space="preserve"> regulations.</w:t>
      </w:r>
      <w:r w:rsidR="00E13DB9" w:rsidRPr="00AA4677">
        <w:rPr>
          <w:rFonts w:eastAsia="Times New Roman" w:cs="Times New Roman"/>
          <w:szCs w:val="24"/>
        </w:rPr>
        <w:t xml:space="preserve"> Research that has been reviewed and approved by the IRB may be subject to </w:t>
      </w:r>
      <w:r w:rsidR="00E13DB9" w:rsidRPr="00AA4677">
        <w:rPr>
          <w:rFonts w:eastAsia="Times New Roman" w:cs="Times New Roman"/>
          <w:szCs w:val="24"/>
        </w:rPr>
        <w:lastRenderedPageBreak/>
        <w:t xml:space="preserve">review and disapproval by officials of the University. However, those officials may NOT </w:t>
      </w:r>
      <w:proofErr w:type="gramStart"/>
      <w:r w:rsidR="00E13DB9" w:rsidRPr="00AA4677">
        <w:rPr>
          <w:rFonts w:eastAsia="Times New Roman" w:cs="Times New Roman"/>
          <w:szCs w:val="24"/>
        </w:rPr>
        <w:t>approve</w:t>
      </w:r>
      <w:proofErr w:type="gramEnd"/>
      <w:r w:rsidR="00E13DB9" w:rsidRPr="00AA4677">
        <w:rPr>
          <w:rFonts w:eastAsia="Times New Roman" w:cs="Times New Roman"/>
          <w:szCs w:val="24"/>
        </w:rPr>
        <w:t xml:space="preserve"> research if it has not been approved by the IRB.</w:t>
      </w:r>
    </w:p>
    <w:p w14:paraId="0AB72056" w14:textId="3F0F0930" w:rsidR="00E13DB9" w:rsidRPr="00AA4677" w:rsidRDefault="000263D1" w:rsidP="004E0E8D">
      <w:pPr>
        <w:shd w:val="clear" w:color="auto" w:fill="FFFFFF"/>
        <w:rPr>
          <w:rFonts w:eastAsia="Times New Roman" w:cs="Arial"/>
          <w:szCs w:val="24"/>
        </w:rPr>
      </w:pPr>
      <w:r w:rsidRPr="00AA4677">
        <w:rPr>
          <w:rFonts w:eastAsia="Times New Roman" w:cs="Times New Roman"/>
          <w:szCs w:val="24"/>
        </w:rPr>
        <w:t xml:space="preserve"> Other a</w:t>
      </w:r>
      <w:r w:rsidR="004E0E8D" w:rsidRPr="00AA4677">
        <w:rPr>
          <w:rFonts w:eastAsia="Times New Roman" w:cs="Times New Roman"/>
          <w:szCs w:val="24"/>
        </w:rPr>
        <w:t xml:space="preserve">reas represented </w:t>
      </w:r>
      <w:r w:rsidRPr="00AA4677">
        <w:rPr>
          <w:rFonts w:eastAsia="Times New Roman" w:cs="Times New Roman"/>
          <w:szCs w:val="24"/>
        </w:rPr>
        <w:t>for clinical trial research</w:t>
      </w:r>
      <w:r w:rsidR="004E0E8D" w:rsidRPr="00AA4677">
        <w:rPr>
          <w:rFonts w:eastAsia="Times New Roman" w:cs="Times New Roman"/>
          <w:szCs w:val="24"/>
        </w:rPr>
        <w:t xml:space="preserve"> include</w:t>
      </w:r>
      <w:r w:rsidR="003E7C9E" w:rsidRPr="00AA4677">
        <w:rPr>
          <w:rFonts w:eastAsia="Times New Roman" w:cs="Times New Roman"/>
          <w:szCs w:val="24"/>
        </w:rPr>
        <w:t xml:space="preserve"> </w:t>
      </w:r>
      <w:r w:rsidR="009D7D8D" w:rsidRPr="00AA4677">
        <w:rPr>
          <w:rFonts w:eastAsia="Times New Roman" w:cs="Times New Roman"/>
          <w:szCs w:val="24"/>
        </w:rPr>
        <w:t xml:space="preserve">Hospital Finance, </w:t>
      </w:r>
      <w:r w:rsidR="004E0E8D" w:rsidRPr="00AA4677">
        <w:rPr>
          <w:rFonts w:eastAsia="Times New Roman" w:cs="Times New Roman"/>
          <w:szCs w:val="24"/>
        </w:rPr>
        <w:t>Cancer Center, Office of Sponsored Programs, Office of Clinical Trials, Hospital Compliance,</w:t>
      </w:r>
      <w:r w:rsidR="00D358EF" w:rsidRPr="00AA4677">
        <w:rPr>
          <w:rFonts w:eastAsia="Times New Roman" w:cs="Times New Roman"/>
          <w:szCs w:val="24"/>
        </w:rPr>
        <w:t xml:space="preserve"> investigational pharmacy</w:t>
      </w:r>
      <w:r w:rsidR="004E0E8D" w:rsidRPr="00AA4677">
        <w:rPr>
          <w:rFonts w:eastAsia="Times New Roman" w:cs="Times New Roman"/>
          <w:szCs w:val="24"/>
        </w:rPr>
        <w:t xml:space="preserve"> </w:t>
      </w:r>
      <w:r w:rsidR="003E7C9E" w:rsidRPr="00AA4677">
        <w:rPr>
          <w:rFonts w:eastAsia="Times New Roman" w:cs="Times New Roman"/>
          <w:szCs w:val="24"/>
        </w:rPr>
        <w:t xml:space="preserve">and others as deemed appropriate. </w:t>
      </w:r>
      <w:r w:rsidR="005822E1" w:rsidRPr="00AA4677">
        <w:rPr>
          <w:rFonts w:eastAsia="Times New Roman" w:cs="Times New Roman"/>
          <w:szCs w:val="24"/>
        </w:rPr>
        <w:t>The Offic</w:t>
      </w:r>
      <w:r w:rsidRPr="00AA4677">
        <w:rPr>
          <w:rFonts w:eastAsia="Times New Roman" w:cs="Times New Roman"/>
          <w:szCs w:val="24"/>
        </w:rPr>
        <w:t>e of</w:t>
      </w:r>
      <w:r w:rsidR="005822E1" w:rsidRPr="00AA4677">
        <w:rPr>
          <w:rFonts w:eastAsia="Times New Roman" w:cs="Times New Roman"/>
          <w:szCs w:val="24"/>
        </w:rPr>
        <w:t xml:space="preserve"> Research Compliance</w:t>
      </w:r>
      <w:r w:rsidR="00E13DB9" w:rsidRPr="00AA4677">
        <w:rPr>
          <w:rFonts w:eastAsia="Times New Roman" w:cs="Times New Roman"/>
          <w:szCs w:val="24"/>
        </w:rPr>
        <w:t xml:space="preserve"> r</w:t>
      </w:r>
      <w:r w:rsidR="00E13DB9" w:rsidRPr="00AA4677">
        <w:rPr>
          <w:rFonts w:eastAsia="Times New Roman" w:cs="Arial"/>
          <w:szCs w:val="24"/>
        </w:rPr>
        <w:t xml:space="preserve">eviews current research practices </w:t>
      </w:r>
      <w:proofErr w:type="gramStart"/>
      <w:r w:rsidR="00E13DB9" w:rsidRPr="00AA4677">
        <w:rPr>
          <w:rFonts w:eastAsia="Times New Roman" w:cs="Arial"/>
          <w:szCs w:val="24"/>
        </w:rPr>
        <w:t>in order to</w:t>
      </w:r>
      <w:proofErr w:type="gramEnd"/>
      <w:r w:rsidR="00E13DB9" w:rsidRPr="00AA4677">
        <w:rPr>
          <w:rFonts w:eastAsia="Times New Roman" w:cs="Arial"/>
          <w:szCs w:val="24"/>
        </w:rPr>
        <w:t xml:space="preserve"> assess effectiveness and propose improvements for the proper conduct and continued compliance of </w:t>
      </w:r>
      <w:proofErr w:type="spellStart"/>
      <w:proofErr w:type="gramStart"/>
      <w:r w:rsidR="005822E1" w:rsidRPr="00AA4677">
        <w:rPr>
          <w:rFonts w:eastAsia="Times New Roman" w:cs="Arial"/>
          <w:szCs w:val="24"/>
        </w:rPr>
        <w:t>research</w:t>
      </w:r>
      <w:r w:rsidR="00E13DB9" w:rsidRPr="00AA4677">
        <w:rPr>
          <w:rFonts w:eastAsia="Times New Roman" w:cs="Arial"/>
          <w:szCs w:val="24"/>
        </w:rPr>
        <w:t>under</w:t>
      </w:r>
      <w:proofErr w:type="spellEnd"/>
      <w:proofErr w:type="gramEnd"/>
      <w:r w:rsidR="00E13DB9" w:rsidRPr="00AA4677">
        <w:rPr>
          <w:rFonts w:eastAsia="Times New Roman" w:cs="Arial"/>
          <w:szCs w:val="24"/>
        </w:rPr>
        <w:t xml:space="preserve"> the auspices of the University.</w:t>
      </w:r>
    </w:p>
    <w:p w14:paraId="11DF85C9" w14:textId="0AA12A83" w:rsidR="003E7C9E" w:rsidRPr="00AA4677" w:rsidRDefault="003E7C9E" w:rsidP="006047B0">
      <w:pPr>
        <w:spacing w:after="0"/>
        <w:rPr>
          <w:rFonts w:eastAsia="Times New Roman" w:cs="Times New Roman"/>
          <w:szCs w:val="24"/>
        </w:rPr>
      </w:pPr>
      <w:r w:rsidRPr="00AA4677">
        <w:t>Protocol-specific coordination</w:t>
      </w:r>
      <w:r w:rsidR="006047B0" w:rsidRPr="00AA4677">
        <w:t xml:space="preserve">: </w:t>
      </w:r>
      <w:r w:rsidRPr="00AA4677">
        <w:rPr>
          <w:rFonts w:eastAsia="Times New Roman" w:cs="Times New Roman"/>
          <w:szCs w:val="24"/>
        </w:rPr>
        <w:t xml:space="preserve">Submissions to </w:t>
      </w:r>
      <w:r w:rsidR="00BF450D" w:rsidRPr="00AA4677">
        <w:rPr>
          <w:rFonts w:eastAsia="Times New Roman" w:cs="Times New Roman"/>
          <w:szCs w:val="24"/>
        </w:rPr>
        <w:t xml:space="preserve">the </w:t>
      </w:r>
      <w:r w:rsidR="00DC5138" w:rsidRPr="00AA4677">
        <w:rPr>
          <w:rFonts w:eastAsia="Times New Roman" w:cs="Times New Roman"/>
          <w:szCs w:val="24"/>
        </w:rPr>
        <w:t>electronic management system</w:t>
      </w:r>
      <w:r w:rsidR="00BF450D" w:rsidRPr="00AA4677">
        <w:rPr>
          <w:rFonts w:eastAsia="Times New Roman" w:cs="Times New Roman"/>
          <w:szCs w:val="24"/>
        </w:rPr>
        <w:t xml:space="preserve"> </w:t>
      </w:r>
      <w:r w:rsidRPr="00AA4677">
        <w:rPr>
          <w:rFonts w:eastAsia="Times New Roman" w:cs="Times New Roman"/>
          <w:szCs w:val="24"/>
        </w:rPr>
        <w:t xml:space="preserve">for new and/or continuing studies must indicate </w:t>
      </w:r>
      <w:r w:rsidR="006047B0" w:rsidRPr="00AA4677">
        <w:rPr>
          <w:rFonts w:eastAsia="Times New Roman" w:cs="Times New Roman"/>
          <w:szCs w:val="24"/>
        </w:rPr>
        <w:t>University</w:t>
      </w:r>
      <w:r w:rsidRPr="00AA4677">
        <w:rPr>
          <w:rFonts w:eastAsia="Times New Roman" w:cs="Times New Roman"/>
          <w:szCs w:val="24"/>
        </w:rPr>
        <w:t xml:space="preserve"> support, via appropriate, applicable electronic signature of delegated </w:t>
      </w:r>
      <w:r w:rsidR="00BB4A78" w:rsidRPr="00AA4677">
        <w:rPr>
          <w:rFonts w:eastAsia="Times New Roman" w:cs="Times New Roman"/>
          <w:szCs w:val="24"/>
        </w:rPr>
        <w:t>university</w:t>
      </w:r>
      <w:r w:rsidRPr="00AA4677">
        <w:rPr>
          <w:rFonts w:eastAsia="Times New Roman" w:cs="Times New Roman"/>
          <w:szCs w:val="24"/>
        </w:rPr>
        <w:t xml:space="preserve"> officials for the following units</w:t>
      </w:r>
      <w:r w:rsidR="008031ED" w:rsidRPr="00AA4677">
        <w:rPr>
          <w:rFonts w:eastAsia="Times New Roman" w:cs="Times New Roman"/>
          <w:szCs w:val="24"/>
        </w:rPr>
        <w:t xml:space="preserve"> </w:t>
      </w:r>
      <w:r w:rsidR="006C359B" w:rsidRPr="00AA4677">
        <w:rPr>
          <w:rFonts w:eastAsia="Times New Roman" w:cs="Times New Roman"/>
          <w:szCs w:val="24"/>
        </w:rPr>
        <w:t xml:space="preserve">and activities </w:t>
      </w:r>
      <w:r w:rsidR="008031ED" w:rsidRPr="00AA4677">
        <w:rPr>
          <w:rFonts w:eastAsia="Times New Roman" w:cs="Times New Roman"/>
          <w:szCs w:val="24"/>
        </w:rPr>
        <w:t>(as applicable)</w:t>
      </w:r>
      <w:r w:rsidRPr="00AA4677">
        <w:rPr>
          <w:rFonts w:eastAsia="Times New Roman" w:cs="Times New Roman"/>
          <w:szCs w:val="24"/>
        </w:rPr>
        <w:t>, prior to commencement of the study:</w:t>
      </w:r>
    </w:p>
    <w:p w14:paraId="471C34CE" w14:textId="77777777" w:rsidR="003E7C9E" w:rsidRPr="00AA4677" w:rsidRDefault="003E7C9E">
      <w:pPr>
        <w:numPr>
          <w:ilvl w:val="0"/>
          <w:numId w:val="291"/>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Pathology</w:t>
      </w:r>
    </w:p>
    <w:p w14:paraId="202292F0" w14:textId="77777777" w:rsidR="003E7C9E" w:rsidRPr="00AA4677" w:rsidRDefault="003E7C9E">
      <w:pPr>
        <w:numPr>
          <w:ilvl w:val="0"/>
          <w:numId w:val="291"/>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Pharmacy</w:t>
      </w:r>
    </w:p>
    <w:p w14:paraId="696BBB54" w14:textId="77777777" w:rsidR="003E7C9E" w:rsidRPr="00AA4677" w:rsidRDefault="003E7C9E">
      <w:pPr>
        <w:numPr>
          <w:ilvl w:val="0"/>
          <w:numId w:val="291"/>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Radiology</w:t>
      </w:r>
    </w:p>
    <w:p w14:paraId="64FE83EB" w14:textId="2A1CFCCF" w:rsidR="003E7C9E" w:rsidRPr="00AA4677" w:rsidRDefault="006D598F">
      <w:pPr>
        <w:numPr>
          <w:ilvl w:val="0"/>
          <w:numId w:val="291"/>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Privacy/Security</w:t>
      </w:r>
    </w:p>
    <w:p w14:paraId="1317B89F" w14:textId="77777777" w:rsidR="003E7C9E" w:rsidRPr="00AA4677" w:rsidRDefault="003E7C9E">
      <w:pPr>
        <w:numPr>
          <w:ilvl w:val="0"/>
          <w:numId w:val="291"/>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Hospital Finance/Billing</w:t>
      </w:r>
    </w:p>
    <w:p w14:paraId="63E8A3A7" w14:textId="77777777" w:rsidR="006C359B" w:rsidRPr="00AA4677" w:rsidRDefault="003E7C9E">
      <w:pPr>
        <w:numPr>
          <w:ilvl w:val="0"/>
          <w:numId w:val="291"/>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Chair of </w:t>
      </w:r>
      <w:r w:rsidR="002114C0" w:rsidRPr="00AA4677">
        <w:rPr>
          <w:rFonts w:eastAsia="Times New Roman" w:cs="Times New Roman"/>
          <w:szCs w:val="24"/>
        </w:rPr>
        <w:t>PI</w:t>
      </w:r>
      <w:r w:rsidR="000B0AAD" w:rsidRPr="00AA4677">
        <w:rPr>
          <w:rFonts w:eastAsia="Times New Roman" w:cs="Times New Roman"/>
          <w:szCs w:val="24"/>
        </w:rPr>
        <w:t>’s</w:t>
      </w:r>
      <w:r w:rsidR="002114C0" w:rsidRPr="00AA4677">
        <w:rPr>
          <w:rFonts w:eastAsia="Times New Roman" w:cs="Times New Roman"/>
          <w:szCs w:val="24"/>
        </w:rPr>
        <w:t xml:space="preserve"> </w:t>
      </w:r>
      <w:r w:rsidRPr="00AA4677">
        <w:rPr>
          <w:rFonts w:eastAsia="Times New Roman" w:cs="Times New Roman"/>
          <w:szCs w:val="24"/>
        </w:rPr>
        <w:t>department</w:t>
      </w:r>
    </w:p>
    <w:p w14:paraId="67DF33DA" w14:textId="77777777" w:rsidR="006C359B" w:rsidRPr="00AA4677" w:rsidRDefault="006C359B">
      <w:pPr>
        <w:numPr>
          <w:ilvl w:val="0"/>
          <w:numId w:val="291"/>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Use of research-related radiation</w:t>
      </w:r>
    </w:p>
    <w:p w14:paraId="66D57C5B" w14:textId="1A909DEB" w:rsidR="0066054A" w:rsidRPr="00AA4677" w:rsidRDefault="006C359B">
      <w:pPr>
        <w:numPr>
          <w:ilvl w:val="0"/>
          <w:numId w:val="291"/>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Use of surgical pathology or cytology specimens</w:t>
      </w:r>
      <w:r w:rsidR="003E7C9E" w:rsidRPr="00AA4677">
        <w:rPr>
          <w:rFonts w:eastAsia="Times New Roman" w:cs="Times New Roman"/>
          <w:szCs w:val="24"/>
        </w:rPr>
        <w:t xml:space="preserve"> </w:t>
      </w:r>
    </w:p>
    <w:p w14:paraId="101274F8" w14:textId="458199C0" w:rsidR="003E7C9E" w:rsidRPr="00AA4677" w:rsidRDefault="0066054A" w:rsidP="00856CEB">
      <w:pPr>
        <w:shd w:val="clear" w:color="auto" w:fill="FFFFFF"/>
        <w:spacing w:after="0" w:line="240" w:lineRule="auto"/>
        <w:rPr>
          <w:rFonts w:eastAsia="Times New Roman" w:cs="Times New Roman"/>
          <w:i/>
          <w:szCs w:val="24"/>
        </w:rPr>
      </w:pPr>
      <w:r w:rsidRPr="00AA4677">
        <w:rPr>
          <w:rFonts w:eastAsia="Times New Roman" w:cs="Times New Roman"/>
          <w:i/>
          <w:szCs w:val="24"/>
        </w:rPr>
        <w:t>N</w:t>
      </w:r>
      <w:r w:rsidR="003E7C9E" w:rsidRPr="00AA4677">
        <w:rPr>
          <w:rFonts w:eastAsia="Times New Roman" w:cs="Times New Roman"/>
          <w:i/>
          <w:szCs w:val="24"/>
        </w:rPr>
        <w:t xml:space="preserve">ote: electronic signature of PI and department chair must be present </w:t>
      </w:r>
      <w:proofErr w:type="gramStart"/>
      <w:r w:rsidR="003E7C9E" w:rsidRPr="00AA4677">
        <w:rPr>
          <w:rFonts w:eastAsia="Times New Roman" w:cs="Times New Roman"/>
          <w:i/>
          <w:szCs w:val="24"/>
        </w:rPr>
        <w:t>in order for</w:t>
      </w:r>
      <w:proofErr w:type="gramEnd"/>
      <w:r w:rsidR="003E7C9E" w:rsidRPr="00AA4677">
        <w:rPr>
          <w:rFonts w:eastAsia="Times New Roman" w:cs="Times New Roman"/>
          <w:i/>
          <w:szCs w:val="24"/>
        </w:rPr>
        <w:t xml:space="preserve"> the submissio</w:t>
      </w:r>
      <w:r w:rsidRPr="00AA4677">
        <w:rPr>
          <w:rFonts w:eastAsia="Times New Roman" w:cs="Times New Roman"/>
          <w:i/>
          <w:szCs w:val="24"/>
        </w:rPr>
        <w:t>n to be acted upon by ORC staff.</w:t>
      </w:r>
    </w:p>
    <w:p w14:paraId="2290C3AB" w14:textId="5865FBA1" w:rsidR="00416320" w:rsidRPr="00AA4677" w:rsidRDefault="003E7C9E" w:rsidP="007926F2">
      <w:pPr>
        <w:shd w:val="clear" w:color="auto" w:fill="FFFFFF"/>
        <w:spacing w:before="100" w:beforeAutospacing="1" w:after="100" w:afterAutospacing="1" w:line="240" w:lineRule="auto"/>
      </w:pPr>
      <w:r w:rsidRPr="00AA4677">
        <w:rPr>
          <w:rFonts w:eastAsia="Times New Roman" w:cs="Times New Roman"/>
          <w:szCs w:val="24"/>
        </w:rPr>
        <w:t>O</w:t>
      </w:r>
      <w:r w:rsidR="00C35949" w:rsidRPr="00AA4677">
        <w:rPr>
          <w:rFonts w:eastAsia="Times New Roman" w:cs="Times New Roman"/>
          <w:szCs w:val="24"/>
        </w:rPr>
        <w:t xml:space="preserve">ffice of </w:t>
      </w:r>
      <w:r w:rsidRPr="00AA4677">
        <w:rPr>
          <w:rFonts w:eastAsia="Times New Roman" w:cs="Times New Roman"/>
          <w:szCs w:val="24"/>
        </w:rPr>
        <w:t>S</w:t>
      </w:r>
      <w:r w:rsidR="00C35949" w:rsidRPr="00AA4677">
        <w:rPr>
          <w:rFonts w:eastAsia="Times New Roman" w:cs="Times New Roman"/>
          <w:szCs w:val="24"/>
        </w:rPr>
        <w:t xml:space="preserve">ponsored </w:t>
      </w:r>
      <w:r w:rsidRPr="00AA4677">
        <w:rPr>
          <w:rFonts w:eastAsia="Times New Roman" w:cs="Times New Roman"/>
          <w:szCs w:val="24"/>
        </w:rPr>
        <w:t>P</w:t>
      </w:r>
      <w:r w:rsidR="00C35949" w:rsidRPr="00AA4677">
        <w:rPr>
          <w:rFonts w:eastAsia="Times New Roman" w:cs="Times New Roman"/>
          <w:szCs w:val="24"/>
        </w:rPr>
        <w:t>rograms</w:t>
      </w:r>
      <w:r w:rsidR="008C4D1A" w:rsidRPr="00AA4677">
        <w:rPr>
          <w:rFonts w:eastAsia="Times New Roman" w:cs="Times New Roman"/>
          <w:szCs w:val="24"/>
        </w:rPr>
        <w:t xml:space="preserve"> </w:t>
      </w:r>
      <w:r w:rsidRPr="00AA4677">
        <w:rPr>
          <w:rFonts w:eastAsia="Times New Roman" w:cs="Times New Roman"/>
          <w:szCs w:val="24"/>
        </w:rPr>
        <w:t>and O</w:t>
      </w:r>
      <w:r w:rsidR="00C35949" w:rsidRPr="00AA4677">
        <w:rPr>
          <w:rFonts w:eastAsia="Times New Roman" w:cs="Times New Roman"/>
          <w:szCs w:val="24"/>
        </w:rPr>
        <w:t xml:space="preserve">ffice of </w:t>
      </w:r>
      <w:r w:rsidRPr="00AA4677">
        <w:rPr>
          <w:rFonts w:eastAsia="Times New Roman" w:cs="Times New Roman"/>
          <w:szCs w:val="24"/>
        </w:rPr>
        <w:t>C</w:t>
      </w:r>
      <w:r w:rsidR="00C35949" w:rsidRPr="00AA4677">
        <w:rPr>
          <w:rFonts w:eastAsia="Times New Roman" w:cs="Times New Roman"/>
          <w:szCs w:val="24"/>
        </w:rPr>
        <w:t xml:space="preserve">linical </w:t>
      </w:r>
      <w:r w:rsidRPr="00AA4677">
        <w:rPr>
          <w:rFonts w:eastAsia="Times New Roman" w:cs="Times New Roman"/>
          <w:szCs w:val="24"/>
        </w:rPr>
        <w:t>T</w:t>
      </w:r>
      <w:r w:rsidR="00C35949" w:rsidRPr="00AA4677">
        <w:rPr>
          <w:rFonts w:eastAsia="Times New Roman" w:cs="Times New Roman"/>
          <w:szCs w:val="24"/>
        </w:rPr>
        <w:t>rials</w:t>
      </w:r>
      <w:r w:rsidRPr="00AA4677">
        <w:rPr>
          <w:rFonts w:eastAsia="Times New Roman" w:cs="Times New Roman"/>
          <w:szCs w:val="24"/>
        </w:rPr>
        <w:t xml:space="preserve"> staff have full administrative access to </w:t>
      </w:r>
      <w:r w:rsidR="00BF450D" w:rsidRPr="00AA4677">
        <w:rPr>
          <w:rFonts w:eastAsia="Times New Roman" w:cs="Times New Roman"/>
          <w:szCs w:val="24"/>
        </w:rPr>
        <w:t xml:space="preserve">the </w:t>
      </w:r>
      <w:r w:rsidR="00DC5138" w:rsidRPr="00AA4677">
        <w:rPr>
          <w:rFonts w:eastAsia="Times New Roman" w:cs="Times New Roman"/>
          <w:szCs w:val="24"/>
        </w:rPr>
        <w:t>electronic management system</w:t>
      </w:r>
      <w:r w:rsidR="00BF450D" w:rsidRPr="00AA4677">
        <w:rPr>
          <w:rFonts w:eastAsia="Times New Roman" w:cs="Times New Roman"/>
          <w:szCs w:val="24"/>
        </w:rPr>
        <w:t xml:space="preserve"> </w:t>
      </w:r>
      <w:r w:rsidRPr="00AA4677">
        <w:rPr>
          <w:rFonts w:eastAsia="Times New Roman" w:cs="Times New Roman"/>
          <w:szCs w:val="24"/>
        </w:rPr>
        <w:t>to assist in the coordination of various required inst</w:t>
      </w:r>
      <w:r w:rsidR="007926F2" w:rsidRPr="00AA4677">
        <w:rPr>
          <w:rFonts w:eastAsia="Times New Roman" w:cs="Times New Roman"/>
          <w:szCs w:val="24"/>
        </w:rPr>
        <w:t>itutional reviews and approval.</w:t>
      </w:r>
    </w:p>
    <w:p w14:paraId="18AA9A99" w14:textId="027076E0" w:rsidR="003E7C9E" w:rsidRPr="00AA4677" w:rsidRDefault="003E7C9E" w:rsidP="00696B35">
      <w:pPr>
        <w:pStyle w:val="Heading2"/>
      </w:pPr>
      <w:bookmarkStart w:id="29" w:name="_Toc192678147"/>
      <w:r w:rsidRPr="00AA4677">
        <w:t>1.11 H</w:t>
      </w:r>
      <w:r w:rsidR="000B108B" w:rsidRPr="00AA4677">
        <w:t xml:space="preserve">uman </w:t>
      </w:r>
      <w:r w:rsidRPr="00AA4677">
        <w:t>R</w:t>
      </w:r>
      <w:r w:rsidR="000B108B" w:rsidRPr="00AA4677">
        <w:t xml:space="preserve">esearch </w:t>
      </w:r>
      <w:r w:rsidRPr="00AA4677">
        <w:t>P</w:t>
      </w:r>
      <w:r w:rsidR="000B108B" w:rsidRPr="00AA4677">
        <w:t xml:space="preserve">rotection </w:t>
      </w:r>
      <w:r w:rsidRPr="00AA4677">
        <w:t>P</w:t>
      </w:r>
      <w:r w:rsidR="000B108B" w:rsidRPr="00AA4677">
        <w:t xml:space="preserve">rogram </w:t>
      </w:r>
      <w:r w:rsidRPr="00AA4677">
        <w:t>Operations</w:t>
      </w:r>
      <w:bookmarkEnd w:id="29"/>
    </w:p>
    <w:p w14:paraId="789CB758" w14:textId="1EB3377B"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addition to the leadership structure described above, support staff members who dedicate 100% effort to the HRPP </w:t>
      </w:r>
      <w:proofErr w:type="gramStart"/>
      <w:r w:rsidRPr="00AA4677">
        <w:rPr>
          <w:rFonts w:eastAsia="Times New Roman" w:cs="Times New Roman"/>
          <w:szCs w:val="24"/>
        </w:rPr>
        <w:t>include,</w:t>
      </w:r>
      <w:proofErr w:type="gramEnd"/>
      <w:r w:rsidRPr="00AA4677">
        <w:rPr>
          <w:rFonts w:eastAsia="Times New Roman" w:cs="Times New Roman"/>
          <w:szCs w:val="24"/>
        </w:rPr>
        <w:t xml:space="preserve"> </w:t>
      </w:r>
      <w:r w:rsidR="000B108B" w:rsidRPr="00AA4677">
        <w:rPr>
          <w:rFonts w:eastAsia="Times New Roman" w:cs="Times New Roman"/>
          <w:szCs w:val="24"/>
        </w:rPr>
        <w:t>four (4)</w:t>
      </w:r>
      <w:r w:rsidR="005953D6" w:rsidRPr="00AA4677">
        <w:rPr>
          <w:rFonts w:eastAsia="Times New Roman" w:cs="Times New Roman"/>
          <w:szCs w:val="24"/>
        </w:rPr>
        <w:t xml:space="preserve"> </w:t>
      </w:r>
      <w:r w:rsidR="000B108B" w:rsidRPr="00AA4677">
        <w:rPr>
          <w:rFonts w:eastAsia="Times New Roman" w:cs="Times New Roman"/>
          <w:szCs w:val="24"/>
        </w:rPr>
        <w:t xml:space="preserve">IRB </w:t>
      </w:r>
      <w:r w:rsidRPr="00AA4677">
        <w:rPr>
          <w:rFonts w:eastAsia="Times New Roman" w:cs="Times New Roman"/>
          <w:szCs w:val="24"/>
        </w:rPr>
        <w:t xml:space="preserve">Administrators and </w:t>
      </w:r>
      <w:r w:rsidR="007926F2" w:rsidRPr="00AA4677">
        <w:rPr>
          <w:rFonts w:eastAsia="Times New Roman" w:cs="Times New Roman"/>
          <w:szCs w:val="24"/>
        </w:rPr>
        <w:t>two</w:t>
      </w:r>
      <w:r w:rsidR="000B108B" w:rsidRPr="00AA4677">
        <w:rPr>
          <w:rFonts w:eastAsia="Times New Roman" w:cs="Times New Roman"/>
          <w:szCs w:val="24"/>
        </w:rPr>
        <w:t xml:space="preserve"> (</w:t>
      </w:r>
      <w:r w:rsidR="007926F2" w:rsidRPr="00AA4677">
        <w:rPr>
          <w:rFonts w:eastAsia="Times New Roman" w:cs="Times New Roman"/>
          <w:szCs w:val="24"/>
        </w:rPr>
        <w:t>2</w:t>
      </w:r>
      <w:r w:rsidR="000B108B" w:rsidRPr="00AA4677">
        <w:rPr>
          <w:rFonts w:eastAsia="Times New Roman" w:cs="Times New Roman"/>
          <w:szCs w:val="24"/>
        </w:rPr>
        <w:t>)</w:t>
      </w:r>
      <w:r w:rsidRPr="00AA4677">
        <w:rPr>
          <w:rFonts w:eastAsia="Times New Roman" w:cs="Times New Roman"/>
          <w:szCs w:val="24"/>
        </w:rPr>
        <w:t xml:space="preserve"> full-time </w:t>
      </w:r>
      <w:r w:rsidR="000B108B" w:rsidRPr="00AA4677">
        <w:rPr>
          <w:rFonts w:eastAsia="Times New Roman" w:cs="Times New Roman"/>
          <w:szCs w:val="24"/>
        </w:rPr>
        <w:t>IRB</w:t>
      </w:r>
      <w:r w:rsidRPr="00AA4677">
        <w:rPr>
          <w:rFonts w:eastAsia="Times New Roman" w:cs="Times New Roman"/>
          <w:szCs w:val="24"/>
        </w:rPr>
        <w:t xml:space="preserve"> Assistant</w:t>
      </w:r>
      <w:r w:rsidR="007926F2" w:rsidRPr="00AA4677">
        <w:rPr>
          <w:rFonts w:eastAsia="Times New Roman" w:cs="Times New Roman"/>
          <w:szCs w:val="24"/>
        </w:rPr>
        <w:t>s</w:t>
      </w:r>
      <w:r w:rsidRPr="00AA4677">
        <w:rPr>
          <w:rFonts w:eastAsia="Times New Roman" w:cs="Times New Roman"/>
          <w:szCs w:val="24"/>
        </w:rPr>
        <w:t xml:space="preserve">. See below for other individuals who contribute significant effort to the protection of human subjects at </w:t>
      </w:r>
      <w:r w:rsidR="000B108B" w:rsidRPr="00AA4677">
        <w:rPr>
          <w:rFonts w:eastAsia="Times New Roman" w:cs="Times New Roman"/>
          <w:szCs w:val="24"/>
        </w:rPr>
        <w:t>the University</w:t>
      </w:r>
      <w:r w:rsidRPr="00AA4677">
        <w:rPr>
          <w:rFonts w:eastAsia="Times New Roman" w:cs="Times New Roman"/>
          <w:szCs w:val="24"/>
        </w:rPr>
        <w:t>.</w:t>
      </w:r>
    </w:p>
    <w:p w14:paraId="2F3291FF" w14:textId="2D45D1A1" w:rsidR="003E7C9E" w:rsidRPr="00AA4677" w:rsidRDefault="003E7C9E" w:rsidP="00C57C98">
      <w:pPr>
        <w:pStyle w:val="Heading3"/>
      </w:pPr>
      <w:r w:rsidRPr="00AA4677">
        <w:lastRenderedPageBreak/>
        <w:t>1.11.1 </w:t>
      </w:r>
      <w:r w:rsidR="00F82E75" w:rsidRPr="00AA4677">
        <w:t>Assistant Vice President for Research Compliance (AVP-RC)</w:t>
      </w:r>
      <w:r w:rsidR="0040674E" w:rsidRPr="00AA4677">
        <w:t xml:space="preserve"> and Staff of the </w:t>
      </w:r>
      <w:r w:rsidRPr="00AA4677">
        <w:t>Office of Research Compliance</w:t>
      </w:r>
    </w:p>
    <w:p w14:paraId="4F428AFD" w14:textId="6F7DD304" w:rsidR="00D848CD"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Office of Research Compliance (ORC), within the </w:t>
      </w:r>
      <w:r w:rsidR="005953D6" w:rsidRPr="00AA4677">
        <w:rPr>
          <w:rFonts w:eastAsia="Times New Roman" w:cs="Times New Roman"/>
          <w:szCs w:val="24"/>
        </w:rPr>
        <w:t>Office of Vice President for Research (OVPR)</w:t>
      </w:r>
      <w:r w:rsidRPr="00AA4677">
        <w:rPr>
          <w:rFonts w:eastAsia="Times New Roman" w:cs="Times New Roman"/>
          <w:szCs w:val="24"/>
        </w:rPr>
        <w:t xml:space="preserve">, </w:t>
      </w:r>
      <w:r w:rsidR="00C12463" w:rsidRPr="00AA4677">
        <w:rPr>
          <w:rFonts w:eastAsia="Times New Roman" w:cs="Times New Roman"/>
          <w:szCs w:val="24"/>
        </w:rPr>
        <w:t xml:space="preserve">consists of </w:t>
      </w:r>
      <w:r w:rsidR="0040674E" w:rsidRPr="00AA4677">
        <w:rPr>
          <w:rFonts w:eastAsia="Times New Roman" w:cs="Times New Roman"/>
          <w:szCs w:val="24"/>
        </w:rPr>
        <w:t>a</w:t>
      </w:r>
      <w:r w:rsidR="00F82E75" w:rsidRPr="00AA4677">
        <w:rPr>
          <w:rFonts w:eastAsia="Times New Roman" w:cs="Times New Roman"/>
          <w:szCs w:val="24"/>
        </w:rPr>
        <w:t xml:space="preserve">n </w:t>
      </w:r>
      <w:r w:rsidR="00F82E75" w:rsidRPr="00AA4677">
        <w:t>Assistant Vice President for Research Compliance (AVP-RC)</w:t>
      </w:r>
      <w:r w:rsidR="00F82E75" w:rsidRPr="00AA4677">
        <w:rPr>
          <w:rFonts w:eastAsia="Times New Roman" w:cs="Times New Roman"/>
          <w:szCs w:val="24"/>
        </w:rPr>
        <w:t xml:space="preserve"> </w:t>
      </w:r>
      <w:r w:rsidR="00987BA7" w:rsidRPr="00AA4677">
        <w:rPr>
          <w:rFonts w:eastAsia="Times New Roman" w:cs="Times New Roman"/>
          <w:szCs w:val="24"/>
        </w:rPr>
        <w:t>and eight</w:t>
      </w:r>
      <w:r w:rsidR="0040674E" w:rsidRPr="00AA4677">
        <w:rPr>
          <w:rFonts w:eastAsia="Times New Roman" w:cs="Times New Roman"/>
          <w:szCs w:val="24"/>
        </w:rPr>
        <w:t xml:space="preserve"> </w:t>
      </w:r>
      <w:r w:rsidR="00E37D05" w:rsidRPr="00AA4677">
        <w:rPr>
          <w:rFonts w:eastAsia="Times New Roman" w:cs="Times New Roman"/>
          <w:szCs w:val="24"/>
        </w:rPr>
        <w:t>(</w:t>
      </w:r>
      <w:r w:rsidR="00987BA7" w:rsidRPr="00AA4677">
        <w:rPr>
          <w:rFonts w:eastAsia="Times New Roman" w:cs="Times New Roman"/>
          <w:szCs w:val="24"/>
        </w:rPr>
        <w:t>8</w:t>
      </w:r>
      <w:r w:rsidR="00E37D05" w:rsidRPr="00AA4677">
        <w:rPr>
          <w:rFonts w:eastAsia="Times New Roman" w:cs="Times New Roman"/>
          <w:szCs w:val="24"/>
        </w:rPr>
        <w:t>)</w:t>
      </w:r>
      <w:r w:rsidR="00C12463" w:rsidRPr="00AA4677">
        <w:rPr>
          <w:rFonts w:eastAsia="Times New Roman" w:cs="Times New Roman"/>
          <w:szCs w:val="24"/>
        </w:rPr>
        <w:t xml:space="preserve"> staff. </w:t>
      </w:r>
      <w:r w:rsidR="00D848CD" w:rsidRPr="00AA4677">
        <w:rPr>
          <w:rFonts w:eastAsia="Times New Roman" w:cs="Times New Roman"/>
          <w:szCs w:val="24"/>
        </w:rPr>
        <w:t xml:space="preserve">This office </w:t>
      </w:r>
      <w:r w:rsidR="00C12463" w:rsidRPr="00AA4677">
        <w:rPr>
          <w:rFonts w:eastAsia="Times New Roman" w:cs="Times New Roman"/>
          <w:szCs w:val="24"/>
        </w:rPr>
        <w:t xml:space="preserve">provides the </w:t>
      </w:r>
      <w:r w:rsidRPr="00AA4677">
        <w:rPr>
          <w:rFonts w:eastAsia="Times New Roman" w:cs="Times New Roman"/>
          <w:szCs w:val="24"/>
        </w:rPr>
        <w:t xml:space="preserve">primary administrative </w:t>
      </w:r>
      <w:r w:rsidR="00C12463" w:rsidRPr="00AA4677">
        <w:rPr>
          <w:rFonts w:eastAsia="Times New Roman" w:cs="Times New Roman"/>
          <w:szCs w:val="24"/>
        </w:rPr>
        <w:t xml:space="preserve">support </w:t>
      </w:r>
      <w:r w:rsidRPr="00AA4677">
        <w:rPr>
          <w:rFonts w:eastAsia="Times New Roman" w:cs="Times New Roman"/>
          <w:szCs w:val="24"/>
        </w:rPr>
        <w:t xml:space="preserve">for management of </w:t>
      </w:r>
      <w:r w:rsidR="000B108B" w:rsidRPr="00AA4677">
        <w:rPr>
          <w:rFonts w:eastAsia="Times New Roman" w:cs="Times New Roman"/>
          <w:szCs w:val="24"/>
        </w:rPr>
        <w:t>the University’s</w:t>
      </w:r>
      <w:r w:rsidRPr="00AA4677">
        <w:rPr>
          <w:rFonts w:eastAsia="Times New Roman" w:cs="Times New Roman"/>
          <w:szCs w:val="24"/>
        </w:rPr>
        <w:t xml:space="preserve"> HRPP. </w:t>
      </w:r>
    </w:p>
    <w:p w14:paraId="45F875A1" w14:textId="7B496415" w:rsidR="0040674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Staff of the ORC report to, and are supervised by</w:t>
      </w:r>
      <w:r w:rsidR="00D848CD" w:rsidRPr="00AA4677">
        <w:rPr>
          <w:rFonts w:eastAsia="Times New Roman" w:cs="Times New Roman"/>
          <w:szCs w:val="24"/>
        </w:rPr>
        <w:t xml:space="preserve">, </w:t>
      </w:r>
      <w:r w:rsidRPr="00AA4677">
        <w:rPr>
          <w:rFonts w:eastAsia="Times New Roman" w:cs="Times New Roman"/>
          <w:szCs w:val="24"/>
        </w:rPr>
        <w:t xml:space="preserve">the </w:t>
      </w:r>
      <w:r w:rsidR="00F82E75" w:rsidRPr="00AA4677">
        <w:t>AVP-RC</w:t>
      </w:r>
      <w:r w:rsidRPr="00AA4677">
        <w:rPr>
          <w:rFonts w:eastAsia="Times New Roman" w:cs="Times New Roman"/>
          <w:szCs w:val="24"/>
        </w:rPr>
        <w:t xml:space="preserve">. </w:t>
      </w:r>
      <w:r w:rsidR="0040674E" w:rsidRPr="00AA4677">
        <w:rPr>
          <w:rFonts w:eastAsia="Times New Roman" w:cs="Times New Roman"/>
          <w:szCs w:val="24"/>
        </w:rPr>
        <w:t xml:space="preserve">For matters concerning the HRPP, the </w:t>
      </w:r>
      <w:r w:rsidR="00F82E75" w:rsidRPr="00AA4677">
        <w:t>AVP-RC</w:t>
      </w:r>
      <w:r w:rsidR="00F82E75" w:rsidRPr="00AA4677">
        <w:rPr>
          <w:rFonts w:eastAsia="Times New Roman" w:cs="Times New Roman"/>
          <w:szCs w:val="24"/>
        </w:rPr>
        <w:t xml:space="preserve"> </w:t>
      </w:r>
      <w:r w:rsidR="00B87F2C" w:rsidRPr="00AA4677">
        <w:rPr>
          <w:rFonts w:eastAsia="Times New Roman" w:cs="Times New Roman"/>
          <w:szCs w:val="24"/>
        </w:rPr>
        <w:t xml:space="preserve">serves as the IO in administering general oversight of the HRPP </w:t>
      </w:r>
      <w:r w:rsidR="00A90167" w:rsidRPr="00AA4677">
        <w:rPr>
          <w:rFonts w:eastAsia="Times New Roman" w:cs="Times New Roman"/>
          <w:szCs w:val="24"/>
        </w:rPr>
        <w:t>and</w:t>
      </w:r>
      <w:r w:rsidR="0040674E" w:rsidRPr="00AA4677">
        <w:rPr>
          <w:rFonts w:eastAsia="Times New Roman" w:cs="Times New Roman"/>
          <w:szCs w:val="24"/>
        </w:rPr>
        <w:t xml:space="preserve"> in the promulgation of the IO responsibilities detailed in 1.10.1</w:t>
      </w:r>
      <w:r w:rsidR="00B87F2C" w:rsidRPr="00AA4677">
        <w:rPr>
          <w:rFonts w:eastAsia="Times New Roman" w:cs="Times New Roman"/>
          <w:szCs w:val="24"/>
        </w:rPr>
        <w:t>.</w:t>
      </w:r>
    </w:p>
    <w:p w14:paraId="0CFC7F59" w14:textId="5A0BED5A" w:rsidR="00D848CD" w:rsidRPr="00AA4677" w:rsidRDefault="003E7C9E" w:rsidP="00FF1701">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staff of </w:t>
      </w:r>
      <w:proofErr w:type="gramStart"/>
      <w:r w:rsidRPr="00AA4677">
        <w:rPr>
          <w:rFonts w:eastAsia="Times New Roman" w:cs="Times New Roman"/>
          <w:szCs w:val="24"/>
        </w:rPr>
        <w:t>ORC that is</w:t>
      </w:r>
      <w:proofErr w:type="gramEnd"/>
      <w:r w:rsidRPr="00AA4677">
        <w:rPr>
          <w:rFonts w:eastAsia="Times New Roman" w:cs="Times New Roman"/>
          <w:szCs w:val="24"/>
        </w:rPr>
        <w:t xml:space="preserve"> specific to SBU’s </w:t>
      </w:r>
      <w:proofErr w:type="gramStart"/>
      <w:r w:rsidRPr="00AA4677">
        <w:rPr>
          <w:rFonts w:eastAsia="Times New Roman" w:cs="Times New Roman"/>
          <w:szCs w:val="24"/>
        </w:rPr>
        <w:t>HRPP</w:t>
      </w:r>
      <w:proofErr w:type="gramEnd"/>
      <w:r w:rsidRPr="00AA4677">
        <w:rPr>
          <w:rFonts w:eastAsia="Times New Roman" w:cs="Times New Roman"/>
          <w:szCs w:val="24"/>
        </w:rPr>
        <w:t xml:space="preserve"> consists </w:t>
      </w:r>
      <w:proofErr w:type="spellStart"/>
      <w:proofErr w:type="gramStart"/>
      <w:r w:rsidRPr="00AA4677">
        <w:rPr>
          <w:rFonts w:eastAsia="Times New Roman" w:cs="Times New Roman"/>
          <w:szCs w:val="24"/>
        </w:rPr>
        <w:t>of</w:t>
      </w:r>
      <w:r w:rsidR="00FF1701" w:rsidRPr="00AA4677">
        <w:rPr>
          <w:rFonts w:eastAsia="Times New Roman" w:cs="Times New Roman"/>
          <w:szCs w:val="24"/>
        </w:rPr>
        <w:t>individuals</w:t>
      </w:r>
      <w:proofErr w:type="spellEnd"/>
      <w:proofErr w:type="gramEnd"/>
      <w:r w:rsidR="00FF1701" w:rsidRPr="00AA4677">
        <w:rPr>
          <w:rFonts w:eastAsia="Times New Roman" w:cs="Times New Roman"/>
          <w:szCs w:val="24"/>
        </w:rPr>
        <w:t xml:space="preserve"> </w:t>
      </w:r>
      <w:r w:rsidR="00D848CD" w:rsidRPr="00AA4677">
        <w:rPr>
          <w:rFonts w:eastAsia="Times New Roman" w:cs="Times New Roman"/>
          <w:szCs w:val="24"/>
        </w:rPr>
        <w:t>responsible for facilitating all aspects of the IRB experien</w:t>
      </w:r>
      <w:r w:rsidR="00E13DB9" w:rsidRPr="00AA4677">
        <w:rPr>
          <w:rFonts w:eastAsia="Times New Roman" w:cs="Times New Roman"/>
          <w:szCs w:val="24"/>
        </w:rPr>
        <w:t>ce throughout the life</w:t>
      </w:r>
      <w:r w:rsidR="00D848CD" w:rsidRPr="00AA4677">
        <w:rPr>
          <w:rFonts w:eastAsia="Times New Roman" w:cs="Times New Roman"/>
          <w:szCs w:val="24"/>
        </w:rPr>
        <w:t xml:space="preserve"> of a research proposal involving human subjects.  This responsi</w:t>
      </w:r>
      <w:r w:rsidR="00E13DB9" w:rsidRPr="00AA4677">
        <w:rPr>
          <w:rFonts w:eastAsia="Times New Roman" w:cs="Times New Roman"/>
          <w:szCs w:val="24"/>
        </w:rPr>
        <w:t>bility includes the pre-</w:t>
      </w:r>
      <w:r w:rsidR="00D848CD" w:rsidRPr="00AA4677">
        <w:rPr>
          <w:rFonts w:eastAsia="Times New Roman" w:cs="Times New Roman"/>
          <w:szCs w:val="24"/>
        </w:rPr>
        <w:t>review of documents and screening of research proposals prior to review by the IRB, assignment of reviewers, as well as serving as the liaison between the i</w:t>
      </w:r>
      <w:r w:rsidR="00E13DB9" w:rsidRPr="00AA4677">
        <w:rPr>
          <w:rFonts w:eastAsia="Times New Roman" w:cs="Times New Roman"/>
          <w:szCs w:val="24"/>
        </w:rPr>
        <w:t xml:space="preserve">nvestigators and the </w:t>
      </w:r>
      <w:r w:rsidR="00D848CD" w:rsidRPr="00AA4677">
        <w:rPr>
          <w:rFonts w:eastAsia="Times New Roman" w:cs="Times New Roman"/>
          <w:szCs w:val="24"/>
        </w:rPr>
        <w:t xml:space="preserve">IRBs.  The IRB </w:t>
      </w:r>
      <w:r w:rsidR="00E13DB9" w:rsidRPr="00AA4677">
        <w:rPr>
          <w:rFonts w:eastAsia="Times New Roman" w:cs="Times New Roman"/>
          <w:szCs w:val="24"/>
        </w:rPr>
        <w:t>Administrators attend</w:t>
      </w:r>
      <w:r w:rsidR="00D848CD" w:rsidRPr="00AA4677">
        <w:rPr>
          <w:rFonts w:eastAsia="Times New Roman" w:cs="Times New Roman"/>
          <w:szCs w:val="24"/>
        </w:rPr>
        <w:t xml:space="preserve"> IRB meetings and help ensure proper documentation of discussions, including controverted discussions and actions taken by the </w:t>
      </w:r>
      <w:r w:rsidR="00EE7207" w:rsidRPr="00AA4677">
        <w:rPr>
          <w:rFonts w:eastAsia="Times New Roman" w:cs="Times New Roman"/>
          <w:szCs w:val="24"/>
        </w:rPr>
        <w:t>IRB</w:t>
      </w:r>
      <w:r w:rsidR="00E13DB9" w:rsidRPr="00AA4677">
        <w:rPr>
          <w:rFonts w:eastAsia="Times New Roman" w:cs="Times New Roman"/>
          <w:szCs w:val="24"/>
        </w:rPr>
        <w:t>s</w:t>
      </w:r>
      <w:r w:rsidR="00D848CD" w:rsidRPr="00AA4677">
        <w:rPr>
          <w:rFonts w:eastAsia="Times New Roman" w:cs="Times New Roman"/>
          <w:szCs w:val="24"/>
        </w:rPr>
        <w:t xml:space="preserve"> du</w:t>
      </w:r>
      <w:r w:rsidR="00E06BE2" w:rsidRPr="00AA4677">
        <w:rPr>
          <w:rFonts w:eastAsia="Times New Roman" w:cs="Times New Roman"/>
          <w:szCs w:val="24"/>
        </w:rPr>
        <w:t>ring convened meetings. Each</w:t>
      </w:r>
      <w:r w:rsidR="00D848CD" w:rsidRPr="00AA4677">
        <w:rPr>
          <w:rFonts w:eastAsia="Times New Roman" w:cs="Times New Roman"/>
          <w:szCs w:val="24"/>
        </w:rPr>
        <w:t xml:space="preserve"> IRB Administrat</w:t>
      </w:r>
      <w:r w:rsidR="00E13DB9" w:rsidRPr="00AA4677">
        <w:rPr>
          <w:rFonts w:eastAsia="Times New Roman" w:cs="Times New Roman"/>
          <w:szCs w:val="24"/>
        </w:rPr>
        <w:t>or serves as a voting</w:t>
      </w:r>
      <w:r w:rsidR="00516F61" w:rsidRPr="00AA4677">
        <w:rPr>
          <w:rFonts w:eastAsia="Times New Roman" w:cs="Times New Roman"/>
          <w:szCs w:val="24"/>
        </w:rPr>
        <w:t xml:space="preserve"> IRB member on one of the</w:t>
      </w:r>
      <w:r w:rsidR="00D848CD" w:rsidRPr="00AA4677">
        <w:rPr>
          <w:rFonts w:eastAsia="Times New Roman" w:cs="Times New Roman"/>
          <w:szCs w:val="24"/>
        </w:rPr>
        <w:t xml:space="preserve"> </w:t>
      </w:r>
      <w:r w:rsidR="00EE7207" w:rsidRPr="00AA4677">
        <w:rPr>
          <w:rFonts w:eastAsia="Times New Roman" w:cs="Times New Roman"/>
          <w:szCs w:val="24"/>
        </w:rPr>
        <w:t>IRB</w:t>
      </w:r>
      <w:r w:rsidR="00D848CD" w:rsidRPr="00AA4677">
        <w:rPr>
          <w:rFonts w:eastAsia="Times New Roman" w:cs="Times New Roman"/>
          <w:szCs w:val="24"/>
        </w:rPr>
        <w:t xml:space="preserve">s (and alternates for each other on the other </w:t>
      </w:r>
      <w:r w:rsidR="00EE7207" w:rsidRPr="00AA4677">
        <w:rPr>
          <w:rFonts w:eastAsia="Times New Roman" w:cs="Times New Roman"/>
          <w:szCs w:val="24"/>
        </w:rPr>
        <w:t>IRB</w:t>
      </w:r>
      <w:r w:rsidR="00D848CD" w:rsidRPr="00AA4677">
        <w:rPr>
          <w:rFonts w:eastAsia="Times New Roman" w:cs="Times New Roman"/>
          <w:szCs w:val="24"/>
        </w:rPr>
        <w:t>). These individuals either write, or oversee, the communication from the IRB to the investigator.</w:t>
      </w:r>
    </w:p>
    <w:p w14:paraId="0361DFD7" w14:textId="38896A53" w:rsidR="00FF1701" w:rsidRPr="00AA4677" w:rsidRDefault="00FF1701" w:rsidP="00FF1701">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IRB staff </w:t>
      </w:r>
      <w:proofErr w:type="gramStart"/>
      <w:r w:rsidRPr="00AA4677">
        <w:rPr>
          <w:rFonts w:eastAsia="Times New Roman" w:cs="Times New Roman"/>
          <w:szCs w:val="24"/>
        </w:rPr>
        <w:t>is</w:t>
      </w:r>
      <w:proofErr w:type="gramEnd"/>
      <w:r w:rsidRPr="00AA4677">
        <w:rPr>
          <w:rFonts w:eastAsia="Times New Roman" w:cs="Times New Roman"/>
          <w:szCs w:val="24"/>
        </w:rPr>
        <w:t xml:space="preserve"> always available to speak by phone or in person with investigators who need assistance in navigating </w:t>
      </w:r>
      <w:proofErr w:type="gramStart"/>
      <w:r w:rsidRPr="00AA4677">
        <w:rPr>
          <w:rFonts w:eastAsia="Times New Roman" w:cs="Times New Roman"/>
          <w:szCs w:val="24"/>
        </w:rPr>
        <w:t>any and all</w:t>
      </w:r>
      <w:proofErr w:type="gramEnd"/>
      <w:r w:rsidRPr="00AA4677">
        <w:rPr>
          <w:rFonts w:eastAsia="Times New Roman" w:cs="Times New Roman"/>
          <w:szCs w:val="24"/>
        </w:rPr>
        <w:t xml:space="preserve"> aspects of the IRB process. Individual consultations with the staff are particularly encouraged and strongly recommended for </w:t>
      </w:r>
      <w:proofErr w:type="gramStart"/>
      <w:r w:rsidRPr="00AA4677">
        <w:rPr>
          <w:rFonts w:eastAsia="Times New Roman" w:cs="Times New Roman"/>
          <w:szCs w:val="24"/>
        </w:rPr>
        <w:t>investigators</w:t>
      </w:r>
      <w:proofErr w:type="gramEnd"/>
      <w:r w:rsidRPr="00AA4677">
        <w:rPr>
          <w:rFonts w:eastAsia="Times New Roman" w:cs="Times New Roman"/>
          <w:szCs w:val="24"/>
        </w:rPr>
        <w:t xml:space="preserve"> of first-time submissions. </w:t>
      </w:r>
    </w:p>
    <w:p w14:paraId="4D19BA16" w14:textId="34F4136D" w:rsidR="00FF1701" w:rsidRPr="00AA4677" w:rsidRDefault="00FF1701" w:rsidP="00FF1701">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structure of the Office of Research Compliance, with responsibility for the administrative support of multiple compliance committees, permits efficiencies and assurances that all relevant compliance approvals are obtained for a particular research activity. </w:t>
      </w:r>
    </w:p>
    <w:p w14:paraId="70897671" w14:textId="18B6D4A3" w:rsidR="00D848CD" w:rsidRPr="00AA4677" w:rsidRDefault="00BC6E54"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F82E75" w:rsidRPr="00AA4677">
        <w:t>AVP-RC</w:t>
      </w:r>
      <w:r w:rsidR="00F82E75" w:rsidRPr="00AA4677" w:rsidDel="00BC6E54">
        <w:rPr>
          <w:rFonts w:eastAsia="Times New Roman" w:cs="Times New Roman"/>
          <w:szCs w:val="24"/>
        </w:rPr>
        <w:t xml:space="preserve"> </w:t>
      </w:r>
      <w:r w:rsidR="00D848CD" w:rsidRPr="00AA4677">
        <w:rPr>
          <w:rFonts w:eastAsia="Times New Roman" w:cs="Times New Roman"/>
          <w:szCs w:val="24"/>
        </w:rPr>
        <w:t>is the Human Protections Administrator</w:t>
      </w:r>
      <w:r w:rsidR="00E13DB9" w:rsidRPr="00AA4677">
        <w:rPr>
          <w:rFonts w:eastAsia="Times New Roman" w:cs="Times New Roman"/>
          <w:szCs w:val="24"/>
        </w:rPr>
        <w:t xml:space="preserve"> per the FWA</w:t>
      </w:r>
      <w:r w:rsidR="003E7C9E" w:rsidRPr="00AA4677">
        <w:rPr>
          <w:rFonts w:eastAsia="Times New Roman" w:cs="Times New Roman"/>
          <w:szCs w:val="24"/>
        </w:rPr>
        <w:t xml:space="preserve">.  </w:t>
      </w:r>
      <w:r w:rsidRPr="00AA4677">
        <w:rPr>
          <w:rFonts w:eastAsia="Times New Roman" w:cs="Times New Roman"/>
          <w:szCs w:val="24"/>
        </w:rPr>
        <w:t>Along with an Assistant Director, t</w:t>
      </w:r>
      <w:r w:rsidR="003E7C9E" w:rsidRPr="00AA4677">
        <w:rPr>
          <w:rFonts w:eastAsia="Times New Roman" w:cs="Times New Roman"/>
          <w:szCs w:val="24"/>
        </w:rPr>
        <w:t>hese staff members also have responsibilities in other areas of ORC, i.e., administration and management of the Institutional Animal Care and Use</w:t>
      </w:r>
      <w:r w:rsidR="00A90167" w:rsidRPr="00AA4677">
        <w:rPr>
          <w:rFonts w:eastAsia="Times New Roman" w:cs="Times New Roman"/>
          <w:szCs w:val="24"/>
        </w:rPr>
        <w:t xml:space="preserve"> Committee</w:t>
      </w:r>
      <w:r w:rsidR="003E7C9E" w:rsidRPr="00AA4677">
        <w:rPr>
          <w:rFonts w:eastAsia="Times New Roman" w:cs="Times New Roman"/>
          <w:szCs w:val="24"/>
        </w:rPr>
        <w:t>, Institutional Biosafety</w:t>
      </w:r>
      <w:r w:rsidR="00DE1EBA" w:rsidRPr="00AA4677">
        <w:rPr>
          <w:rFonts w:eastAsia="Times New Roman" w:cs="Times New Roman"/>
          <w:szCs w:val="24"/>
        </w:rPr>
        <w:t>- IBC</w:t>
      </w:r>
      <w:r w:rsidR="00C12463" w:rsidRPr="00AA4677">
        <w:rPr>
          <w:rFonts w:eastAsia="Times New Roman" w:cs="Times New Roman"/>
          <w:szCs w:val="24"/>
        </w:rPr>
        <w:t xml:space="preserve"> (and DURC), Radioactive Drug Research</w:t>
      </w:r>
      <w:r w:rsidR="00DE1EBA" w:rsidRPr="00AA4677">
        <w:rPr>
          <w:rFonts w:eastAsia="Times New Roman" w:cs="Times New Roman"/>
          <w:szCs w:val="24"/>
        </w:rPr>
        <w:t xml:space="preserve"> (RDRC),</w:t>
      </w:r>
      <w:r w:rsidR="00C12463" w:rsidRPr="00AA4677">
        <w:rPr>
          <w:rFonts w:eastAsia="Times New Roman" w:cs="Times New Roman"/>
          <w:szCs w:val="24"/>
        </w:rPr>
        <w:t xml:space="preserve"> </w:t>
      </w:r>
      <w:r w:rsidR="003E7C9E" w:rsidRPr="00AA4677">
        <w:rPr>
          <w:rFonts w:eastAsia="Times New Roman" w:cs="Times New Roman"/>
          <w:szCs w:val="24"/>
        </w:rPr>
        <w:t>and Stem Cell Research Oversight committee</w:t>
      </w:r>
      <w:r w:rsidR="00C12463" w:rsidRPr="00AA4677">
        <w:rPr>
          <w:rFonts w:eastAsia="Times New Roman" w:cs="Times New Roman"/>
          <w:szCs w:val="24"/>
        </w:rPr>
        <w:t xml:space="preserve">s. The </w:t>
      </w:r>
      <w:r w:rsidR="00F82E75" w:rsidRPr="00AA4677">
        <w:t>AVP-RC</w:t>
      </w:r>
      <w:r w:rsidR="00F82E75" w:rsidRPr="00AA4677" w:rsidDel="00BC6E54">
        <w:rPr>
          <w:rFonts w:eastAsia="Times New Roman" w:cs="Times New Roman"/>
          <w:szCs w:val="24"/>
        </w:rPr>
        <w:t xml:space="preserve"> </w:t>
      </w:r>
      <w:r w:rsidRPr="00AA4677">
        <w:rPr>
          <w:rFonts w:eastAsia="Times New Roman" w:cs="Times New Roman"/>
          <w:szCs w:val="24"/>
        </w:rPr>
        <w:t>i</w:t>
      </w:r>
      <w:r w:rsidR="00C12463" w:rsidRPr="00AA4677">
        <w:rPr>
          <w:rFonts w:eastAsia="Times New Roman" w:cs="Times New Roman"/>
          <w:szCs w:val="24"/>
        </w:rPr>
        <w:t>s also the Research Integrity Officer</w:t>
      </w:r>
      <w:r w:rsidR="00A90167" w:rsidRPr="00AA4677">
        <w:rPr>
          <w:rFonts w:eastAsia="Times New Roman" w:cs="Times New Roman"/>
          <w:szCs w:val="24"/>
        </w:rPr>
        <w:t xml:space="preserve"> (RIO) and handles</w:t>
      </w:r>
      <w:r w:rsidR="00C12463" w:rsidRPr="00AA4677">
        <w:rPr>
          <w:rFonts w:eastAsia="Times New Roman" w:cs="Times New Roman"/>
          <w:szCs w:val="24"/>
        </w:rPr>
        <w:t xml:space="preserve"> research misconduct allegations and proce</w:t>
      </w:r>
      <w:r w:rsidR="00F82E75" w:rsidRPr="00AA4677">
        <w:rPr>
          <w:rFonts w:eastAsia="Times New Roman" w:cs="Times New Roman"/>
          <w:szCs w:val="24"/>
        </w:rPr>
        <w:t>e</w:t>
      </w:r>
      <w:r w:rsidR="00A90167" w:rsidRPr="00AA4677">
        <w:rPr>
          <w:rFonts w:eastAsia="Times New Roman" w:cs="Times New Roman"/>
          <w:szCs w:val="24"/>
        </w:rPr>
        <w:t>dings for the University</w:t>
      </w:r>
      <w:r w:rsidR="003E7C9E" w:rsidRPr="00AA4677">
        <w:rPr>
          <w:rFonts w:eastAsia="Times New Roman" w:cs="Times New Roman"/>
          <w:szCs w:val="24"/>
        </w:rPr>
        <w:t>.</w:t>
      </w:r>
      <w:r w:rsidR="00C12463" w:rsidRPr="00AA4677">
        <w:rPr>
          <w:rFonts w:eastAsia="Times New Roman" w:cs="Times New Roman"/>
          <w:szCs w:val="24"/>
        </w:rPr>
        <w:t xml:space="preserve"> </w:t>
      </w:r>
    </w:p>
    <w:p w14:paraId="1E20F59D" w14:textId="30D79DCF" w:rsidR="003E7C9E" w:rsidRPr="00AA4677" w:rsidRDefault="003E7C9E" w:rsidP="00C57C98">
      <w:pPr>
        <w:pStyle w:val="Heading3"/>
      </w:pPr>
      <w:r w:rsidRPr="00AA4677">
        <w:lastRenderedPageBreak/>
        <w:t>1.11.</w:t>
      </w:r>
      <w:r w:rsidR="00D848CD" w:rsidRPr="00AA4677">
        <w:t>2</w:t>
      </w:r>
      <w:r w:rsidRPr="00AA4677">
        <w:t> Selection, Supervision and Evaluation of HRPP Supporting Staff</w:t>
      </w:r>
    </w:p>
    <w:p w14:paraId="204ABAE4" w14:textId="256F3421"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Selection Process:</w:t>
      </w:r>
      <w:r w:rsidR="00EF3973" w:rsidRPr="00AA4677">
        <w:rPr>
          <w:rFonts w:eastAsia="Times New Roman" w:cs="Times New Roman"/>
          <w:b/>
          <w:bCs/>
          <w:szCs w:val="24"/>
        </w:rPr>
        <w:t xml:space="preserve">  </w:t>
      </w:r>
      <w:proofErr w:type="gramStart"/>
      <w:r w:rsidRPr="00AA4677">
        <w:rPr>
          <w:rFonts w:eastAsia="Times New Roman" w:cs="Times New Roman"/>
          <w:szCs w:val="24"/>
        </w:rPr>
        <w:t>Policies and procedures of the Research Foundation of SUNY</w:t>
      </w:r>
      <w:r w:rsidR="00EE7A94" w:rsidRPr="00AA4677">
        <w:rPr>
          <w:rFonts w:eastAsia="Times New Roman" w:cs="Times New Roman"/>
          <w:szCs w:val="24"/>
        </w:rPr>
        <w:t xml:space="preserve"> and SUNY</w:t>
      </w:r>
      <w:r w:rsidRPr="00AA4677">
        <w:rPr>
          <w:rFonts w:eastAsia="Times New Roman" w:cs="Times New Roman"/>
          <w:szCs w:val="24"/>
        </w:rPr>
        <w:t>,</w:t>
      </w:r>
      <w:proofErr w:type="gramEnd"/>
      <w:r w:rsidRPr="00AA4677">
        <w:rPr>
          <w:rFonts w:eastAsia="Times New Roman" w:cs="Times New Roman"/>
          <w:szCs w:val="24"/>
        </w:rPr>
        <w:t xml:space="preserve"> are followed for the recruitment and selection of HRPP professional and clerical staff. </w:t>
      </w:r>
      <w:r w:rsidR="0009745A" w:rsidRPr="00AA4677">
        <w:rPr>
          <w:rFonts w:eastAsia="Times New Roman" w:cs="Times New Roman"/>
          <w:szCs w:val="24"/>
        </w:rPr>
        <w:t xml:space="preserve">The University </w:t>
      </w:r>
      <w:r w:rsidRPr="00AA4677">
        <w:rPr>
          <w:rFonts w:eastAsia="Times New Roman" w:cs="Times New Roman"/>
          <w:szCs w:val="24"/>
        </w:rPr>
        <w:t xml:space="preserve">is an Affirmative Action/Equal Opportunity employer and educator. </w:t>
      </w:r>
      <w:r w:rsidR="0009745A" w:rsidRPr="00AA4677">
        <w:rPr>
          <w:rFonts w:eastAsia="Times New Roman" w:cs="Times New Roman"/>
          <w:szCs w:val="24"/>
        </w:rPr>
        <w:t>The University’</w:t>
      </w:r>
      <w:r w:rsidRPr="00AA4677">
        <w:rPr>
          <w:rFonts w:eastAsia="Times New Roman" w:cs="Times New Roman"/>
          <w:szCs w:val="24"/>
        </w:rPr>
        <w:t>s hiring departments and the search committee assigned to each recruitment work together with Human Resource's Recruitment, the Office of Diversity/Affirmative Action and the local Affirmative Action/Equal Employment Opportunity Committee to demonstrate the University's good faith efforts to locate and consider for employment a wide pool of applicants, including qualified persons of color, women, disabled persons and special disabled or Vietnam era veterans.  </w:t>
      </w:r>
    </w:p>
    <w:p w14:paraId="6DF09192" w14:textId="7777777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Depending on the position to be filled, variables to be considered in the selection of HRPP staff include prior experience in IRB administration or another position within an HRPP (e.g., study coordinator), or, at the assistant or clerical levels, a desire to learn and be an active participant in the regulatory, ethical, and procedural aspects that support an HRPP. </w:t>
      </w:r>
    </w:p>
    <w:p w14:paraId="3CD7F7B9" w14:textId="6DEEC2D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Supervision:</w:t>
      </w:r>
      <w:r w:rsidR="00EF3973" w:rsidRPr="00AA4677">
        <w:rPr>
          <w:rFonts w:eastAsia="Times New Roman" w:cs="Times New Roman"/>
          <w:b/>
          <w:bCs/>
          <w:szCs w:val="24"/>
        </w:rPr>
        <w:t xml:space="preserve"> </w:t>
      </w:r>
      <w:r w:rsidRPr="00AA4677">
        <w:rPr>
          <w:rFonts w:eastAsia="Times New Roman" w:cs="Times New Roman"/>
          <w:szCs w:val="24"/>
        </w:rPr>
        <w:t xml:space="preserve">The </w:t>
      </w:r>
      <w:r w:rsidR="006E3248" w:rsidRPr="00AA4677">
        <w:rPr>
          <w:rFonts w:eastAsia="Times New Roman" w:cs="Times New Roman"/>
          <w:szCs w:val="24"/>
        </w:rPr>
        <w:t>IRB</w:t>
      </w:r>
      <w:r w:rsidRPr="00AA4677">
        <w:rPr>
          <w:rFonts w:eastAsia="Times New Roman" w:cs="Times New Roman"/>
          <w:szCs w:val="24"/>
        </w:rPr>
        <w:t xml:space="preserve"> Assistant is supervised by the </w:t>
      </w:r>
      <w:r w:rsidR="006E3248" w:rsidRPr="00AA4677">
        <w:rPr>
          <w:rFonts w:eastAsia="Times New Roman" w:cs="Times New Roman"/>
          <w:szCs w:val="24"/>
        </w:rPr>
        <w:t>IRB</w:t>
      </w:r>
      <w:r w:rsidRPr="00AA4677">
        <w:rPr>
          <w:rFonts w:eastAsia="Times New Roman" w:cs="Times New Roman"/>
          <w:szCs w:val="24"/>
        </w:rPr>
        <w:t xml:space="preserve"> </w:t>
      </w:r>
      <w:r w:rsidR="00A56B91" w:rsidRPr="00AA4677">
        <w:rPr>
          <w:rFonts w:eastAsia="Times New Roman" w:cs="Times New Roman"/>
          <w:szCs w:val="24"/>
        </w:rPr>
        <w:t>A</w:t>
      </w:r>
      <w:r w:rsidRPr="00AA4677">
        <w:rPr>
          <w:rFonts w:eastAsia="Times New Roman" w:cs="Times New Roman"/>
          <w:szCs w:val="24"/>
        </w:rPr>
        <w:t xml:space="preserve">dministrators who, in turn, are supervised by the Assistant Director of </w:t>
      </w:r>
      <w:r w:rsidR="008840F5" w:rsidRPr="00AA4677">
        <w:rPr>
          <w:rFonts w:eastAsia="Times New Roman" w:cs="Times New Roman"/>
          <w:szCs w:val="24"/>
        </w:rPr>
        <w:t>ORC</w:t>
      </w:r>
      <w:r w:rsidRPr="00AA4677">
        <w:rPr>
          <w:rFonts w:eastAsia="Times New Roman" w:cs="Times New Roman"/>
          <w:szCs w:val="24"/>
        </w:rPr>
        <w:t xml:space="preserve">. </w:t>
      </w:r>
      <w:r w:rsidR="006E3248" w:rsidRPr="00AA4677">
        <w:rPr>
          <w:rFonts w:eastAsia="Times New Roman" w:cs="Times New Roman"/>
          <w:szCs w:val="24"/>
        </w:rPr>
        <w:t>The Assistant Director of ORC</w:t>
      </w:r>
      <w:r w:rsidRPr="00AA4677">
        <w:rPr>
          <w:rFonts w:eastAsia="Times New Roman" w:cs="Times New Roman"/>
          <w:szCs w:val="24"/>
        </w:rPr>
        <w:t xml:space="preserve"> reports to the</w:t>
      </w:r>
      <w:r w:rsidR="00BC6E54" w:rsidRPr="00AA4677">
        <w:rPr>
          <w:rFonts w:eastAsia="Times New Roman" w:cs="Times New Roman"/>
          <w:szCs w:val="24"/>
        </w:rPr>
        <w:t xml:space="preserve"> </w:t>
      </w:r>
      <w:r w:rsidR="00F82E75" w:rsidRPr="00AA4677">
        <w:t>AVP-RC</w:t>
      </w:r>
      <w:r w:rsidRPr="00AA4677">
        <w:rPr>
          <w:rFonts w:eastAsia="Times New Roman" w:cs="Times New Roman"/>
          <w:szCs w:val="24"/>
        </w:rPr>
        <w:t>.</w:t>
      </w:r>
    </w:p>
    <w:p w14:paraId="7B11BBFD" w14:textId="055EA6D9"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Evaluation:</w:t>
      </w:r>
      <w:r w:rsidR="00EF3973" w:rsidRPr="00AA4677">
        <w:rPr>
          <w:rFonts w:eastAsia="Times New Roman" w:cs="Times New Roman"/>
          <w:b/>
          <w:bCs/>
          <w:szCs w:val="24"/>
        </w:rPr>
        <w:t xml:space="preserve"> </w:t>
      </w:r>
      <w:r w:rsidRPr="00AA4677">
        <w:rPr>
          <w:rFonts w:eastAsia="Times New Roman" w:cs="Times New Roman"/>
          <w:szCs w:val="24"/>
        </w:rPr>
        <w:t>Research Foundation</w:t>
      </w:r>
      <w:r w:rsidR="006523DC" w:rsidRPr="00AA4677">
        <w:rPr>
          <w:rFonts w:eastAsia="Times New Roman" w:cs="Times New Roman"/>
          <w:szCs w:val="24"/>
        </w:rPr>
        <w:t xml:space="preserve"> and SUNY</w:t>
      </w:r>
      <w:r w:rsidRPr="00AA4677">
        <w:rPr>
          <w:rFonts w:eastAsia="Times New Roman" w:cs="Times New Roman"/>
          <w:szCs w:val="24"/>
        </w:rPr>
        <w:t xml:space="preserve"> policy requires that a written</w:t>
      </w:r>
      <w:r w:rsidR="006523DC" w:rsidRPr="00AA4677">
        <w:rPr>
          <w:rFonts w:eastAsia="Times New Roman" w:cs="Times New Roman"/>
          <w:szCs w:val="24"/>
        </w:rPr>
        <w:t xml:space="preserve"> e</w:t>
      </w:r>
      <w:r w:rsidRPr="00AA4677">
        <w:rPr>
          <w:rFonts w:eastAsia="Times New Roman" w:cs="Times New Roman"/>
          <w:szCs w:val="24"/>
        </w:rPr>
        <w:t xml:space="preserve">valuation </w:t>
      </w:r>
      <w:r w:rsidR="006523DC" w:rsidRPr="00AA4677">
        <w:rPr>
          <w:rFonts w:eastAsia="Times New Roman" w:cs="Times New Roman"/>
          <w:szCs w:val="24"/>
        </w:rPr>
        <w:t>and performance program be completed</w:t>
      </w:r>
      <w:r w:rsidRPr="00AA4677">
        <w:rPr>
          <w:rFonts w:eastAsia="Times New Roman" w:cs="Times New Roman"/>
          <w:szCs w:val="24"/>
        </w:rPr>
        <w:t xml:space="preserve"> for its employees on an annual basis.</w:t>
      </w:r>
    </w:p>
    <w:p w14:paraId="7265E014" w14:textId="1766F73F" w:rsidR="003E7C9E" w:rsidRPr="00AA4677" w:rsidRDefault="003E7C9E" w:rsidP="00856CEB">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6523DC" w:rsidRPr="00AA4677">
        <w:rPr>
          <w:rFonts w:eastAsia="Times New Roman" w:cs="Times New Roman"/>
          <w:szCs w:val="24"/>
        </w:rPr>
        <w:t>program</w:t>
      </w:r>
      <w:r w:rsidRPr="00AA4677">
        <w:rPr>
          <w:rFonts w:eastAsia="Times New Roman" w:cs="Times New Roman"/>
          <w:szCs w:val="24"/>
        </w:rPr>
        <w:t xml:space="preserve"> is designed to:</w:t>
      </w:r>
    </w:p>
    <w:p w14:paraId="4952532E" w14:textId="77777777" w:rsidR="003E7C9E" w:rsidRPr="00AA4677" w:rsidRDefault="003E7C9E">
      <w:pPr>
        <w:numPr>
          <w:ilvl w:val="0"/>
          <w:numId w:val="290"/>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Increase communication between an employee and his/her supervisor by setting forth clearly what the employees </w:t>
      </w:r>
      <w:proofErr w:type="gramStart"/>
      <w:r w:rsidRPr="00AA4677">
        <w:rPr>
          <w:rFonts w:eastAsia="Times New Roman" w:cs="Times New Roman"/>
          <w:szCs w:val="24"/>
        </w:rPr>
        <w:t>is</w:t>
      </w:r>
      <w:proofErr w:type="gramEnd"/>
      <w:r w:rsidRPr="00AA4677">
        <w:rPr>
          <w:rFonts w:eastAsia="Times New Roman" w:cs="Times New Roman"/>
          <w:szCs w:val="24"/>
        </w:rPr>
        <w:t xml:space="preserve"> expected to accomplish, what factors are important to successful performance, and at the end of the program period, how well the employee met his/her supervisor's expectations of job performance.</w:t>
      </w:r>
    </w:p>
    <w:p w14:paraId="764DE58C" w14:textId="77777777" w:rsidR="003E7C9E" w:rsidRPr="00AA4677" w:rsidRDefault="003E7C9E">
      <w:pPr>
        <w:numPr>
          <w:ilvl w:val="0"/>
          <w:numId w:val="29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Identify areas where additional training or development will improve performance.</w:t>
      </w:r>
    </w:p>
    <w:p w14:paraId="256C23E5" w14:textId="77777777" w:rsidR="003E7C9E" w:rsidRPr="00AA4677" w:rsidRDefault="003E7C9E">
      <w:pPr>
        <w:numPr>
          <w:ilvl w:val="0"/>
          <w:numId w:val="29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Assist an employee's supervisor in recognizing and rewarding his/her accomplishments.</w:t>
      </w:r>
    </w:p>
    <w:p w14:paraId="50459F18" w14:textId="46961DA2"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an individual is hired </w:t>
      </w:r>
      <w:r w:rsidR="006523DC" w:rsidRPr="00AA4677">
        <w:rPr>
          <w:rFonts w:eastAsia="Times New Roman" w:cs="Times New Roman"/>
          <w:szCs w:val="24"/>
        </w:rPr>
        <w:t>or</w:t>
      </w:r>
      <w:r w:rsidRPr="00AA4677">
        <w:rPr>
          <w:rFonts w:eastAsia="Times New Roman" w:cs="Times New Roman"/>
          <w:szCs w:val="24"/>
        </w:rPr>
        <w:t xml:space="preserve"> is transferred to a new position the employee and his/her supervisor will meet to discuss the supervisor's performance expectations for the following year. During the year, a supervisor will discuss performance with each employee and provide feedback on progress as well as guidance for improvements as necessary.</w:t>
      </w:r>
    </w:p>
    <w:p w14:paraId="19F54598" w14:textId="4513D52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At the end of the performance evaluation period, (typically the 12-month period following the establishment of the performance program), the supervisor will complete a Performance Evaluation Form for each employee. Each employee is encouraged to participate in the </w:t>
      </w:r>
      <w:r w:rsidRPr="00AA4677">
        <w:rPr>
          <w:rFonts w:eastAsia="Times New Roman" w:cs="Times New Roman"/>
          <w:szCs w:val="24"/>
        </w:rPr>
        <w:lastRenderedPageBreak/>
        <w:t>performance program and performance evaluation process by completing a self-appraisal, which is encouraged, but not required.</w:t>
      </w:r>
    </w:p>
    <w:p w14:paraId="24E5CA22" w14:textId="5397277C" w:rsidR="00B759E0" w:rsidRPr="00AA4677" w:rsidRDefault="00B759E0"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All HRPP employees are required to take and pass the Certification of IRB Professionals (CIP) examination within </w:t>
      </w:r>
      <w:r w:rsidR="00D856FF" w:rsidRPr="00AA4677">
        <w:rPr>
          <w:rFonts w:eastAsia="Times New Roman" w:cs="Times New Roman"/>
          <w:szCs w:val="24"/>
        </w:rPr>
        <w:t>3</w:t>
      </w:r>
      <w:r w:rsidRPr="00AA4677">
        <w:rPr>
          <w:rFonts w:eastAsia="Times New Roman" w:cs="Times New Roman"/>
          <w:szCs w:val="24"/>
        </w:rPr>
        <w:t xml:space="preserve"> years of hire. </w:t>
      </w:r>
    </w:p>
    <w:p w14:paraId="717BA4F1" w14:textId="30BCC70F" w:rsidR="003E7C9E" w:rsidRPr="00AA4677" w:rsidRDefault="003E7C9E" w:rsidP="00696B35">
      <w:pPr>
        <w:pStyle w:val="Heading2"/>
      </w:pPr>
      <w:bookmarkStart w:id="30" w:name="_Toc192678148"/>
      <w:bookmarkStart w:id="31" w:name="_Hlk160542030"/>
      <w:r w:rsidRPr="00AA4677">
        <w:t>1.12 H</w:t>
      </w:r>
      <w:r w:rsidR="009B151C" w:rsidRPr="00AA4677">
        <w:t xml:space="preserve">uman </w:t>
      </w:r>
      <w:r w:rsidRPr="00AA4677">
        <w:t>R</w:t>
      </w:r>
      <w:r w:rsidR="009B151C" w:rsidRPr="00AA4677">
        <w:t xml:space="preserve">esearch </w:t>
      </w:r>
      <w:r w:rsidRPr="00AA4677">
        <w:t>P</w:t>
      </w:r>
      <w:r w:rsidR="009B151C" w:rsidRPr="00AA4677">
        <w:t xml:space="preserve">rotection </w:t>
      </w:r>
      <w:r w:rsidRPr="00AA4677">
        <w:t>P</w:t>
      </w:r>
      <w:r w:rsidR="009B151C" w:rsidRPr="00AA4677">
        <w:t>rogram</w:t>
      </w:r>
      <w:r w:rsidRPr="00AA4677">
        <w:t xml:space="preserve"> Resources</w:t>
      </w:r>
      <w:bookmarkEnd w:id="30"/>
    </w:p>
    <w:bookmarkEnd w:id="31"/>
    <w:p w14:paraId="04770ADD" w14:textId="6FD88971"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The ORC,</w:t>
      </w:r>
      <w:proofErr w:type="gramEnd"/>
      <w:r w:rsidRPr="00AA4677">
        <w:rPr>
          <w:rFonts w:eastAsia="Times New Roman" w:cs="Times New Roman"/>
          <w:szCs w:val="24"/>
        </w:rPr>
        <w:t xml:space="preserve"> is located within the Melville Library on Main Campus of </w:t>
      </w:r>
      <w:r w:rsidR="0009745A" w:rsidRPr="00AA4677">
        <w:rPr>
          <w:rFonts w:eastAsia="Times New Roman" w:cs="Times New Roman"/>
          <w:szCs w:val="24"/>
        </w:rPr>
        <w:t xml:space="preserve">the University </w:t>
      </w:r>
      <w:r w:rsidRPr="00AA4677">
        <w:rPr>
          <w:rFonts w:eastAsia="Times New Roman" w:cs="Times New Roman"/>
          <w:szCs w:val="24"/>
        </w:rPr>
        <w:t xml:space="preserve">and is equipped </w:t>
      </w:r>
      <w:r w:rsidR="004E68ED" w:rsidRPr="00AA4677">
        <w:rPr>
          <w:rFonts w:eastAsia="Times New Roman" w:cs="Times New Roman"/>
          <w:szCs w:val="24"/>
        </w:rPr>
        <w:t xml:space="preserve">with </w:t>
      </w:r>
      <w:r w:rsidRPr="00AA4677">
        <w:rPr>
          <w:rFonts w:eastAsia="Times New Roman" w:cs="Times New Roman"/>
          <w:szCs w:val="24"/>
        </w:rPr>
        <w:t>all necessary office space, meeting space, storage space and equipment to perform the functions required for the HRPP. </w:t>
      </w:r>
    </w:p>
    <w:p w14:paraId="65E87A47" w14:textId="47AAA70F"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09745A" w:rsidRPr="00AA4677">
        <w:rPr>
          <w:rFonts w:eastAsia="Times New Roman" w:cs="Times New Roman"/>
          <w:szCs w:val="24"/>
        </w:rPr>
        <w:t>IO</w:t>
      </w:r>
      <w:r w:rsidRPr="00AA4677">
        <w:rPr>
          <w:rFonts w:eastAsia="Times New Roman" w:cs="Times New Roman"/>
          <w:szCs w:val="24"/>
        </w:rPr>
        <w:t xml:space="preserve"> ensures procurement of adequate resources to</w:t>
      </w:r>
      <w:r w:rsidR="006E3248" w:rsidRPr="00AA4677">
        <w:rPr>
          <w:rFonts w:eastAsia="Times New Roman" w:cs="Times New Roman"/>
          <w:szCs w:val="24"/>
        </w:rPr>
        <w:t xml:space="preserve"> the</w:t>
      </w:r>
      <w:r w:rsidRPr="00AA4677">
        <w:rPr>
          <w:rFonts w:eastAsia="Times New Roman" w:cs="Times New Roman"/>
          <w:szCs w:val="24"/>
        </w:rPr>
        <w:t xml:space="preserve"> </w:t>
      </w:r>
      <w:r w:rsidR="006E3248" w:rsidRPr="00AA4677">
        <w:rPr>
          <w:rFonts w:eastAsia="Times New Roman" w:cs="Times New Roman"/>
          <w:szCs w:val="24"/>
        </w:rPr>
        <w:t>IRBs</w:t>
      </w:r>
      <w:r w:rsidRPr="00AA4677">
        <w:rPr>
          <w:rFonts w:eastAsia="Times New Roman" w:cs="Times New Roman"/>
          <w:szCs w:val="24"/>
        </w:rPr>
        <w:t xml:space="preserve"> and ORC, including adequate meeting and office space,</w:t>
      </w:r>
      <w:r w:rsidR="006E3248" w:rsidRPr="00AA4677">
        <w:rPr>
          <w:rFonts w:eastAsia="Times New Roman" w:cs="Times New Roman"/>
          <w:szCs w:val="24"/>
        </w:rPr>
        <w:t xml:space="preserve"> and staff for conducting IRB</w:t>
      </w:r>
      <w:r w:rsidRPr="00AA4677">
        <w:rPr>
          <w:rFonts w:eastAsia="Times New Roman" w:cs="Times New Roman"/>
          <w:szCs w:val="24"/>
        </w:rPr>
        <w:t xml:space="preserve"> business.  Office equipment and supplies, including technical support, file cabinets, computers,</w:t>
      </w:r>
      <w:r w:rsidR="00D81077" w:rsidRPr="00AA4677">
        <w:rPr>
          <w:rFonts w:eastAsia="Times New Roman" w:cs="Times New Roman"/>
          <w:szCs w:val="24"/>
        </w:rPr>
        <w:t xml:space="preserve"> software,</w:t>
      </w:r>
      <w:r w:rsidRPr="00AA4677">
        <w:rPr>
          <w:rFonts w:eastAsia="Times New Roman" w:cs="Times New Roman"/>
          <w:szCs w:val="24"/>
        </w:rPr>
        <w:t xml:space="preserve"> </w:t>
      </w:r>
      <w:r w:rsidR="00EE7A94" w:rsidRPr="00AA4677">
        <w:rPr>
          <w:rFonts w:eastAsia="Times New Roman" w:cs="Times New Roman"/>
          <w:szCs w:val="24"/>
        </w:rPr>
        <w:t xml:space="preserve">laptops, </w:t>
      </w:r>
      <w:r w:rsidRPr="00AA4677">
        <w:rPr>
          <w:rFonts w:eastAsia="Times New Roman" w:cs="Times New Roman"/>
          <w:szCs w:val="24"/>
        </w:rPr>
        <w:t xml:space="preserve">internet access, and copy machines, are made available to </w:t>
      </w:r>
      <w:r w:rsidR="006E3248" w:rsidRPr="00AA4677">
        <w:rPr>
          <w:rFonts w:eastAsia="Times New Roman" w:cs="Times New Roman"/>
          <w:szCs w:val="24"/>
        </w:rPr>
        <w:t>the IRBs</w:t>
      </w:r>
      <w:r w:rsidRPr="00AA4677">
        <w:rPr>
          <w:rFonts w:eastAsia="Times New Roman" w:cs="Times New Roman"/>
          <w:szCs w:val="24"/>
        </w:rPr>
        <w:t xml:space="preserve"> and</w:t>
      </w:r>
      <w:r w:rsidR="006E3248" w:rsidRPr="00AA4677">
        <w:rPr>
          <w:rFonts w:eastAsia="Times New Roman" w:cs="Times New Roman"/>
          <w:szCs w:val="24"/>
        </w:rPr>
        <w:t xml:space="preserve"> ORC</w:t>
      </w:r>
      <w:r w:rsidRPr="00AA4677">
        <w:rPr>
          <w:rFonts w:eastAsia="Times New Roman" w:cs="Times New Roman"/>
          <w:szCs w:val="24"/>
        </w:rPr>
        <w:t xml:space="preserve"> staff. </w:t>
      </w:r>
    </w:p>
    <w:p w14:paraId="22A7E643" w14:textId="1A5EAF7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adequacy of personnel and non-personnel resources of the HR</w:t>
      </w:r>
      <w:r w:rsidR="006E3248" w:rsidRPr="00AA4677">
        <w:rPr>
          <w:rFonts w:eastAsia="Times New Roman" w:cs="Times New Roman"/>
          <w:szCs w:val="24"/>
        </w:rPr>
        <w:t>PP program, including the IRB</w:t>
      </w:r>
      <w:r w:rsidRPr="00AA4677">
        <w:rPr>
          <w:rFonts w:eastAsia="Times New Roman" w:cs="Times New Roman"/>
          <w:szCs w:val="24"/>
        </w:rPr>
        <w:t xml:space="preserve"> committees and ORC is assessed on an annual basis by</w:t>
      </w:r>
      <w:r w:rsidR="00F82E75" w:rsidRPr="00AA4677">
        <w:rPr>
          <w:rFonts w:eastAsia="Times New Roman" w:cs="Times New Roman"/>
          <w:szCs w:val="24"/>
        </w:rPr>
        <w:t xml:space="preserve"> the </w:t>
      </w:r>
      <w:r w:rsidR="00F82E75" w:rsidRPr="00AA4677">
        <w:t>AVP-RC</w:t>
      </w:r>
      <w:r w:rsidRPr="00AA4677">
        <w:rPr>
          <w:rFonts w:eastAsia="Times New Roman" w:cs="Times New Roman"/>
          <w:szCs w:val="24"/>
        </w:rPr>
        <w:t xml:space="preserve">, </w:t>
      </w:r>
      <w:r w:rsidR="00BC6E54" w:rsidRPr="00AA4677">
        <w:rPr>
          <w:rFonts w:eastAsia="Times New Roman" w:cs="Times New Roman"/>
          <w:szCs w:val="24"/>
        </w:rPr>
        <w:t>in</w:t>
      </w:r>
      <w:r w:rsidRPr="00AA4677">
        <w:rPr>
          <w:rFonts w:eastAsia="Times New Roman" w:cs="Times New Roman"/>
          <w:szCs w:val="24"/>
        </w:rPr>
        <w:t xml:space="preserve"> consultation as required, </w:t>
      </w:r>
      <w:r w:rsidR="00BC6E54" w:rsidRPr="00AA4677">
        <w:rPr>
          <w:rFonts w:eastAsia="Times New Roman" w:cs="Times New Roman"/>
          <w:szCs w:val="24"/>
        </w:rPr>
        <w:t xml:space="preserve">with the Director of Grants Management, </w:t>
      </w:r>
      <w:r w:rsidRPr="00AA4677">
        <w:rPr>
          <w:rFonts w:eastAsia="Times New Roman" w:cs="Times New Roman"/>
          <w:szCs w:val="24"/>
        </w:rPr>
        <w:t xml:space="preserve">the Financial Administrator of </w:t>
      </w:r>
      <w:r w:rsidR="00E236F0" w:rsidRPr="00AA4677">
        <w:rPr>
          <w:rFonts w:eastAsia="Times New Roman" w:cs="Times New Roman"/>
          <w:szCs w:val="24"/>
        </w:rPr>
        <w:t xml:space="preserve">the </w:t>
      </w:r>
      <w:r w:rsidRPr="00AA4677">
        <w:rPr>
          <w:rFonts w:eastAsia="Times New Roman" w:cs="Times New Roman"/>
          <w:szCs w:val="24"/>
        </w:rPr>
        <w:t>ORC</w:t>
      </w:r>
      <w:r w:rsidR="00CE19A4" w:rsidRPr="00AA4677">
        <w:rPr>
          <w:rFonts w:eastAsia="Times New Roman" w:cs="Times New Roman"/>
          <w:szCs w:val="24"/>
        </w:rPr>
        <w:t>, and representatives from other administrative units, as applicable</w:t>
      </w:r>
      <w:r w:rsidRPr="00AA4677">
        <w:rPr>
          <w:rFonts w:eastAsia="Times New Roman" w:cs="Times New Roman"/>
          <w:szCs w:val="24"/>
        </w:rPr>
        <w:t>. </w:t>
      </w:r>
      <w:r w:rsidR="00BC6E54" w:rsidRPr="00AA4677">
        <w:rPr>
          <w:rFonts w:eastAsia="Times New Roman" w:cs="Times New Roman"/>
          <w:szCs w:val="24"/>
        </w:rPr>
        <w:t xml:space="preserve">The IO is advised of the outcome of this assessment for further action as required. </w:t>
      </w:r>
    </w:p>
    <w:p w14:paraId="7E5DE76A" w14:textId="799E1451" w:rsidR="00E236F0" w:rsidRPr="00AA4677" w:rsidRDefault="00E236F0" w:rsidP="003E7C9E">
      <w:pPr>
        <w:shd w:val="clear" w:color="auto" w:fill="FFFFFF"/>
        <w:spacing w:before="100" w:beforeAutospacing="1" w:after="100" w:afterAutospacing="1" w:line="240" w:lineRule="auto"/>
        <w:rPr>
          <w:rFonts w:eastAsia="Times New Roman" w:cs="Times New Roman"/>
          <w:sz w:val="32"/>
          <w:szCs w:val="24"/>
        </w:rPr>
      </w:pPr>
      <w:r w:rsidRPr="00AA4677">
        <w:rPr>
          <w:rFonts w:cstheme="minorHAnsi"/>
          <w:szCs w:val="30"/>
        </w:rPr>
        <w:t xml:space="preserve">If the organization decides to </w:t>
      </w:r>
      <w:r w:rsidRPr="00AA4677">
        <w:rPr>
          <w:rFonts w:cstheme="minorHAnsi"/>
        </w:rPr>
        <w:t>rely on the services or components of another</w:t>
      </w:r>
      <w:r w:rsidRPr="00AA4677">
        <w:rPr>
          <w:rFonts w:cstheme="minorHAnsi"/>
          <w:szCs w:val="30"/>
        </w:rPr>
        <w:t xml:space="preserve"> organization, the Office of Research Compliance will set forth the criteria, evaluation, and monitoring to deter</w:t>
      </w:r>
      <w:r w:rsidR="00000258" w:rsidRPr="00AA4677">
        <w:rPr>
          <w:rFonts w:cstheme="minorHAnsi"/>
          <w:szCs w:val="30"/>
        </w:rPr>
        <w:t>m</w:t>
      </w:r>
      <w:r w:rsidRPr="00AA4677">
        <w:rPr>
          <w:rFonts w:cstheme="minorHAnsi"/>
          <w:szCs w:val="30"/>
        </w:rPr>
        <w:t>ine whether the service or component meets the relevant accreditation standards. For example, if contractual agreements were outsourced to another organization, the Office of Research Compliance would determine whether the other organization included the required AAHRPP elements in their contracts.</w:t>
      </w:r>
    </w:p>
    <w:p w14:paraId="1E396478" w14:textId="5D9B321C" w:rsidR="003E7C9E" w:rsidRPr="00AA4677" w:rsidRDefault="003E7C9E" w:rsidP="00696B35">
      <w:pPr>
        <w:pStyle w:val="Heading2"/>
      </w:pPr>
      <w:bookmarkStart w:id="32" w:name="_Toc192678149"/>
      <w:r w:rsidRPr="00AA4677">
        <w:t xml:space="preserve">1.13 Conduct of Quality Assurance/ Quality Improvement Activities for </w:t>
      </w:r>
      <w:r w:rsidR="005B5ABE" w:rsidRPr="00AA4677">
        <w:t xml:space="preserve">the </w:t>
      </w:r>
      <w:r w:rsidR="00EE7207" w:rsidRPr="00AA4677">
        <w:t>IRB</w:t>
      </w:r>
      <w:r w:rsidRPr="00AA4677">
        <w:t xml:space="preserve"> Operation</w:t>
      </w:r>
      <w:bookmarkEnd w:id="32"/>
    </w:p>
    <w:p w14:paraId="0D7A8B38" w14:textId="170E9121" w:rsidR="00CC1A39"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objective of the University’s HRPP Quality Assurance / Quality Improvement Plan is to measure and improve human research protection effectiveness, quality, </w:t>
      </w:r>
      <w:r w:rsidR="00CC1A39" w:rsidRPr="00AA4677">
        <w:rPr>
          <w:rFonts w:eastAsia="Times New Roman" w:cs="Times New Roman"/>
          <w:szCs w:val="24"/>
        </w:rPr>
        <w:t xml:space="preserve">efficiency </w:t>
      </w:r>
      <w:r w:rsidRPr="00AA4677">
        <w:rPr>
          <w:rFonts w:eastAsia="Times New Roman" w:cs="Times New Roman"/>
          <w:szCs w:val="24"/>
        </w:rPr>
        <w:t>and compliance with organizational policies and procedures and applicable local, state, and local laws. The Quality Assurance/Quality Improvement Plan will be managed and implemented by the</w:t>
      </w:r>
      <w:r w:rsidR="00F82E75" w:rsidRPr="00AA4677">
        <w:rPr>
          <w:rFonts w:eastAsia="Times New Roman" w:cs="Times New Roman"/>
          <w:szCs w:val="24"/>
        </w:rPr>
        <w:t xml:space="preserve"> </w:t>
      </w:r>
      <w:r w:rsidR="00F82E75" w:rsidRPr="00AA4677">
        <w:t>AVP-RC</w:t>
      </w:r>
      <w:r w:rsidRPr="00AA4677">
        <w:rPr>
          <w:rFonts w:eastAsia="Times New Roman" w:cs="Times New Roman"/>
          <w:szCs w:val="24"/>
        </w:rPr>
        <w:t>.</w:t>
      </w:r>
      <w:r w:rsidR="001F0A59" w:rsidRPr="00AA4677">
        <w:rPr>
          <w:rFonts w:eastAsia="Times New Roman" w:cs="Times New Roman"/>
          <w:szCs w:val="24"/>
        </w:rPr>
        <w:t xml:space="preserve"> Examples of types of goals and measures that might be adopted by the organization with respect to achieving and maintaining compliance include monthly measures of volume and efficiency. The goal would be to decrease the amount of time from study submission to approval for exempt, expedite, and full board research. Monthly, quarterly and annual metrics </w:t>
      </w:r>
      <w:r w:rsidR="00CC1A39" w:rsidRPr="00AA4677">
        <w:rPr>
          <w:rFonts w:eastAsia="Times New Roman" w:cs="Times New Roman"/>
          <w:szCs w:val="24"/>
        </w:rPr>
        <w:t>are</w:t>
      </w:r>
      <w:r w:rsidR="001F0A59" w:rsidRPr="00AA4677">
        <w:rPr>
          <w:rFonts w:eastAsia="Times New Roman" w:cs="Times New Roman"/>
          <w:szCs w:val="24"/>
        </w:rPr>
        <w:t xml:space="preserve"> communicated to </w:t>
      </w:r>
      <w:r w:rsidR="001F0A59" w:rsidRPr="00AA4677">
        <w:rPr>
          <w:rFonts w:eastAsia="Times New Roman" w:cs="Times New Roman"/>
          <w:szCs w:val="24"/>
        </w:rPr>
        <w:lastRenderedPageBreak/>
        <w:t>researchers/research staff (via the Office of Research Compliance website) as well as to HRPP staff and IRB chairs and members and administrators.</w:t>
      </w:r>
      <w:r w:rsidR="00120648" w:rsidRPr="00AA4677">
        <w:rPr>
          <w:rFonts w:eastAsia="Times New Roman" w:cs="Times New Roman"/>
          <w:szCs w:val="24"/>
        </w:rPr>
        <w:t xml:space="preserve"> </w:t>
      </w:r>
      <w:r w:rsidR="00CC1A39" w:rsidRPr="00AA4677">
        <w:rPr>
          <w:rFonts w:eastAsia="Times New Roman" w:cs="Times New Roman"/>
          <w:szCs w:val="24"/>
        </w:rPr>
        <w:t xml:space="preserve"> </w:t>
      </w:r>
    </w:p>
    <w:p w14:paraId="3C377700" w14:textId="14832A62" w:rsidR="003E7C9E" w:rsidRPr="00AA4677" w:rsidRDefault="00CC1A39"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Another</w:t>
      </w:r>
      <w:r w:rsidR="00DA0986" w:rsidRPr="00AA4677">
        <w:rPr>
          <w:rFonts w:eastAsia="Times New Roman" w:cs="Times New Roman"/>
          <w:szCs w:val="24"/>
        </w:rPr>
        <w:t xml:space="preserve"> measure of effectiveness is the use of a satisfaction survey. </w:t>
      </w:r>
      <w:r w:rsidR="00120648" w:rsidRPr="00AA4677">
        <w:rPr>
          <w:rFonts w:eastAsia="Times New Roman" w:cs="Times New Roman"/>
          <w:szCs w:val="24"/>
        </w:rPr>
        <w:t xml:space="preserve">Satisfaction surveys are sent to researchers and study conduct </w:t>
      </w:r>
      <w:proofErr w:type="gramStart"/>
      <w:r w:rsidR="00120648" w:rsidRPr="00AA4677">
        <w:rPr>
          <w:rFonts w:eastAsia="Times New Roman" w:cs="Times New Roman"/>
          <w:szCs w:val="24"/>
        </w:rPr>
        <w:t>persons</w:t>
      </w:r>
      <w:proofErr w:type="gramEnd"/>
      <w:r w:rsidR="00120648" w:rsidRPr="00AA4677">
        <w:rPr>
          <w:rFonts w:eastAsia="Times New Roman" w:cs="Times New Roman"/>
          <w:szCs w:val="24"/>
        </w:rPr>
        <w:t xml:space="preserve"> </w:t>
      </w:r>
      <w:proofErr w:type="gramStart"/>
      <w:r w:rsidR="00120648" w:rsidRPr="00AA4677">
        <w:rPr>
          <w:rFonts w:eastAsia="Times New Roman" w:cs="Times New Roman"/>
          <w:szCs w:val="24"/>
        </w:rPr>
        <w:t>in order to</w:t>
      </w:r>
      <w:proofErr w:type="gramEnd"/>
      <w:r w:rsidR="00120648" w:rsidRPr="00AA4677">
        <w:rPr>
          <w:rFonts w:eastAsia="Times New Roman" w:cs="Times New Roman"/>
          <w:szCs w:val="24"/>
        </w:rPr>
        <w:t xml:space="preserve"> evaluate the effectiveness of the program. Once a study has been approved the survey is sent. This allows the program to receive “real time” information regarding program effectiveness as experienced by the end users (e.g., researchers and research staff). The satisfaction survey includes a text section allowing the individual completing the survey to include information for improving the program or giving the program positive feedback.</w:t>
      </w:r>
      <w:r w:rsidRPr="00AA4677">
        <w:rPr>
          <w:rFonts w:eastAsia="Times New Roman" w:cs="Times New Roman"/>
          <w:szCs w:val="24"/>
        </w:rPr>
        <w:t xml:space="preserve"> Results are reviewed quarterly.  Issues regarding with quality are discussed with the HRPP staff, IRB Chairs and the Vice President for Research. Improvements are then made following discussion and feedback from staff, IRB Chairs and the Vice President for Research.</w:t>
      </w:r>
    </w:p>
    <w:p w14:paraId="58A0BD1A" w14:textId="2A1F5D50" w:rsidR="00CC1A39" w:rsidRPr="00AA4677" w:rsidRDefault="00CC1A39" w:rsidP="00C57C98">
      <w:pPr>
        <w:pStyle w:val="Heading3"/>
      </w:pPr>
      <w:r w:rsidRPr="00AA4677">
        <w:t>An example of compliance would be auditing the forms</w:t>
      </w:r>
      <w:r w:rsidR="004C12BB" w:rsidRPr="00AA4677">
        <w:t xml:space="preserve"> used by researchers to make sure they contain </w:t>
      </w:r>
      <w:proofErr w:type="gramStart"/>
      <w:r w:rsidR="004C12BB" w:rsidRPr="00AA4677">
        <w:t>all of</w:t>
      </w:r>
      <w:proofErr w:type="gramEnd"/>
      <w:r w:rsidR="004C12BB" w:rsidRPr="00AA4677">
        <w:t xml:space="preserve"> the information needed to make the required regulatory determinations.</w:t>
      </w:r>
    </w:p>
    <w:p w14:paraId="36DD1165" w14:textId="3E9E43ED" w:rsidR="003E7C9E" w:rsidRPr="00AA4677" w:rsidRDefault="003E7C9E" w:rsidP="00C57C98">
      <w:pPr>
        <w:pStyle w:val="Heading3"/>
      </w:pPr>
      <w:r w:rsidRPr="00AA4677">
        <w:t>1.13.1 Directed Audits</w:t>
      </w:r>
    </w:p>
    <w:p w14:paraId="59F113BA" w14:textId="1E622A8F"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w:t>
      </w:r>
      <w:r w:rsidR="00FD748E" w:rsidRPr="00AA4677">
        <w:rPr>
          <w:rFonts w:eastAsia="Times New Roman" w:cs="Times New Roman"/>
          <w:szCs w:val="24"/>
        </w:rPr>
        <w:t xml:space="preserve">irected audits of </w:t>
      </w:r>
      <w:r w:rsidRPr="00AA4677">
        <w:rPr>
          <w:rFonts w:eastAsia="Times New Roman" w:cs="Times New Roman"/>
          <w:szCs w:val="24"/>
        </w:rPr>
        <w:t>research studies</w:t>
      </w:r>
      <w:r w:rsidR="00EE7A94" w:rsidRPr="00AA4677">
        <w:rPr>
          <w:rFonts w:eastAsia="Times New Roman" w:cs="Times New Roman"/>
          <w:szCs w:val="24"/>
        </w:rPr>
        <w:t xml:space="preserve"> approved by any SBU-recognized IRB</w:t>
      </w:r>
      <w:r w:rsidRPr="00AA4677">
        <w:rPr>
          <w:rFonts w:eastAsia="Times New Roman" w:cs="Times New Roman"/>
          <w:szCs w:val="24"/>
        </w:rPr>
        <w:t xml:space="preserve"> are initiated in response to issue</w:t>
      </w:r>
      <w:r w:rsidR="00CA676F" w:rsidRPr="00AA4677">
        <w:rPr>
          <w:rFonts w:eastAsia="Times New Roman" w:cs="Times New Roman"/>
          <w:szCs w:val="24"/>
        </w:rPr>
        <w:t>(</w:t>
      </w:r>
      <w:r w:rsidRPr="00AA4677">
        <w:rPr>
          <w:rFonts w:eastAsia="Times New Roman" w:cs="Times New Roman"/>
          <w:szCs w:val="24"/>
        </w:rPr>
        <w:t>s</w:t>
      </w:r>
      <w:r w:rsidR="00CA676F" w:rsidRPr="00AA4677">
        <w:rPr>
          <w:rFonts w:eastAsia="Times New Roman" w:cs="Times New Roman"/>
          <w:szCs w:val="24"/>
        </w:rPr>
        <w:t>)</w:t>
      </w:r>
      <w:r w:rsidRPr="00AA4677">
        <w:rPr>
          <w:rFonts w:eastAsia="Times New Roman" w:cs="Times New Roman"/>
          <w:szCs w:val="24"/>
        </w:rPr>
        <w:t xml:space="preserve"> identified by</w:t>
      </w:r>
      <w:r w:rsidR="004E68ED" w:rsidRPr="00AA4677">
        <w:rPr>
          <w:rFonts w:eastAsia="Times New Roman" w:cs="Times New Roman"/>
          <w:szCs w:val="24"/>
        </w:rPr>
        <w:t xml:space="preserve"> the IRB, the ORC, or complaint/</w:t>
      </w:r>
      <w:r w:rsidRPr="00AA4677">
        <w:rPr>
          <w:rFonts w:eastAsia="Times New Roman" w:cs="Times New Roman"/>
          <w:szCs w:val="24"/>
        </w:rPr>
        <w:t>concern filed by a subject, investigator, or any party.  Such audits will be conducted</w:t>
      </w:r>
      <w:r w:rsidR="00EE7A94" w:rsidRPr="00AA4677">
        <w:rPr>
          <w:rFonts w:eastAsia="Times New Roman" w:cs="Times New Roman"/>
          <w:szCs w:val="24"/>
        </w:rPr>
        <w:t xml:space="preserve"> by</w:t>
      </w:r>
      <w:r w:rsidRPr="00AA4677">
        <w:rPr>
          <w:rFonts w:eastAsia="Times New Roman" w:cs="Times New Roman"/>
          <w:szCs w:val="24"/>
        </w:rPr>
        <w:t xml:space="preserve"> </w:t>
      </w:r>
      <w:r w:rsidR="00EE7A94" w:rsidRPr="00AA4677">
        <w:rPr>
          <w:rFonts w:eastAsia="Times New Roman" w:cs="Times New Roman"/>
          <w:szCs w:val="24"/>
        </w:rPr>
        <w:t>the QA Administrator, but may include other ORC staff, IRB members and/or others as appropriate</w:t>
      </w:r>
      <w:r w:rsidRPr="00AA4677">
        <w:rPr>
          <w:rFonts w:eastAsia="Times New Roman" w:cs="Times New Roman"/>
          <w:szCs w:val="24"/>
        </w:rPr>
        <w:t>.</w:t>
      </w:r>
    </w:p>
    <w:p w14:paraId="5FB7FCF0" w14:textId="559801FD" w:rsidR="003E7C9E" w:rsidRPr="00AA4677" w:rsidRDefault="003E7C9E" w:rsidP="00E820CF">
      <w:pPr>
        <w:shd w:val="clear" w:color="auto" w:fill="FFFFFF"/>
        <w:spacing w:before="100" w:beforeAutospacing="1" w:after="100" w:afterAutospacing="1" w:line="240" w:lineRule="auto"/>
      </w:pPr>
      <w:r w:rsidRPr="00AA4677">
        <w:rPr>
          <w:rFonts w:eastAsia="Times New Roman" w:cs="Times New Roman"/>
          <w:szCs w:val="24"/>
        </w:rPr>
        <w:t>Depending on the specific issue being investigated</w:t>
      </w:r>
      <w:r w:rsidRPr="00AA4677">
        <w:rPr>
          <w:rFonts w:eastAsia="Times New Roman" w:cs="Times New Roman"/>
          <w:b/>
          <w:bCs/>
          <w:szCs w:val="24"/>
        </w:rPr>
        <w:t>, </w:t>
      </w:r>
      <w:r w:rsidRPr="00AA4677">
        <w:rPr>
          <w:rFonts w:eastAsia="Times New Roman" w:cs="Times New Roman"/>
          <w:szCs w:val="24"/>
        </w:rPr>
        <w:t>activities of auditors during directed audits may include</w:t>
      </w:r>
      <w:r w:rsidR="00D0184B" w:rsidRPr="00AA4677">
        <w:rPr>
          <w:rFonts w:eastAsia="Times New Roman" w:cs="Times New Roman"/>
          <w:szCs w:val="24"/>
        </w:rPr>
        <w:t xml:space="preserve"> e</w:t>
      </w:r>
      <w:r w:rsidRPr="00AA4677">
        <w:rPr>
          <w:rFonts w:eastAsia="Times New Roman" w:cs="Times New Roman"/>
          <w:szCs w:val="24"/>
        </w:rPr>
        <w:t>xamining investigator-held research records</w:t>
      </w:r>
      <w:r w:rsidR="00D0184B" w:rsidRPr="00AA4677">
        <w:rPr>
          <w:rFonts w:eastAsia="Times New Roman" w:cs="Times New Roman"/>
          <w:szCs w:val="24"/>
        </w:rPr>
        <w:t xml:space="preserve">, patient medical records, financial disclosure forms, and other </w:t>
      </w:r>
      <w:r w:rsidR="00D0184B" w:rsidRPr="00AA4677">
        <w:t>a</w:t>
      </w:r>
      <w:r w:rsidRPr="00AA4677">
        <w:t xml:space="preserve">ctivities as deemed appropriate by </w:t>
      </w:r>
      <w:r w:rsidR="006E3248" w:rsidRPr="00AA4677">
        <w:t>IRB</w:t>
      </w:r>
      <w:r w:rsidRPr="00AA4677">
        <w:t>s.</w:t>
      </w:r>
    </w:p>
    <w:p w14:paraId="306F6BDD" w14:textId="448E5443" w:rsidR="003E7C9E" w:rsidRPr="00AA4677" w:rsidRDefault="003E7C9E" w:rsidP="00C57C98">
      <w:pPr>
        <w:pStyle w:val="Heading3"/>
      </w:pPr>
      <w:r w:rsidRPr="00AA4677">
        <w:t>1.13.2 Not-for-Cause Reviews</w:t>
      </w:r>
    </w:p>
    <w:p w14:paraId="6AA1A8B8" w14:textId="02510D9C" w:rsidR="003E7C9E" w:rsidRPr="00AA4677" w:rsidRDefault="00EE7A94"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For e</w:t>
      </w:r>
      <w:r w:rsidR="003E7C9E" w:rsidRPr="00AA4677">
        <w:rPr>
          <w:rFonts w:eastAsia="Times New Roman" w:cs="Times New Roman"/>
          <w:szCs w:val="24"/>
        </w:rPr>
        <w:t xml:space="preserve">very </w:t>
      </w:r>
      <w:r w:rsidRPr="00AA4677">
        <w:rPr>
          <w:rFonts w:eastAsia="Times New Roman" w:cs="Times New Roman"/>
          <w:szCs w:val="24"/>
        </w:rPr>
        <w:t xml:space="preserve">active </w:t>
      </w:r>
      <w:r w:rsidR="003E7C9E" w:rsidRPr="00AA4677">
        <w:rPr>
          <w:rFonts w:eastAsia="Times New Roman" w:cs="Times New Roman"/>
          <w:szCs w:val="24"/>
        </w:rPr>
        <w:t xml:space="preserve">study </w:t>
      </w:r>
      <w:r w:rsidRPr="00AA4677">
        <w:rPr>
          <w:rFonts w:eastAsia="Times New Roman" w:cs="Times New Roman"/>
          <w:szCs w:val="24"/>
        </w:rPr>
        <w:t>undergoing</w:t>
      </w:r>
      <w:r w:rsidR="003E7C9E" w:rsidRPr="00AA4677">
        <w:rPr>
          <w:rFonts w:eastAsia="Times New Roman" w:cs="Times New Roman"/>
          <w:szCs w:val="24"/>
        </w:rPr>
        <w:t xml:space="preserve"> continuing review</w:t>
      </w:r>
      <w:r w:rsidRPr="00AA4677">
        <w:rPr>
          <w:rFonts w:eastAsia="Times New Roman" w:cs="Times New Roman"/>
          <w:szCs w:val="24"/>
        </w:rPr>
        <w:t xml:space="preserve">, a </w:t>
      </w:r>
      <w:r w:rsidR="003E7C9E" w:rsidRPr="00AA4677">
        <w:rPr>
          <w:rFonts w:eastAsia="Times New Roman" w:cs="Times New Roman"/>
          <w:szCs w:val="24"/>
        </w:rPr>
        <w:t>not-for-cau</w:t>
      </w:r>
      <w:r w:rsidRPr="00AA4677">
        <w:rPr>
          <w:rFonts w:eastAsia="Times New Roman" w:cs="Times New Roman"/>
          <w:szCs w:val="24"/>
        </w:rPr>
        <w:t>se review</w:t>
      </w:r>
      <w:r w:rsidR="003E7C9E" w:rsidRPr="00AA4677">
        <w:rPr>
          <w:rFonts w:eastAsia="Times New Roman" w:cs="Times New Roman"/>
          <w:szCs w:val="24"/>
        </w:rPr>
        <w:t xml:space="preserve"> </w:t>
      </w:r>
      <w:r w:rsidRPr="00AA4677">
        <w:rPr>
          <w:rFonts w:eastAsia="Times New Roman" w:cs="Times New Roman"/>
          <w:szCs w:val="24"/>
        </w:rPr>
        <w:t xml:space="preserve">is undertaken by the </w:t>
      </w:r>
      <w:r w:rsidR="003E7C9E" w:rsidRPr="00AA4677">
        <w:rPr>
          <w:rFonts w:eastAsia="Times New Roman" w:cs="Times New Roman"/>
          <w:szCs w:val="24"/>
        </w:rPr>
        <w:t>ORC staff</w:t>
      </w:r>
      <w:r w:rsidRPr="00AA4677">
        <w:rPr>
          <w:rFonts w:eastAsia="Times New Roman" w:cs="Times New Roman"/>
          <w:szCs w:val="24"/>
        </w:rPr>
        <w:t xml:space="preserve"> as follows: </w:t>
      </w:r>
      <w:r w:rsidR="003E7C9E" w:rsidRPr="00AA4677">
        <w:rPr>
          <w:rFonts w:eastAsia="Times New Roman" w:cs="Times New Roman"/>
          <w:szCs w:val="24"/>
        </w:rPr>
        <w:t xml:space="preserve"> Required with </w:t>
      </w:r>
      <w:r w:rsidRPr="00AA4677">
        <w:rPr>
          <w:rFonts w:eastAsia="Times New Roman" w:cs="Times New Roman"/>
          <w:szCs w:val="24"/>
        </w:rPr>
        <w:t xml:space="preserve">continuing review </w:t>
      </w:r>
      <w:r w:rsidR="003E7C9E" w:rsidRPr="00AA4677">
        <w:rPr>
          <w:rFonts w:eastAsia="Times New Roman" w:cs="Times New Roman"/>
          <w:szCs w:val="24"/>
        </w:rPr>
        <w:t xml:space="preserve">submissions are copies of the consent/permission/assent documents signed by the last subject enrolled. </w:t>
      </w:r>
      <w:r w:rsidRPr="00AA4677">
        <w:rPr>
          <w:rFonts w:eastAsia="Times New Roman" w:cs="Times New Roman"/>
          <w:szCs w:val="24"/>
        </w:rPr>
        <w:t xml:space="preserve">These documents have subject signature and name redacted, leaving intact all dates and the name of the person who obtained consent. </w:t>
      </w:r>
      <w:r w:rsidR="00A017BE" w:rsidRPr="00AA4677">
        <w:rPr>
          <w:rFonts w:eastAsia="Times New Roman" w:cs="Times New Roman"/>
          <w:szCs w:val="24"/>
        </w:rPr>
        <w:t>For studies that are more than minimal risk, r</w:t>
      </w:r>
      <w:r w:rsidR="00057106" w:rsidRPr="00AA4677">
        <w:rPr>
          <w:rFonts w:eastAsia="Times New Roman" w:cs="Times New Roman"/>
          <w:szCs w:val="24"/>
        </w:rPr>
        <w:t xml:space="preserve">edacted copies </w:t>
      </w:r>
      <w:r w:rsidR="00A017BE" w:rsidRPr="00AA4677">
        <w:rPr>
          <w:rFonts w:eastAsia="Times New Roman" w:cs="Times New Roman"/>
          <w:szCs w:val="24"/>
        </w:rPr>
        <w:t xml:space="preserve">of </w:t>
      </w:r>
      <w:r w:rsidR="00057106" w:rsidRPr="00AA4677">
        <w:rPr>
          <w:rFonts w:eastAsia="Times New Roman" w:cs="Times New Roman"/>
          <w:szCs w:val="24"/>
        </w:rPr>
        <w:t>the inclusion/exclusion</w:t>
      </w:r>
      <w:r w:rsidR="00AE0773" w:rsidRPr="00AA4677">
        <w:rPr>
          <w:rFonts w:eastAsia="Times New Roman" w:cs="Times New Roman"/>
          <w:szCs w:val="24"/>
        </w:rPr>
        <w:t xml:space="preserve"> (I/E)</w:t>
      </w:r>
      <w:r w:rsidR="00057106" w:rsidRPr="00AA4677">
        <w:rPr>
          <w:rFonts w:eastAsia="Times New Roman" w:cs="Times New Roman"/>
          <w:szCs w:val="24"/>
        </w:rPr>
        <w:t xml:space="preserve"> checklist that was completed </w:t>
      </w:r>
      <w:r w:rsidRPr="00AA4677">
        <w:rPr>
          <w:rFonts w:eastAsia="Times New Roman" w:cs="Times New Roman"/>
          <w:szCs w:val="24"/>
        </w:rPr>
        <w:t xml:space="preserve">for that last enrolled subject is also required. </w:t>
      </w:r>
      <w:r w:rsidR="00057106" w:rsidRPr="00AA4677">
        <w:rPr>
          <w:rFonts w:eastAsia="Times New Roman" w:cs="Times New Roman"/>
          <w:szCs w:val="24"/>
        </w:rPr>
        <w:t xml:space="preserve"> </w:t>
      </w:r>
      <w:r w:rsidR="00AE0773" w:rsidRPr="00AA4677">
        <w:rPr>
          <w:rFonts w:eastAsia="Times New Roman" w:cs="Times New Roman"/>
          <w:szCs w:val="24"/>
        </w:rPr>
        <w:t xml:space="preserve">Random audits of source documents that support the </w:t>
      </w:r>
      <w:r w:rsidRPr="00AA4677">
        <w:rPr>
          <w:rFonts w:eastAsia="Times New Roman" w:cs="Times New Roman"/>
          <w:szCs w:val="24"/>
        </w:rPr>
        <w:t xml:space="preserve">information on the </w:t>
      </w:r>
      <w:r w:rsidR="00AE0773" w:rsidRPr="00AA4677">
        <w:rPr>
          <w:rFonts w:eastAsia="Times New Roman" w:cs="Times New Roman"/>
          <w:szCs w:val="24"/>
        </w:rPr>
        <w:t xml:space="preserve">completed I/E checklist </w:t>
      </w:r>
      <w:proofErr w:type="gramStart"/>
      <w:r w:rsidRPr="00AA4677">
        <w:rPr>
          <w:rFonts w:eastAsia="Times New Roman" w:cs="Times New Roman"/>
          <w:szCs w:val="24"/>
        </w:rPr>
        <w:t>is</w:t>
      </w:r>
      <w:proofErr w:type="gramEnd"/>
      <w:r w:rsidRPr="00AA4677">
        <w:rPr>
          <w:rFonts w:eastAsia="Times New Roman" w:cs="Times New Roman"/>
          <w:szCs w:val="24"/>
        </w:rPr>
        <w:t xml:space="preserve"> </w:t>
      </w:r>
      <w:r w:rsidR="00AE0773" w:rsidRPr="00AA4677">
        <w:rPr>
          <w:rFonts w:eastAsia="Times New Roman" w:cs="Times New Roman"/>
          <w:szCs w:val="24"/>
        </w:rPr>
        <w:t xml:space="preserve">also performed. </w:t>
      </w:r>
      <w:r w:rsidR="003E7C9E" w:rsidRPr="00AA4677">
        <w:rPr>
          <w:rFonts w:eastAsia="Times New Roman" w:cs="Times New Roman"/>
          <w:szCs w:val="24"/>
        </w:rPr>
        <w:t xml:space="preserve">These documents are reviewed for correct version status, accurate completion, and </w:t>
      </w:r>
      <w:r w:rsidRPr="00AA4677">
        <w:rPr>
          <w:rFonts w:eastAsia="Times New Roman" w:cs="Times New Roman"/>
          <w:szCs w:val="24"/>
        </w:rPr>
        <w:t xml:space="preserve">identity of the </w:t>
      </w:r>
      <w:r w:rsidR="003E7C9E" w:rsidRPr="00AA4677">
        <w:rPr>
          <w:rFonts w:eastAsia="Times New Roman" w:cs="Times New Roman"/>
          <w:szCs w:val="24"/>
        </w:rPr>
        <w:t>person obtaining consent (</w:t>
      </w:r>
      <w:r w:rsidRPr="00AA4677">
        <w:rPr>
          <w:rFonts w:eastAsia="Times New Roman" w:cs="Times New Roman"/>
          <w:szCs w:val="24"/>
        </w:rPr>
        <w:t>is the individual an approved investigator on the study? Is human research training completed and current?). Any non-</w:t>
      </w:r>
      <w:r w:rsidRPr="00AA4677">
        <w:rPr>
          <w:rFonts w:eastAsia="Times New Roman" w:cs="Times New Roman"/>
          <w:szCs w:val="24"/>
        </w:rPr>
        <w:lastRenderedPageBreak/>
        <w:t xml:space="preserve">compliance uncovered </w:t>
      </w:r>
      <w:proofErr w:type="gramStart"/>
      <w:r w:rsidRPr="00AA4677">
        <w:rPr>
          <w:rFonts w:eastAsia="Times New Roman" w:cs="Times New Roman"/>
          <w:szCs w:val="24"/>
        </w:rPr>
        <w:t>as a result of</w:t>
      </w:r>
      <w:proofErr w:type="gramEnd"/>
      <w:r w:rsidRPr="00AA4677">
        <w:rPr>
          <w:rFonts w:eastAsia="Times New Roman" w:cs="Times New Roman"/>
          <w:szCs w:val="24"/>
        </w:rPr>
        <w:t xml:space="preserve"> this not-for-cause routine review is brought to the next scheduled IRB meeting for committee deliberation. </w:t>
      </w:r>
    </w:p>
    <w:p w14:paraId="2090AB24" w14:textId="70B75546" w:rsidR="000964E2" w:rsidRPr="00AA4677" w:rsidRDefault="00C95B68" w:rsidP="000117C5">
      <w:pPr>
        <w:rPr>
          <w:b/>
        </w:rPr>
      </w:pPr>
      <w:r w:rsidRPr="00AA4677">
        <w:rPr>
          <w:b/>
        </w:rPr>
        <w:t xml:space="preserve">NOTE: </w:t>
      </w:r>
      <w:r w:rsidR="000964E2" w:rsidRPr="00AA4677">
        <w:rPr>
          <w:b/>
        </w:rPr>
        <w:t xml:space="preserve">SBU HRPP also has a formal consent monitoring program. See SOP section </w:t>
      </w:r>
      <w:r w:rsidR="00D602EB" w:rsidRPr="00AA4677">
        <w:rPr>
          <w:b/>
        </w:rPr>
        <w:t>3.9.4</w:t>
      </w:r>
      <w:r w:rsidR="000964E2" w:rsidRPr="00AA4677">
        <w:rPr>
          <w:b/>
        </w:rPr>
        <w:t> ‘Consent Monitoring’</w:t>
      </w:r>
    </w:p>
    <w:p w14:paraId="6673A579" w14:textId="4DFA70F2" w:rsidR="003E7C9E" w:rsidRPr="00AA4677" w:rsidRDefault="003E7C9E" w:rsidP="00C57C98">
      <w:pPr>
        <w:pStyle w:val="Heading3"/>
      </w:pPr>
      <w:r w:rsidRPr="00AA4677">
        <w:t>1.13.3 Non-University Institutional Audits</w:t>
      </w:r>
    </w:p>
    <w:p w14:paraId="7D9FF7F5" w14:textId="700E573B"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External directed (“for cause”) audits wil</w:t>
      </w:r>
      <w:r w:rsidR="00D0184B" w:rsidRPr="00AA4677">
        <w:rPr>
          <w:rFonts w:eastAsia="Times New Roman" w:cs="Times New Roman"/>
          <w:szCs w:val="24"/>
        </w:rPr>
        <w:t>l</w:t>
      </w:r>
      <w:r w:rsidRPr="00AA4677">
        <w:rPr>
          <w:rFonts w:eastAsia="Times New Roman" w:cs="Times New Roman"/>
          <w:szCs w:val="24"/>
        </w:rPr>
        <w:t xml:space="preserve"> b</w:t>
      </w:r>
      <w:r w:rsidR="00D0184B" w:rsidRPr="00AA4677">
        <w:rPr>
          <w:rFonts w:eastAsia="Times New Roman" w:cs="Times New Roman"/>
          <w:szCs w:val="24"/>
        </w:rPr>
        <w:t>e done</w:t>
      </w:r>
      <w:r w:rsidRPr="00AA4677">
        <w:rPr>
          <w:rFonts w:eastAsia="Times New Roman" w:cs="Times New Roman"/>
          <w:szCs w:val="24"/>
        </w:rPr>
        <w:t xml:space="preserve"> </w:t>
      </w:r>
      <w:r w:rsidR="00D0184B" w:rsidRPr="00AA4677">
        <w:rPr>
          <w:rFonts w:eastAsia="Times New Roman" w:cs="Times New Roman"/>
          <w:szCs w:val="24"/>
        </w:rPr>
        <w:t>on activities conducted at</w:t>
      </w:r>
      <w:r w:rsidRPr="00AA4677">
        <w:rPr>
          <w:rFonts w:eastAsia="Times New Roman" w:cs="Times New Roman"/>
          <w:szCs w:val="24"/>
        </w:rPr>
        <w:t xml:space="preserve"> non-University sites, where the </w:t>
      </w:r>
      <w:r w:rsidR="00EE7207" w:rsidRPr="00AA4677">
        <w:rPr>
          <w:rFonts w:eastAsia="Times New Roman" w:cs="Times New Roman"/>
          <w:szCs w:val="24"/>
        </w:rPr>
        <w:t>IRB</w:t>
      </w:r>
      <w:r w:rsidRPr="00AA4677">
        <w:rPr>
          <w:rFonts w:eastAsia="Times New Roman" w:cs="Times New Roman"/>
          <w:szCs w:val="24"/>
        </w:rPr>
        <w:t xml:space="preserve"> serve as the “IRB of Record,” </w:t>
      </w:r>
      <w:r w:rsidR="00D0184B" w:rsidRPr="00AA4677">
        <w:rPr>
          <w:rFonts w:eastAsia="Times New Roman" w:cs="Times New Roman"/>
          <w:szCs w:val="24"/>
        </w:rPr>
        <w:t xml:space="preserve">in response to concerns regarding </w:t>
      </w:r>
      <w:r w:rsidRPr="00AA4677">
        <w:rPr>
          <w:rFonts w:eastAsia="Times New Roman" w:cs="Times New Roman"/>
          <w:szCs w:val="24"/>
        </w:rPr>
        <w:t xml:space="preserve"> compliance with federal, state, and local law</w:t>
      </w:r>
      <w:r w:rsidR="00DD68DF" w:rsidRPr="00AA4677">
        <w:rPr>
          <w:rFonts w:eastAsia="Times New Roman" w:cs="Times New Roman"/>
          <w:szCs w:val="24"/>
        </w:rPr>
        <w:t>, research subject safety, and IRB</w:t>
      </w:r>
      <w:r w:rsidRPr="00AA4677">
        <w:rPr>
          <w:rFonts w:eastAsia="Times New Roman" w:cs="Times New Roman"/>
          <w:szCs w:val="24"/>
        </w:rPr>
        <w:t xml:space="preserve"> policies and procedures. These audits may include act</w:t>
      </w:r>
      <w:r w:rsidR="00D81077" w:rsidRPr="00AA4677">
        <w:rPr>
          <w:rFonts w:eastAsia="Times New Roman" w:cs="Times New Roman"/>
          <w:szCs w:val="24"/>
        </w:rPr>
        <w:t>ivities listed</w:t>
      </w:r>
      <w:r w:rsidRPr="00AA4677">
        <w:rPr>
          <w:rFonts w:eastAsia="Times New Roman" w:cs="Times New Roman"/>
          <w:szCs w:val="24"/>
        </w:rPr>
        <w:t xml:space="preserve"> above.</w:t>
      </w:r>
    </w:p>
    <w:p w14:paraId="7CF86C82" w14:textId="1BCBE1CD" w:rsidR="003E7C9E" w:rsidRPr="00AA4677" w:rsidRDefault="003E7C9E" w:rsidP="00C57C98">
      <w:pPr>
        <w:pStyle w:val="Heading3"/>
      </w:pPr>
      <w:r w:rsidRPr="00AA4677">
        <w:t>1.13.4 Reporting and Disposition</w:t>
      </w:r>
    </w:p>
    <w:p w14:paraId="6167B6D4" w14:textId="6A28EC8D" w:rsidR="003E7C9E" w:rsidRPr="00AA4677" w:rsidRDefault="000E6FE1"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Noncompliance revealed from d</w:t>
      </w:r>
      <w:r w:rsidR="003E7C9E" w:rsidRPr="00AA4677">
        <w:rPr>
          <w:rFonts w:eastAsia="Times New Roman" w:cs="Times New Roman"/>
          <w:szCs w:val="24"/>
        </w:rPr>
        <w:t xml:space="preserve">irected audits and not-for-cause reviews will be reported to the </w:t>
      </w:r>
      <w:r w:rsidR="00F82E75" w:rsidRPr="00AA4677">
        <w:rPr>
          <w:rFonts w:eastAsia="Times New Roman" w:cs="Times New Roman"/>
          <w:szCs w:val="24"/>
        </w:rPr>
        <w:t>AVP-RC</w:t>
      </w:r>
      <w:r w:rsidR="003E7C9E" w:rsidRPr="00AA4677">
        <w:rPr>
          <w:rFonts w:eastAsia="Times New Roman" w:cs="Times New Roman"/>
          <w:szCs w:val="24"/>
        </w:rPr>
        <w:t xml:space="preserve">, </w:t>
      </w:r>
      <w:r w:rsidRPr="00AA4677">
        <w:rPr>
          <w:rFonts w:eastAsia="Times New Roman" w:cs="Times New Roman"/>
          <w:szCs w:val="24"/>
        </w:rPr>
        <w:t>as well as t</w:t>
      </w:r>
      <w:r w:rsidR="00D0184B" w:rsidRPr="00AA4677">
        <w:rPr>
          <w:rFonts w:eastAsia="Times New Roman" w:cs="Times New Roman"/>
          <w:szCs w:val="24"/>
        </w:rPr>
        <w:t>o the</w:t>
      </w:r>
      <w:r w:rsidRPr="00AA4677">
        <w:rPr>
          <w:rFonts w:eastAsia="Times New Roman" w:cs="Times New Roman"/>
          <w:szCs w:val="24"/>
        </w:rPr>
        <w:t xml:space="preserve"> applicable IRB </w:t>
      </w:r>
      <w:r w:rsidR="00D0184B" w:rsidRPr="00AA4677">
        <w:rPr>
          <w:rFonts w:eastAsia="Times New Roman" w:cs="Times New Roman"/>
          <w:szCs w:val="24"/>
        </w:rPr>
        <w:t>at the next scheduled meeting</w:t>
      </w:r>
      <w:r w:rsidRPr="00AA4677">
        <w:rPr>
          <w:rFonts w:eastAsia="Times New Roman" w:cs="Times New Roman"/>
          <w:szCs w:val="24"/>
        </w:rPr>
        <w:t xml:space="preserve">. For issues concerning studies under external IRB oversight, reporting will occur at the next scheduled on-site IRB meeting. </w:t>
      </w:r>
      <w:r w:rsidR="00D81077" w:rsidRPr="00AA4677">
        <w:rPr>
          <w:rFonts w:eastAsia="Times New Roman" w:cs="Times New Roman"/>
          <w:szCs w:val="24"/>
        </w:rPr>
        <w:t>I</w:t>
      </w:r>
      <w:r w:rsidR="003E7C9E" w:rsidRPr="00AA4677">
        <w:rPr>
          <w:rFonts w:eastAsia="Times New Roman" w:cs="Times New Roman"/>
          <w:szCs w:val="24"/>
        </w:rPr>
        <w:t xml:space="preserve">f the issue concerns an investigator, and is not study </w:t>
      </w:r>
      <w:proofErr w:type="gramStart"/>
      <w:r w:rsidR="003E7C9E" w:rsidRPr="00AA4677">
        <w:rPr>
          <w:rFonts w:eastAsia="Times New Roman" w:cs="Times New Roman"/>
          <w:szCs w:val="24"/>
        </w:rPr>
        <w:t>specific</w:t>
      </w:r>
      <w:proofErr w:type="gramEnd"/>
      <w:r w:rsidR="003E7C9E" w:rsidRPr="00AA4677">
        <w:rPr>
          <w:rFonts w:eastAsia="Times New Roman" w:cs="Times New Roman"/>
          <w:szCs w:val="24"/>
        </w:rPr>
        <w:t>, all affected IRBs will be notified of findings).  Any noncompliance will be handled according</w:t>
      </w:r>
      <w:r w:rsidR="00D81077" w:rsidRPr="00AA4677">
        <w:rPr>
          <w:rFonts w:eastAsia="Times New Roman" w:cs="Times New Roman"/>
          <w:szCs w:val="24"/>
        </w:rPr>
        <w:t xml:space="preserve"> to</w:t>
      </w:r>
      <w:r w:rsidR="003E7C9E" w:rsidRPr="00AA4677">
        <w:rPr>
          <w:rFonts w:eastAsia="Times New Roman" w:cs="Times New Roman"/>
          <w:szCs w:val="24"/>
        </w:rPr>
        <w:t xml:space="preserve"> th</w:t>
      </w:r>
      <w:r w:rsidR="00D81077" w:rsidRPr="00AA4677">
        <w:rPr>
          <w:rFonts w:eastAsia="Times New Roman" w:cs="Times New Roman"/>
          <w:szCs w:val="24"/>
        </w:rPr>
        <w:t xml:space="preserve">e procedures in </w:t>
      </w:r>
      <w:r w:rsidR="003E7C9E" w:rsidRPr="00AA4677">
        <w:rPr>
          <w:rFonts w:eastAsia="Times New Roman" w:cs="Times New Roman"/>
          <w:szCs w:val="24"/>
        </w:rPr>
        <w:t>these SOPs.</w:t>
      </w:r>
      <w:r w:rsidR="00D0184B" w:rsidRPr="00AA4677">
        <w:rPr>
          <w:rFonts w:eastAsia="Times New Roman" w:cs="Times New Roman"/>
          <w:szCs w:val="24"/>
        </w:rPr>
        <w:t xml:space="preserve"> </w:t>
      </w:r>
    </w:p>
    <w:p w14:paraId="62DDC9BE" w14:textId="203C9C59"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an audit or review finds </w:t>
      </w:r>
      <w:r w:rsidR="00D0184B" w:rsidRPr="00AA4677">
        <w:rPr>
          <w:rFonts w:eastAsia="Times New Roman" w:cs="Times New Roman"/>
          <w:szCs w:val="24"/>
        </w:rPr>
        <w:t>potential serious</w:t>
      </w:r>
      <w:r w:rsidR="00D81077" w:rsidRPr="00AA4677">
        <w:rPr>
          <w:rFonts w:eastAsia="Times New Roman" w:cs="Times New Roman"/>
          <w:szCs w:val="24"/>
        </w:rPr>
        <w:t xml:space="preserve"> or continuing</w:t>
      </w:r>
      <w:r w:rsidR="00D0184B" w:rsidRPr="00AA4677">
        <w:rPr>
          <w:rFonts w:eastAsia="Times New Roman" w:cs="Times New Roman"/>
          <w:szCs w:val="24"/>
        </w:rPr>
        <w:t xml:space="preserve"> noncompliance, and/or </w:t>
      </w:r>
      <w:r w:rsidRPr="00AA4677">
        <w:rPr>
          <w:rFonts w:eastAsia="Times New Roman" w:cs="Times New Roman"/>
          <w:szCs w:val="24"/>
        </w:rPr>
        <w:t>that subjects have been exposed to, or in danger of being exposed to conditions that compromise their safety, the</w:t>
      </w:r>
      <w:r w:rsidR="00CF7DFB" w:rsidRPr="00AA4677">
        <w:rPr>
          <w:rFonts w:eastAsia="Times New Roman" w:cs="Times New Roman"/>
          <w:szCs w:val="24"/>
        </w:rPr>
        <w:t xml:space="preserve"> </w:t>
      </w:r>
      <w:r w:rsidR="00D0184B" w:rsidRPr="00AA4677">
        <w:rPr>
          <w:rFonts w:eastAsia="Times New Roman" w:cs="Times New Roman"/>
          <w:szCs w:val="24"/>
        </w:rPr>
        <w:t>IO</w:t>
      </w:r>
      <w:r w:rsidR="00BC6E54" w:rsidRPr="00AA4677">
        <w:rPr>
          <w:rFonts w:eastAsia="Times New Roman" w:cs="Times New Roman"/>
          <w:szCs w:val="24"/>
        </w:rPr>
        <w:t xml:space="preserve">, </w:t>
      </w:r>
      <w:r w:rsidR="00F82E75" w:rsidRPr="00AA4677">
        <w:rPr>
          <w:rFonts w:eastAsia="Times New Roman" w:cs="Times New Roman"/>
          <w:szCs w:val="24"/>
        </w:rPr>
        <w:t xml:space="preserve">AVP-RC, </w:t>
      </w:r>
      <w:r w:rsidR="00D0184B" w:rsidRPr="00AA4677">
        <w:rPr>
          <w:rFonts w:eastAsia="Times New Roman" w:cs="Times New Roman"/>
          <w:szCs w:val="24"/>
        </w:rPr>
        <w:t>and/or</w:t>
      </w:r>
      <w:r w:rsidRPr="00AA4677">
        <w:rPr>
          <w:rFonts w:eastAsia="Times New Roman" w:cs="Times New Roman"/>
          <w:szCs w:val="24"/>
        </w:rPr>
        <w:t xml:space="preserve"> </w:t>
      </w:r>
      <w:r w:rsidR="00DD68DF" w:rsidRPr="00AA4677">
        <w:rPr>
          <w:rFonts w:eastAsia="Times New Roman" w:cs="Times New Roman"/>
          <w:szCs w:val="24"/>
        </w:rPr>
        <w:t>IRB</w:t>
      </w:r>
      <w:r w:rsidRPr="00AA4677">
        <w:rPr>
          <w:rFonts w:eastAsia="Times New Roman" w:cs="Times New Roman"/>
          <w:szCs w:val="24"/>
        </w:rPr>
        <w:t xml:space="preserve"> Chair will be authorized to take immediate action as deemed necessary (prior to review or request for</w:t>
      </w:r>
      <w:r w:rsidR="00CF7DFB" w:rsidRPr="00AA4677">
        <w:rPr>
          <w:rFonts w:eastAsia="Times New Roman" w:cs="Times New Roman"/>
          <w:szCs w:val="24"/>
        </w:rPr>
        <w:t xml:space="preserve"> further investigation by the </w:t>
      </w:r>
      <w:r w:rsidR="00EE7207" w:rsidRPr="00AA4677">
        <w:rPr>
          <w:rFonts w:eastAsia="Times New Roman" w:cs="Times New Roman"/>
          <w:szCs w:val="24"/>
        </w:rPr>
        <w:t>IRB</w:t>
      </w:r>
      <w:r w:rsidRPr="00AA4677">
        <w:rPr>
          <w:rFonts w:eastAsia="Times New Roman" w:cs="Times New Roman"/>
          <w:szCs w:val="24"/>
        </w:rPr>
        <w:t>), to ensure that the study subjects’ health and welfare are protected. </w:t>
      </w:r>
    </w:p>
    <w:p w14:paraId="719158FC" w14:textId="36D59E29" w:rsidR="003E7C9E" w:rsidRPr="00AA4677" w:rsidRDefault="00D81077"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Findings from audits</w:t>
      </w:r>
      <w:r w:rsidR="003E7C9E" w:rsidRPr="00AA4677">
        <w:rPr>
          <w:rFonts w:eastAsia="Times New Roman" w:cs="Times New Roman"/>
          <w:szCs w:val="24"/>
        </w:rPr>
        <w:t xml:space="preserve"> are reviewed by </w:t>
      </w:r>
      <w:r w:rsidR="00BC6E54" w:rsidRPr="00AA4677">
        <w:rPr>
          <w:rFonts w:eastAsia="Times New Roman" w:cs="Times New Roman"/>
          <w:szCs w:val="24"/>
        </w:rPr>
        <w:t xml:space="preserve">the </w:t>
      </w:r>
      <w:r w:rsidR="00F82E75" w:rsidRPr="00AA4677">
        <w:rPr>
          <w:rFonts w:eastAsia="Times New Roman" w:cs="Times New Roman"/>
          <w:szCs w:val="24"/>
        </w:rPr>
        <w:t>AVP-RC</w:t>
      </w:r>
      <w:r w:rsidRPr="00AA4677">
        <w:rPr>
          <w:rFonts w:eastAsia="Times New Roman" w:cs="Times New Roman"/>
          <w:szCs w:val="24"/>
        </w:rPr>
        <w:t>, ORC staff and</w:t>
      </w:r>
      <w:r w:rsidR="003E7C9E" w:rsidRPr="00AA4677">
        <w:rPr>
          <w:rFonts w:eastAsia="Times New Roman" w:cs="Times New Roman"/>
          <w:szCs w:val="24"/>
        </w:rPr>
        <w:t xml:space="preserve"> applicable officials to determine if investigator</w:t>
      </w:r>
      <w:r w:rsidR="00D0184B" w:rsidRPr="00AA4677">
        <w:rPr>
          <w:rFonts w:eastAsia="Times New Roman" w:cs="Times New Roman"/>
          <w:szCs w:val="24"/>
        </w:rPr>
        <w:t>s might benefit from additional education</w:t>
      </w:r>
      <w:r w:rsidR="00F02576" w:rsidRPr="00AA4677">
        <w:rPr>
          <w:rFonts w:eastAsia="Times New Roman" w:cs="Times New Roman"/>
          <w:szCs w:val="24"/>
        </w:rPr>
        <w:t xml:space="preserve"> or guidance</w:t>
      </w:r>
      <w:r w:rsidR="00D0184B" w:rsidRPr="00AA4677">
        <w:rPr>
          <w:rFonts w:eastAsia="Times New Roman" w:cs="Times New Roman"/>
          <w:szCs w:val="24"/>
        </w:rPr>
        <w:t xml:space="preserve"> (</w:t>
      </w:r>
      <w:r w:rsidR="003E7C9E" w:rsidRPr="00AA4677">
        <w:rPr>
          <w:rFonts w:eastAsia="Times New Roman" w:cs="Times New Roman"/>
          <w:szCs w:val="24"/>
        </w:rPr>
        <w:t>via e-mail) impact</w:t>
      </w:r>
      <w:r w:rsidR="00D0184B" w:rsidRPr="00AA4677">
        <w:rPr>
          <w:rFonts w:eastAsia="Times New Roman" w:cs="Times New Roman"/>
          <w:szCs w:val="24"/>
        </w:rPr>
        <w:t>ing</w:t>
      </w:r>
      <w:r w:rsidR="003E7C9E" w:rsidRPr="00AA4677">
        <w:rPr>
          <w:rFonts w:eastAsia="Times New Roman" w:cs="Times New Roman"/>
          <w:szCs w:val="24"/>
        </w:rPr>
        <w:t xml:space="preserve"> the compliant </w:t>
      </w:r>
      <w:r w:rsidR="00D0184B" w:rsidRPr="00AA4677">
        <w:rPr>
          <w:rFonts w:eastAsia="Times New Roman" w:cs="Times New Roman"/>
          <w:szCs w:val="24"/>
        </w:rPr>
        <w:t xml:space="preserve">and ethical </w:t>
      </w:r>
      <w:r w:rsidR="003E7C9E" w:rsidRPr="00AA4677">
        <w:rPr>
          <w:rFonts w:eastAsia="Times New Roman" w:cs="Times New Roman"/>
          <w:szCs w:val="24"/>
        </w:rPr>
        <w:t xml:space="preserve">conduct of their research activities, </w:t>
      </w:r>
      <w:r w:rsidR="00D0184B" w:rsidRPr="00AA4677">
        <w:rPr>
          <w:rFonts w:eastAsia="Times New Roman" w:cs="Times New Roman"/>
          <w:szCs w:val="24"/>
        </w:rPr>
        <w:t xml:space="preserve">and </w:t>
      </w:r>
      <w:r w:rsidR="003E7C9E" w:rsidRPr="00AA4677">
        <w:rPr>
          <w:rFonts w:eastAsia="Times New Roman" w:cs="Times New Roman"/>
          <w:szCs w:val="24"/>
        </w:rPr>
        <w:t xml:space="preserve">whether </w:t>
      </w:r>
      <w:r w:rsidRPr="00AA4677">
        <w:rPr>
          <w:rFonts w:eastAsia="Times New Roman" w:cs="Times New Roman"/>
          <w:szCs w:val="24"/>
        </w:rPr>
        <w:t xml:space="preserve">study </w:t>
      </w:r>
      <w:r w:rsidR="003E7C9E" w:rsidRPr="00AA4677">
        <w:rPr>
          <w:rFonts w:eastAsia="Times New Roman" w:cs="Times New Roman"/>
          <w:szCs w:val="24"/>
        </w:rPr>
        <w:t xml:space="preserve">applications </w:t>
      </w:r>
      <w:r w:rsidR="00F02576" w:rsidRPr="00AA4677">
        <w:rPr>
          <w:rFonts w:eastAsia="Times New Roman" w:cs="Times New Roman"/>
          <w:szCs w:val="24"/>
        </w:rPr>
        <w:t>need</w:t>
      </w:r>
      <w:r w:rsidR="003E7C9E" w:rsidRPr="00AA4677">
        <w:rPr>
          <w:rFonts w:eastAsia="Times New Roman" w:cs="Times New Roman"/>
          <w:szCs w:val="24"/>
        </w:rPr>
        <w:t xml:space="preserve"> to be clarified or revised to facilitate compliance</w:t>
      </w:r>
      <w:r w:rsidR="00D0184B" w:rsidRPr="00AA4677">
        <w:rPr>
          <w:rFonts w:eastAsia="Times New Roman" w:cs="Times New Roman"/>
          <w:szCs w:val="24"/>
        </w:rPr>
        <w:t>.</w:t>
      </w:r>
    </w:p>
    <w:p w14:paraId="700FA904" w14:textId="39C48FC4" w:rsidR="003E7C9E" w:rsidRPr="00AA4677" w:rsidRDefault="003E7C9E" w:rsidP="00C57C98">
      <w:pPr>
        <w:pStyle w:val="Heading3"/>
      </w:pPr>
      <w:r w:rsidRPr="00AA4677">
        <w:t>1.13.5 </w:t>
      </w:r>
      <w:r w:rsidR="00EE7207" w:rsidRPr="00AA4677">
        <w:t>IRB</w:t>
      </w:r>
      <w:r w:rsidRPr="00AA4677">
        <w:t xml:space="preserve"> Internal Compliance Reviews </w:t>
      </w:r>
    </w:p>
    <w:p w14:paraId="77195E73" w14:textId="6B2CEBD1" w:rsidR="007067E7" w:rsidRPr="00AA4677" w:rsidRDefault="007067E7">
      <w:pPr>
        <w:pStyle w:val="ListParagraph"/>
        <w:numPr>
          <w:ilvl w:val="0"/>
          <w:numId w:val="8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w:t>
      </w:r>
      <w:r w:rsidR="007549B5" w:rsidRPr="00AA4677">
        <w:rPr>
          <w:rFonts w:eastAsia="Times New Roman" w:cs="Times New Roman"/>
          <w:szCs w:val="24"/>
        </w:rPr>
        <w:t xml:space="preserve"> </w:t>
      </w:r>
      <w:r w:rsidR="00636B74" w:rsidRPr="00AA4677">
        <w:rPr>
          <w:rFonts w:eastAsia="Times New Roman" w:cs="Times New Roman"/>
          <w:szCs w:val="24"/>
        </w:rPr>
        <w:t>Office of Research Compliance staff</w:t>
      </w:r>
      <w:r w:rsidR="00CA676F" w:rsidRPr="00AA4677">
        <w:rPr>
          <w:rFonts w:eastAsia="Times New Roman" w:cs="Times New Roman"/>
          <w:szCs w:val="24"/>
        </w:rPr>
        <w:t xml:space="preserve"> </w:t>
      </w:r>
      <w:r w:rsidRPr="00AA4677">
        <w:rPr>
          <w:rFonts w:eastAsia="Times New Roman" w:cs="Times New Roman"/>
          <w:szCs w:val="24"/>
        </w:rPr>
        <w:t>conduct</w:t>
      </w:r>
      <w:r w:rsidR="00CA676F" w:rsidRPr="00AA4677">
        <w:rPr>
          <w:rFonts w:eastAsia="Times New Roman" w:cs="Times New Roman"/>
          <w:szCs w:val="24"/>
        </w:rPr>
        <w:t xml:space="preserve"> </w:t>
      </w:r>
      <w:r w:rsidRPr="00AA4677">
        <w:rPr>
          <w:rFonts w:eastAsia="Times New Roman" w:cs="Times New Roman"/>
          <w:szCs w:val="24"/>
        </w:rPr>
        <w:t>review of  on-site IRB minutes</w:t>
      </w:r>
      <w:r w:rsidR="00AA3429" w:rsidRPr="00AA4677">
        <w:rPr>
          <w:rFonts w:eastAsia="Times New Roman" w:cs="Times New Roman"/>
          <w:szCs w:val="24"/>
        </w:rPr>
        <w:t xml:space="preserve"> and other meeting documents</w:t>
      </w:r>
      <w:r w:rsidR="003E7C9E" w:rsidRPr="00AA4677">
        <w:rPr>
          <w:rFonts w:eastAsia="Times New Roman" w:cs="Times New Roman"/>
          <w:szCs w:val="24"/>
        </w:rPr>
        <w:t xml:space="preserve"> to determine that adequate documentati</w:t>
      </w:r>
      <w:r w:rsidR="00F02576" w:rsidRPr="00AA4677">
        <w:rPr>
          <w:rFonts w:eastAsia="Times New Roman" w:cs="Times New Roman"/>
          <w:szCs w:val="24"/>
        </w:rPr>
        <w:t>on of the meeting discussion</w:t>
      </w:r>
      <w:r w:rsidR="003E7C9E" w:rsidRPr="00AA4677">
        <w:rPr>
          <w:rFonts w:eastAsia="Times New Roman" w:cs="Times New Roman"/>
          <w:szCs w:val="24"/>
        </w:rPr>
        <w:t xml:space="preserve"> occurred</w:t>
      </w:r>
      <w:r w:rsidRPr="00AA4677">
        <w:rPr>
          <w:rFonts w:eastAsia="Times New Roman" w:cs="Times New Roman"/>
          <w:szCs w:val="24"/>
        </w:rPr>
        <w:t xml:space="preserve"> and </w:t>
      </w:r>
      <w:r w:rsidR="00F02576" w:rsidRPr="00AA4677">
        <w:rPr>
          <w:rFonts w:eastAsia="Times New Roman" w:cs="Times New Roman"/>
          <w:szCs w:val="24"/>
        </w:rPr>
        <w:t xml:space="preserve">that </w:t>
      </w:r>
      <w:r w:rsidRPr="00AA4677">
        <w:rPr>
          <w:rFonts w:eastAsia="Times New Roman" w:cs="Times New Roman"/>
          <w:szCs w:val="24"/>
        </w:rPr>
        <w:t>appropriate actions and determinations have been made</w:t>
      </w:r>
      <w:r w:rsidR="003E7C9E" w:rsidRPr="00AA4677">
        <w:rPr>
          <w:rFonts w:eastAsia="Times New Roman" w:cs="Times New Roman"/>
          <w:szCs w:val="24"/>
        </w:rPr>
        <w:t xml:space="preserve">. This review </w:t>
      </w:r>
      <w:r w:rsidRPr="00AA4677">
        <w:rPr>
          <w:rFonts w:eastAsia="Times New Roman" w:cs="Times New Roman"/>
          <w:szCs w:val="24"/>
        </w:rPr>
        <w:t>include</w:t>
      </w:r>
      <w:r w:rsidR="00AA3429" w:rsidRPr="00AA4677">
        <w:rPr>
          <w:rFonts w:eastAsia="Times New Roman" w:cs="Times New Roman"/>
          <w:szCs w:val="24"/>
        </w:rPr>
        <w:t>s assessment that , e.g., federal approval criteria have been considered and met</w:t>
      </w:r>
      <w:r w:rsidRPr="00AA4677">
        <w:rPr>
          <w:rFonts w:eastAsia="Times New Roman" w:cs="Times New Roman"/>
          <w:szCs w:val="24"/>
        </w:rPr>
        <w:t xml:space="preserve"> </w:t>
      </w:r>
      <w:r w:rsidR="00AA3429" w:rsidRPr="00AA4677">
        <w:rPr>
          <w:rFonts w:eastAsia="Times New Roman" w:cs="Times New Roman"/>
          <w:szCs w:val="24"/>
        </w:rPr>
        <w:t xml:space="preserve">(in approved studies, or met pending prescriptive revisions by the investigator), </w:t>
      </w:r>
      <w:r w:rsidRPr="00AA4677">
        <w:rPr>
          <w:rFonts w:eastAsia="Times New Roman" w:cs="Times New Roman"/>
          <w:szCs w:val="24"/>
        </w:rPr>
        <w:t xml:space="preserve"> quorum </w:t>
      </w:r>
      <w:r w:rsidR="00AA3429" w:rsidRPr="00AA4677">
        <w:rPr>
          <w:rFonts w:eastAsia="Times New Roman" w:cs="Times New Roman"/>
          <w:szCs w:val="24"/>
        </w:rPr>
        <w:t xml:space="preserve">is met </w:t>
      </w:r>
      <w:r w:rsidR="00AA3429" w:rsidRPr="00AA4677">
        <w:rPr>
          <w:rFonts w:eastAsia="Times New Roman" w:cs="Times New Roman"/>
          <w:szCs w:val="24"/>
        </w:rPr>
        <w:lastRenderedPageBreak/>
        <w:t xml:space="preserve">and maintained, </w:t>
      </w:r>
      <w:r w:rsidR="00BA7859" w:rsidRPr="00AA4677">
        <w:rPr>
          <w:rFonts w:eastAsia="Times New Roman" w:cs="Times New Roman"/>
          <w:szCs w:val="24"/>
        </w:rPr>
        <w:t xml:space="preserve">appropriate handling of COI management plans for investigators, </w:t>
      </w:r>
      <w:r w:rsidR="00AA3429" w:rsidRPr="00AA4677">
        <w:rPr>
          <w:rFonts w:eastAsia="Times New Roman" w:cs="Times New Roman"/>
          <w:szCs w:val="24"/>
        </w:rPr>
        <w:t>appropriate recusal of conflicted members</w:t>
      </w:r>
      <w:r w:rsidRPr="00AA4677">
        <w:rPr>
          <w:rFonts w:eastAsia="Times New Roman" w:cs="Times New Roman"/>
          <w:szCs w:val="24"/>
        </w:rPr>
        <w:t>,</w:t>
      </w:r>
      <w:r w:rsidR="003E7C9E" w:rsidRPr="00AA4677">
        <w:rPr>
          <w:rFonts w:eastAsia="Times New Roman" w:cs="Times New Roman"/>
          <w:szCs w:val="24"/>
        </w:rPr>
        <w:t xml:space="preserve"> </w:t>
      </w:r>
      <w:r w:rsidRPr="00AA4677">
        <w:rPr>
          <w:rFonts w:eastAsia="Times New Roman" w:cs="Times New Roman"/>
          <w:szCs w:val="24"/>
        </w:rPr>
        <w:t xml:space="preserve">appropriate committee action for substantive modifications, </w:t>
      </w:r>
      <w:r w:rsidR="00BA7859" w:rsidRPr="00AA4677">
        <w:rPr>
          <w:rFonts w:eastAsia="Times New Roman" w:cs="Times New Roman"/>
          <w:szCs w:val="24"/>
        </w:rPr>
        <w:t xml:space="preserve">documented </w:t>
      </w:r>
      <w:r w:rsidRPr="00AA4677">
        <w:rPr>
          <w:rFonts w:eastAsia="Times New Roman" w:cs="Times New Roman"/>
          <w:szCs w:val="24"/>
        </w:rPr>
        <w:t xml:space="preserve">protocol-specific determinations for </w:t>
      </w:r>
      <w:r w:rsidR="003E7C9E" w:rsidRPr="00AA4677">
        <w:rPr>
          <w:rFonts w:eastAsia="Times New Roman" w:cs="Times New Roman"/>
          <w:szCs w:val="24"/>
        </w:rPr>
        <w:t>protections of vulnerable populations</w:t>
      </w:r>
      <w:r w:rsidR="00BA7859" w:rsidRPr="00AA4677">
        <w:rPr>
          <w:rFonts w:eastAsia="Times New Roman" w:cs="Times New Roman"/>
          <w:szCs w:val="24"/>
        </w:rPr>
        <w:t>, and quality of IRB member reviews.</w:t>
      </w:r>
      <w:r w:rsidR="003E7C9E" w:rsidRPr="00AA4677">
        <w:rPr>
          <w:rFonts w:eastAsia="Times New Roman" w:cs="Times New Roman"/>
          <w:szCs w:val="24"/>
        </w:rPr>
        <w:t xml:space="preserve"> </w:t>
      </w:r>
    </w:p>
    <w:p w14:paraId="0D6BD1A9" w14:textId="3746E9C1" w:rsidR="003E7C9E" w:rsidRPr="00AA4677" w:rsidRDefault="00BA7859">
      <w:pPr>
        <w:pStyle w:val="ListParagraph"/>
        <w:numPr>
          <w:ilvl w:val="0"/>
          <w:numId w:val="8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IRB staff ensure</w:t>
      </w:r>
      <w:r w:rsidR="00CA676F" w:rsidRPr="00AA4677">
        <w:rPr>
          <w:rFonts w:eastAsia="Times New Roman" w:cs="Times New Roman"/>
          <w:szCs w:val="24"/>
        </w:rPr>
        <w:t>s</w:t>
      </w:r>
      <w:r w:rsidRPr="00AA4677">
        <w:rPr>
          <w:rFonts w:eastAsia="Times New Roman" w:cs="Times New Roman"/>
          <w:szCs w:val="24"/>
        </w:rPr>
        <w:t xml:space="preserve"> that, for continuing reviews, </w:t>
      </w:r>
      <w:r w:rsidR="003E7C9E" w:rsidRPr="00AA4677">
        <w:rPr>
          <w:rFonts w:eastAsia="Times New Roman" w:cs="Times New Roman"/>
          <w:szCs w:val="24"/>
        </w:rPr>
        <w:t xml:space="preserve">no lapse </w:t>
      </w:r>
      <w:r w:rsidRPr="00AA4677">
        <w:rPr>
          <w:rFonts w:eastAsia="Times New Roman" w:cs="Times New Roman"/>
          <w:szCs w:val="24"/>
        </w:rPr>
        <w:t xml:space="preserve">in approval has occurred and if it has, they will obtain a report from the PI detailing activities that transpired during the </w:t>
      </w:r>
      <w:proofErr w:type="gramStart"/>
      <w:r w:rsidRPr="00AA4677">
        <w:rPr>
          <w:rFonts w:eastAsia="Times New Roman" w:cs="Times New Roman"/>
          <w:szCs w:val="24"/>
        </w:rPr>
        <w:t>period of study lapse</w:t>
      </w:r>
      <w:proofErr w:type="gramEnd"/>
      <w:r w:rsidRPr="00AA4677">
        <w:rPr>
          <w:rFonts w:eastAsia="Times New Roman" w:cs="Times New Roman"/>
          <w:szCs w:val="24"/>
        </w:rPr>
        <w:t>. Any activity that has transpired will be brought to the following IRB meeting for assessment of noncompliance. The staff will also verify other IRB approvals from (and Federal Wide Assurances where federal monies are involved) for collaborating institutions or external performance sites</w:t>
      </w:r>
      <w:r w:rsidRPr="00AA4677" w:rsidDel="00BA7859">
        <w:rPr>
          <w:rFonts w:eastAsia="Times New Roman" w:cs="Times New Roman"/>
          <w:szCs w:val="24"/>
        </w:rPr>
        <w:t xml:space="preserve"> </w:t>
      </w:r>
    </w:p>
    <w:p w14:paraId="3D4DE55F" w14:textId="516A9D1B" w:rsidR="003E7C9E" w:rsidRPr="00AA4677" w:rsidRDefault="00BA7859">
      <w:pPr>
        <w:pStyle w:val="ListParagraph"/>
        <w:numPr>
          <w:ilvl w:val="0"/>
          <w:numId w:val="8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F82E75" w:rsidRPr="00AA4677">
        <w:rPr>
          <w:rFonts w:eastAsia="Times New Roman" w:cs="Times New Roman"/>
          <w:szCs w:val="24"/>
        </w:rPr>
        <w:t xml:space="preserve">AVP-RC </w:t>
      </w:r>
      <w:r w:rsidRPr="00AA4677">
        <w:rPr>
          <w:rFonts w:eastAsia="Times New Roman" w:cs="Times New Roman"/>
          <w:szCs w:val="24"/>
        </w:rPr>
        <w:t xml:space="preserve">and IRB staff routinely review HRPP standard operating procedures and other documents to ensure consistency with practice. </w:t>
      </w:r>
    </w:p>
    <w:p w14:paraId="792FC005" w14:textId="4C193B62" w:rsidR="003E7C9E" w:rsidRPr="00AA4677" w:rsidRDefault="003E7C9E">
      <w:pPr>
        <w:pStyle w:val="ListParagraph"/>
        <w:numPr>
          <w:ilvl w:val="0"/>
          <w:numId w:val="8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Other monitoring or auditing activities </w:t>
      </w:r>
      <w:r w:rsidR="00BA7859" w:rsidRPr="00AA4677">
        <w:rPr>
          <w:rFonts w:eastAsia="Times New Roman" w:cs="Times New Roman"/>
          <w:szCs w:val="24"/>
        </w:rPr>
        <w:t xml:space="preserve">will be conducted as deemed </w:t>
      </w:r>
      <w:r w:rsidRPr="00AA4677">
        <w:rPr>
          <w:rFonts w:eastAsia="Times New Roman" w:cs="Times New Roman"/>
          <w:szCs w:val="24"/>
        </w:rPr>
        <w:t>appropriate by the</w:t>
      </w:r>
      <w:r w:rsidR="00F82E75" w:rsidRPr="00AA4677">
        <w:rPr>
          <w:rFonts w:eastAsia="Times New Roman" w:cs="Times New Roman"/>
          <w:szCs w:val="24"/>
        </w:rPr>
        <w:t xml:space="preserve"> AVP-RC</w:t>
      </w:r>
      <w:r w:rsidRPr="00AA4677">
        <w:rPr>
          <w:rFonts w:eastAsia="Times New Roman" w:cs="Times New Roman"/>
          <w:szCs w:val="24"/>
        </w:rPr>
        <w:t>.</w:t>
      </w:r>
    </w:p>
    <w:p w14:paraId="37E689C3" w14:textId="56530E1E" w:rsidR="003E7C9E" w:rsidRPr="00AA4677" w:rsidRDefault="003E7C9E" w:rsidP="00C57C98">
      <w:pPr>
        <w:pStyle w:val="Heading3"/>
      </w:pPr>
      <w:r w:rsidRPr="00AA4677">
        <w:t>1.13.6 HRPP Quality Improvement </w:t>
      </w:r>
    </w:p>
    <w:p w14:paraId="02D26776" w14:textId="3B85E81F" w:rsidR="003E7C9E" w:rsidRPr="00AA4677" w:rsidRDefault="00F82E75"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3E7C9E" w:rsidRPr="00AA4677">
        <w:rPr>
          <w:rFonts w:eastAsia="Times New Roman" w:cs="Times New Roman"/>
          <w:szCs w:val="24"/>
        </w:rPr>
        <w:t xml:space="preserve">he </w:t>
      </w:r>
      <w:r w:rsidRPr="00AA4677">
        <w:rPr>
          <w:rFonts w:eastAsia="Times New Roman" w:cs="Times New Roman"/>
          <w:szCs w:val="24"/>
        </w:rPr>
        <w:t>AVP-RC</w:t>
      </w:r>
      <w:r w:rsidR="003E7C9E" w:rsidRPr="00AA4677">
        <w:rPr>
          <w:rFonts w:eastAsia="Times New Roman" w:cs="Times New Roman"/>
          <w:szCs w:val="24"/>
        </w:rPr>
        <w:t>, in consultation with the IRB Chairs</w:t>
      </w:r>
      <w:r w:rsidR="00BA7859" w:rsidRPr="00AA4677">
        <w:rPr>
          <w:rFonts w:eastAsia="Times New Roman" w:cs="Times New Roman"/>
          <w:szCs w:val="24"/>
        </w:rPr>
        <w:t xml:space="preserve"> and staff as deemed appropriate</w:t>
      </w:r>
      <w:r w:rsidR="003E7C9E" w:rsidRPr="00AA4677">
        <w:rPr>
          <w:rFonts w:eastAsia="Times New Roman" w:cs="Times New Roman"/>
          <w:szCs w:val="24"/>
        </w:rPr>
        <w:t>, defines</w:t>
      </w:r>
      <w:r w:rsidRPr="00AA4677">
        <w:rPr>
          <w:rFonts w:eastAsia="Times New Roman" w:cs="Times New Roman"/>
          <w:szCs w:val="24"/>
        </w:rPr>
        <w:t xml:space="preserve"> (in an ongoing process)</w:t>
      </w:r>
      <w:r w:rsidR="003E7C9E" w:rsidRPr="00AA4677">
        <w:rPr>
          <w:rFonts w:eastAsia="Times New Roman" w:cs="Times New Roman"/>
          <w:szCs w:val="24"/>
        </w:rPr>
        <w:t xml:space="preserve"> at least one </w:t>
      </w:r>
      <w:proofErr w:type="gramStart"/>
      <w:r w:rsidR="003E7C9E" w:rsidRPr="00AA4677">
        <w:rPr>
          <w:rFonts w:eastAsia="Times New Roman" w:cs="Times New Roman"/>
          <w:szCs w:val="24"/>
        </w:rPr>
        <w:t>targeted</w:t>
      </w:r>
      <w:proofErr w:type="gramEnd"/>
      <w:r w:rsidR="003E7C9E" w:rsidRPr="00AA4677">
        <w:rPr>
          <w:rFonts w:eastAsia="Times New Roman" w:cs="Times New Roman"/>
          <w:szCs w:val="24"/>
        </w:rPr>
        <w:t xml:space="preserve"> measure of operational efficiency and effectiveness and at least one targeted measure of compliance within the HRPP. </w:t>
      </w:r>
      <w:proofErr w:type="gramStart"/>
      <w:r w:rsidR="003E7C9E" w:rsidRPr="00AA4677">
        <w:rPr>
          <w:rFonts w:eastAsia="Times New Roman" w:cs="Times New Roman"/>
          <w:szCs w:val="24"/>
        </w:rPr>
        <w:t>In order to</w:t>
      </w:r>
      <w:proofErr w:type="gramEnd"/>
      <w:r w:rsidR="003E7C9E" w:rsidRPr="00AA4677">
        <w:rPr>
          <w:rFonts w:eastAsia="Times New Roman" w:cs="Times New Roman"/>
          <w:szCs w:val="24"/>
        </w:rPr>
        <w:t xml:space="preserve"> evaluate whether the defined goals are being achieved, </w:t>
      </w:r>
      <w:r w:rsidR="00BA7859" w:rsidRPr="00AA4677">
        <w:rPr>
          <w:rFonts w:eastAsia="Times New Roman" w:cs="Times New Roman"/>
          <w:szCs w:val="24"/>
        </w:rPr>
        <w:t xml:space="preserve">data are reviewed and changes are instituted (e.g., education is conducted, processes modified etc.) by </w:t>
      </w:r>
      <w:r w:rsidRPr="00AA4677">
        <w:rPr>
          <w:rFonts w:eastAsia="Times New Roman" w:cs="Times New Roman"/>
          <w:szCs w:val="24"/>
        </w:rPr>
        <w:t>the AVP-RC</w:t>
      </w:r>
      <w:r w:rsidR="00BA7859" w:rsidRPr="00AA4677">
        <w:rPr>
          <w:rFonts w:eastAsia="Times New Roman" w:cs="Times New Roman"/>
          <w:szCs w:val="24"/>
        </w:rPr>
        <w:t xml:space="preserve"> regularly. </w:t>
      </w:r>
      <w:r w:rsidR="003E7C9E" w:rsidRPr="00AA4677">
        <w:rPr>
          <w:rFonts w:eastAsia="Times New Roman" w:cs="Times New Roman"/>
          <w:szCs w:val="24"/>
        </w:rPr>
        <w:t xml:space="preserve">The </w:t>
      </w:r>
      <w:r w:rsidR="002C4907" w:rsidRPr="00AA4677">
        <w:rPr>
          <w:rFonts w:eastAsia="Times New Roman" w:cs="Times New Roman"/>
          <w:szCs w:val="24"/>
        </w:rPr>
        <w:t xml:space="preserve">IO and </w:t>
      </w:r>
      <w:r w:rsidR="003E7C9E" w:rsidRPr="00AA4677">
        <w:rPr>
          <w:rFonts w:eastAsia="Times New Roman" w:cs="Times New Roman"/>
          <w:szCs w:val="24"/>
        </w:rPr>
        <w:t xml:space="preserve">IRBs are informed of outcomes </w:t>
      </w:r>
      <w:r w:rsidRPr="00AA4677">
        <w:rPr>
          <w:rFonts w:eastAsia="Times New Roman" w:cs="Times New Roman"/>
          <w:szCs w:val="24"/>
        </w:rPr>
        <w:t xml:space="preserve">as applicable. Outcomes will often drive targeted educational opportunities to the campus community. </w:t>
      </w:r>
    </w:p>
    <w:p w14:paraId="3830BFC2" w14:textId="413935EA" w:rsidR="00575C27" w:rsidRPr="00AA4677" w:rsidRDefault="003E7C9E" w:rsidP="00696B35">
      <w:pPr>
        <w:pStyle w:val="Heading2"/>
      </w:pPr>
      <w:bookmarkStart w:id="33" w:name="_Toc192678150"/>
      <w:r w:rsidRPr="00AA4677">
        <w:t xml:space="preserve">1.14 </w:t>
      </w:r>
      <w:r w:rsidR="00B207C7" w:rsidRPr="00AA4677">
        <w:t>Multi-site Research</w:t>
      </w:r>
      <w:bookmarkEnd w:id="33"/>
      <w:r w:rsidR="00B207C7" w:rsidRPr="00AA4677">
        <w:t xml:space="preserve"> </w:t>
      </w:r>
    </w:p>
    <w:p w14:paraId="1693678A" w14:textId="77777777" w:rsidR="00575C27" w:rsidRPr="00AA4677" w:rsidRDefault="00575C27" w:rsidP="00696B35">
      <w:pPr>
        <w:pStyle w:val="Heading2"/>
      </w:pPr>
    </w:p>
    <w:p w14:paraId="480D332B" w14:textId="0DB37233" w:rsidR="00E06F37" w:rsidRPr="00AA4677" w:rsidRDefault="00B207C7" w:rsidP="00E06F37">
      <w:r w:rsidRPr="00AA4677">
        <w:t xml:space="preserve">When engaged in </w:t>
      </w:r>
      <w:r w:rsidR="006511B7" w:rsidRPr="00AA4677">
        <w:t xml:space="preserve">non-exempt human subjects research (or exempt research for which limited IRB review is required) that is </w:t>
      </w:r>
      <w:r w:rsidRPr="00AA4677">
        <w:t xml:space="preserve">multi-site , involving external collaborators, or that is otherwise under the jurisdiction of more than one IRB, the University acknowledges that each organization is responsible for safeguarding the rights and welfare of human subjects and for complying with applicable federal regulations.  The University may choose to review the research in its entirety, only those components of the research the University is engaged in, rely on the review of another qualified IRB, or make other arrangements for avoiding duplication of effort.  When the University is the prime awardee on </w:t>
      </w:r>
      <w:proofErr w:type="gramStart"/>
      <w:r w:rsidRPr="00AA4677">
        <w:t>a</w:t>
      </w:r>
      <w:proofErr w:type="gramEnd"/>
      <w:r w:rsidRPr="00AA4677">
        <w:t xml:space="preserve"> HHS grant, it will ensure that at least one IRB reviews the research in its entirety</w:t>
      </w:r>
      <w:r w:rsidR="00E06F37" w:rsidRPr="00AA4677">
        <w:t xml:space="preserve"> (see section </w:t>
      </w:r>
      <w:r w:rsidR="00D602EB" w:rsidRPr="00AA4677">
        <w:t>17.16</w:t>
      </w:r>
      <w:r w:rsidR="00E06F37" w:rsidRPr="00AA4677">
        <w:t xml:space="preserve"> regarding the single IRB requirement for multicenter grants awarded from NIH, where all sites are conducting all research procedures). </w:t>
      </w:r>
    </w:p>
    <w:p w14:paraId="1FAC7576" w14:textId="3FF0711C" w:rsidR="00E06F37" w:rsidRPr="00AA4677" w:rsidRDefault="00E06F37" w:rsidP="00E06F37">
      <w:r w:rsidRPr="00AA4677">
        <w:lastRenderedPageBreak/>
        <w:t xml:space="preserve">When relying upon another IRB or when serving as the reviewing IRB for an outside organization or external investigator, a formal relationship must be established between the University and the outside organization or investigator through an IRB Authorization Agreement, a Memorandum of Understanding, or other such written agreement. The written agreement must be executed before the University will accept any human research proposals from the outside organization or investigator or rely on the review of an external IRB.  </w:t>
      </w:r>
    </w:p>
    <w:p w14:paraId="3622FA92" w14:textId="77777777" w:rsidR="00E06F37" w:rsidRPr="00AA4677" w:rsidRDefault="00E06F37" w:rsidP="00E06F37">
      <w:r w:rsidRPr="00AA4677">
        <w:t xml:space="preserve">IRB reliance agreements establish the authorities, roles, and responsibilities of the reviewing IRB and the relying organization.  The procedures for reliance, including for communication, information-sharing, and reports, may be outlined in the reliance agreement or in companion SOPs or other materials.  The Reliance Administrator in the Office of Research Compliance utilizes a checklist to ensure that reliance agreements and any accompanying materials address all requirements and are consistent with the University’s standards.  To support compliance, the University will make every effort to ensure as much consistency as possible across reliance agreements.  </w:t>
      </w:r>
    </w:p>
    <w:p w14:paraId="72336DF8" w14:textId="635B8CDF" w:rsidR="00E06F37" w:rsidRPr="00AA4677" w:rsidRDefault="00E06F37" w:rsidP="00E06F37">
      <w:r w:rsidRPr="00AA4677">
        <w:t xml:space="preserve">The University has signed the SMART IRB joinder agreement.  When the organizations participating in the research are signatories to the joinder agreement, IRB reliance may be requested and documented utilizing the </w:t>
      </w:r>
      <w:hyperlink r:id="rId15" w:history="1">
        <w:r w:rsidRPr="00AA4677">
          <w:rPr>
            <w:rStyle w:val="Hyperlink"/>
            <w:color w:val="auto"/>
            <w:u w:val="none"/>
          </w:rPr>
          <w:t>SMART IRB</w:t>
        </w:r>
      </w:hyperlink>
      <w:r w:rsidRPr="00AA4677">
        <w:t xml:space="preserve"> online reliance platform.  The University will determine on a study-by-study basis whether the SMART IRB SOPs or alternative procedures will be utilized to implement the reliance via a reliance arrangement agreed upon between the relying and reviewing sites.</w:t>
      </w:r>
    </w:p>
    <w:p w14:paraId="76F3908C" w14:textId="025F678A" w:rsidR="00E06F37" w:rsidRPr="00AA4677" w:rsidRDefault="00E06F37" w:rsidP="00E06F37">
      <w:r w:rsidRPr="00AA4677">
        <w:t>Requests for SBU to either rely upon an external IRB or to serve as the IRB of record for an external organization or investigator should be submitted as early as possible in the grant/contract process by submitting a reliance request following the instructions in</w:t>
      </w:r>
      <w:r w:rsidR="00125FFC" w:rsidRPr="00AA4677">
        <w:t xml:space="preserve"> section 17.16</w:t>
      </w:r>
      <w:r w:rsidRPr="00AA4677">
        <w:t xml:space="preserve"> these SOPs. </w:t>
      </w:r>
    </w:p>
    <w:p w14:paraId="6BAFB95F" w14:textId="258D27F7" w:rsidR="00E06F37" w:rsidRPr="00AA4677" w:rsidRDefault="00E06F37" w:rsidP="00E06F37">
      <w:r w:rsidRPr="00AA4677">
        <w:t xml:space="preserve">See </w:t>
      </w:r>
      <w:r w:rsidR="00125FFC" w:rsidRPr="00AA4677">
        <w:t>s</w:t>
      </w:r>
      <w:r w:rsidRPr="00AA4677">
        <w:t>ection</w:t>
      </w:r>
      <w:r w:rsidR="00125FFC" w:rsidRPr="00AA4677">
        <w:t xml:space="preserve"> 17.16 </w:t>
      </w:r>
      <w:r w:rsidRPr="00AA4677">
        <w:t>for procedures and considerations involved in IRB reliance arrangements.</w:t>
      </w:r>
    </w:p>
    <w:p w14:paraId="1305C1BA" w14:textId="6CD1F5D1" w:rsidR="008D454C" w:rsidRPr="00AA4677" w:rsidRDefault="00F02576" w:rsidP="008D454C">
      <w:r w:rsidRPr="00AA4677">
        <w:t xml:space="preserve">If </w:t>
      </w:r>
      <w:r w:rsidR="008D454C" w:rsidRPr="00AA4677">
        <w:t>the SBU PI is the lead investigator</w:t>
      </w:r>
      <w:r w:rsidR="0036522C" w:rsidRPr="00AA4677">
        <w:t>,</w:t>
      </w:r>
      <w:r w:rsidR="008D454C" w:rsidRPr="00AA4677">
        <w:t xml:space="preserve"> or the University is the coordinating center for multi-site or collaborative research, </w:t>
      </w:r>
      <w:r w:rsidR="00755B8A" w:rsidRPr="00AA4677">
        <w:t xml:space="preserve">regardless of location of the research, </w:t>
      </w:r>
      <w:r w:rsidR="008D454C" w:rsidRPr="00AA4677">
        <w:t xml:space="preserve">the PI must document how the research plan and issues relevant to the protection of human subjects (e.g., IRB initial and continuing approvals, reports of unanticipated problems, study modifications, interim reports) will be communicated among participating sites and investigators. </w:t>
      </w:r>
      <w:r w:rsidR="00362FDC" w:rsidRPr="00AA4677">
        <w:t>The IRB must evaluate whether the management of information is adequate to protect participants.</w:t>
      </w:r>
      <w:r w:rsidR="008D454C" w:rsidRPr="00AA4677">
        <w:t xml:space="preserve"> </w:t>
      </w:r>
    </w:p>
    <w:p w14:paraId="720C387B" w14:textId="312548B9" w:rsidR="00055CCD" w:rsidRPr="00AA4677" w:rsidRDefault="004E7641" w:rsidP="00F02576">
      <w:r w:rsidRPr="00AA4677">
        <w:t>To this end, SBU's electronic management system permits web-based protocol sharing and</w:t>
      </w:r>
      <w:r w:rsidR="002B196F" w:rsidRPr="00AA4677">
        <w:t xml:space="preserve"> collaboration with participating</w:t>
      </w:r>
      <w:r w:rsidRPr="00AA4677">
        <w:t xml:space="preserve"> sites of all aspects of the IRB initial, continuing, and post-approval reporting submission requirements. As part of pre-review, the ORC staff ensures that t</w:t>
      </w:r>
      <w:r w:rsidR="00F02576" w:rsidRPr="00AA4677">
        <w:t xml:space="preserve">he PI or </w:t>
      </w:r>
      <w:r w:rsidR="00F02576" w:rsidRPr="00AA4677">
        <w:lastRenderedPageBreak/>
        <w:t>other responsible party</w:t>
      </w:r>
      <w:r w:rsidRPr="00AA4677">
        <w:t xml:space="preserve"> from each collaborating site has access to the study within the electronic management system </w:t>
      </w:r>
      <w:proofErr w:type="gramStart"/>
      <w:r w:rsidRPr="00AA4677">
        <w:t>in order to</w:t>
      </w:r>
      <w:proofErr w:type="gramEnd"/>
      <w:r w:rsidRPr="00AA4677">
        <w:t xml:space="preserve"> keep abreast of study status and to ensure reporting capabilities.</w:t>
      </w:r>
    </w:p>
    <w:p w14:paraId="7E63A04B" w14:textId="7A31D3CB" w:rsidR="00E50562" w:rsidRPr="00AA4677" w:rsidRDefault="00E50562" w:rsidP="00F02576">
      <w:r w:rsidRPr="00AA4677">
        <w:t>1.15 Emergency Preparedness and Response Plan</w:t>
      </w:r>
    </w:p>
    <w:p w14:paraId="60590164" w14:textId="66C05674" w:rsidR="00E50562" w:rsidRPr="00AA4677" w:rsidRDefault="00E50562" w:rsidP="00F02576">
      <w:r w:rsidRPr="00AA4677">
        <w:t xml:space="preserve">The Human Research Protection Program has an emergency preparedness and response plan that is appropriate to the size and complexity of the </w:t>
      </w:r>
      <w:r w:rsidR="00B36EED" w:rsidRPr="00AA4677">
        <w:t>HRPP. The plan address</w:t>
      </w:r>
      <w:r w:rsidR="0092485C" w:rsidRPr="00AA4677">
        <w:t>es</w:t>
      </w:r>
      <w:r w:rsidR="00B36EED" w:rsidRPr="00AA4677">
        <w:t xml:space="preserve"> how the c</w:t>
      </w:r>
      <w:r w:rsidRPr="00AA4677">
        <w:t xml:space="preserve">ontinuity of operations will be maintained to ensure human participant </w:t>
      </w:r>
      <w:proofErr w:type="gramStart"/>
      <w:r w:rsidRPr="00AA4677">
        <w:t>protections</w:t>
      </w:r>
      <w:proofErr w:type="gramEnd"/>
      <w:r w:rsidRPr="00AA4677">
        <w:t xml:space="preserve"> during an emergency. The Emergency Preparedness and Response Plan is available on the Office of Research Compliance website. Information about the plan is made available to the research community through the website</w:t>
      </w:r>
      <w:r w:rsidR="00B36EED" w:rsidRPr="00AA4677">
        <w:t xml:space="preserve"> for educational purposes</w:t>
      </w:r>
      <w:r w:rsidRPr="00AA4677">
        <w:t xml:space="preserve">. Changes to the plan are included in the quarterly newsletter put out by the Office of </w:t>
      </w:r>
      <w:r w:rsidR="00315530" w:rsidRPr="00AA4677">
        <w:t>Research Innovation</w:t>
      </w:r>
      <w:r w:rsidRPr="00AA4677">
        <w:t xml:space="preserve"> for Research </w:t>
      </w:r>
      <w:proofErr w:type="gramStart"/>
      <w:r w:rsidRPr="00AA4677">
        <w:t>in order to</w:t>
      </w:r>
      <w:proofErr w:type="gramEnd"/>
      <w:r w:rsidRPr="00AA4677">
        <w:t xml:space="preserve"> ensure that HRPP staff, IRB members/chairs, researchers, research staff and other individuals are knowledgeable about the organization’s expectations during an emergency.</w:t>
      </w:r>
    </w:p>
    <w:p w14:paraId="6A5A4AEB" w14:textId="62760C3F" w:rsidR="003E7C9E" w:rsidRPr="00AA4677" w:rsidRDefault="00C05A67" w:rsidP="005920B2">
      <w:pPr>
        <w:pStyle w:val="Heading1"/>
      </w:pPr>
      <w:bookmarkStart w:id="34" w:name="_Toc192678151"/>
      <w:r w:rsidRPr="00AA4677">
        <w:t xml:space="preserve">2 </w:t>
      </w:r>
      <w:r w:rsidR="003E7C9E" w:rsidRPr="00AA4677">
        <w:t>Institutional Review Boards</w:t>
      </w:r>
      <w:r w:rsidR="00C85C00" w:rsidRPr="00AA4677">
        <w:t xml:space="preserve"> (IRB)</w:t>
      </w:r>
      <w:bookmarkEnd w:id="34"/>
    </w:p>
    <w:p w14:paraId="24F9111C" w14:textId="14A49C11" w:rsidR="003E7C9E" w:rsidRPr="00AA4677" w:rsidRDefault="003E7C9E" w:rsidP="00696B35">
      <w:pPr>
        <w:pStyle w:val="Heading2"/>
      </w:pPr>
      <w:bookmarkStart w:id="35" w:name="_Toc192678152"/>
      <w:r w:rsidRPr="00AA4677">
        <w:t>2.1 Policy</w:t>
      </w:r>
      <w:bookmarkEnd w:id="35"/>
    </w:p>
    <w:p w14:paraId="2A91EA51" w14:textId="63915E6C" w:rsidR="00F02576" w:rsidRPr="00AA4677" w:rsidRDefault="00F02576" w:rsidP="00F02576">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University has </w:t>
      </w:r>
      <w:r w:rsidR="00125FFC" w:rsidRPr="00AA4677">
        <w:rPr>
          <w:rFonts w:eastAsia="Times New Roman" w:cs="Times New Roman"/>
          <w:szCs w:val="24"/>
        </w:rPr>
        <w:t>one</w:t>
      </w:r>
      <w:r w:rsidRPr="00AA4677">
        <w:rPr>
          <w:rFonts w:eastAsia="Times New Roman" w:cs="Times New Roman"/>
          <w:szCs w:val="24"/>
        </w:rPr>
        <w:t xml:space="preserve"> on-site</w:t>
      </w:r>
      <w:r w:rsidR="00125FFC" w:rsidRPr="00AA4677">
        <w:rPr>
          <w:rFonts w:eastAsia="Times New Roman" w:cs="Times New Roman"/>
          <w:szCs w:val="24"/>
        </w:rPr>
        <w:t xml:space="preserve"> Institutional Review Board</w:t>
      </w:r>
      <w:r w:rsidRPr="00AA4677">
        <w:rPr>
          <w:rFonts w:eastAsia="Times New Roman" w:cs="Times New Roman"/>
          <w:szCs w:val="24"/>
        </w:rPr>
        <w:t xml:space="preserve"> </w:t>
      </w:r>
      <w:r w:rsidR="00125FFC" w:rsidRPr="00AA4677">
        <w:rPr>
          <w:rFonts w:eastAsia="Times New Roman" w:cs="Times New Roman"/>
          <w:szCs w:val="24"/>
        </w:rPr>
        <w:t>(</w:t>
      </w:r>
      <w:r w:rsidRPr="00AA4677">
        <w:rPr>
          <w:rFonts w:eastAsia="Times New Roman" w:cs="Times New Roman"/>
          <w:szCs w:val="24"/>
        </w:rPr>
        <w:t>IRB</w:t>
      </w:r>
      <w:r w:rsidR="00125FFC" w:rsidRPr="00AA4677">
        <w:rPr>
          <w:rFonts w:eastAsia="Times New Roman" w:cs="Times New Roman"/>
          <w:szCs w:val="24"/>
        </w:rPr>
        <w:t>)</w:t>
      </w:r>
      <w:r w:rsidRPr="00AA4677">
        <w:rPr>
          <w:rFonts w:eastAsia="Times New Roman" w:cs="Times New Roman"/>
          <w:szCs w:val="24"/>
        </w:rPr>
        <w:t xml:space="preserve"> appointed by the IO.  The IRB prospectively review</w:t>
      </w:r>
      <w:r w:rsidR="00CF3749" w:rsidRPr="00AA4677">
        <w:rPr>
          <w:rFonts w:eastAsia="Times New Roman" w:cs="Times New Roman"/>
          <w:szCs w:val="24"/>
        </w:rPr>
        <w:t>s</w:t>
      </w:r>
      <w:r w:rsidRPr="00AA4677">
        <w:rPr>
          <w:rFonts w:eastAsia="Times New Roman" w:cs="Times New Roman"/>
          <w:szCs w:val="24"/>
        </w:rPr>
        <w:t xml:space="preserve"> and make</w:t>
      </w:r>
      <w:r w:rsidR="00CF3749" w:rsidRPr="00AA4677">
        <w:rPr>
          <w:rFonts w:eastAsia="Times New Roman" w:cs="Times New Roman"/>
          <w:szCs w:val="24"/>
        </w:rPr>
        <w:t>s</w:t>
      </w:r>
      <w:r w:rsidRPr="00AA4677">
        <w:rPr>
          <w:rFonts w:eastAsia="Times New Roman" w:cs="Times New Roman"/>
          <w:szCs w:val="24"/>
        </w:rPr>
        <w:t xml:space="preserve"> decisions concerning all non-exempt human research</w:t>
      </w:r>
      <w:r w:rsidR="00CF3749" w:rsidRPr="00AA4677">
        <w:rPr>
          <w:rFonts w:eastAsia="Times New Roman" w:cs="Times New Roman"/>
          <w:szCs w:val="24"/>
        </w:rPr>
        <w:t xml:space="preserve"> conducted at its facilities, </w:t>
      </w:r>
      <w:r w:rsidRPr="00AA4677">
        <w:rPr>
          <w:rFonts w:eastAsia="Times New Roman" w:cs="Times New Roman"/>
          <w:szCs w:val="24"/>
        </w:rPr>
        <w:t xml:space="preserve">by its employees or agents, </w:t>
      </w:r>
      <w:r w:rsidR="00CF3749" w:rsidRPr="00AA4677">
        <w:rPr>
          <w:rFonts w:eastAsia="Times New Roman" w:cs="Times New Roman"/>
          <w:szCs w:val="24"/>
        </w:rPr>
        <w:t xml:space="preserve">or </w:t>
      </w:r>
      <w:r w:rsidRPr="00AA4677">
        <w:rPr>
          <w:rFonts w:eastAsia="Times New Roman" w:cs="Times New Roman"/>
          <w:szCs w:val="24"/>
        </w:rPr>
        <w:t>under the auspices of the University.  The IRB is responsible for the protection of rights and welfare of human research subjects. It discharges this duty by complying with the requirements of the Common Rule, FDA regulations, other relevant federal regulati</w:t>
      </w:r>
      <w:r w:rsidR="002504CE" w:rsidRPr="00AA4677">
        <w:rPr>
          <w:rFonts w:eastAsia="Times New Roman" w:cs="Times New Roman"/>
          <w:szCs w:val="24"/>
        </w:rPr>
        <w:t>ons, state regulations, the FWA,</w:t>
      </w:r>
      <w:r w:rsidRPr="00AA4677">
        <w:rPr>
          <w:rFonts w:eastAsia="Times New Roman" w:cs="Times New Roman"/>
          <w:szCs w:val="24"/>
        </w:rPr>
        <w:t xml:space="preserve"> and University</w:t>
      </w:r>
      <w:r w:rsidR="00C05A67" w:rsidRPr="00AA4677">
        <w:rPr>
          <w:rFonts w:eastAsia="Times New Roman" w:cs="Times New Roman"/>
          <w:szCs w:val="24"/>
        </w:rPr>
        <w:t xml:space="preserve"> policies</w:t>
      </w:r>
      <w:r w:rsidRPr="00AA4677">
        <w:rPr>
          <w:rFonts w:eastAsia="Times New Roman" w:cs="Times New Roman"/>
          <w:szCs w:val="24"/>
        </w:rPr>
        <w:t>.</w:t>
      </w:r>
      <w:r w:rsidR="00C05A67" w:rsidRPr="00AA4677">
        <w:rPr>
          <w:rFonts w:eastAsia="Times New Roman" w:cs="Times New Roman"/>
          <w:szCs w:val="24"/>
        </w:rPr>
        <w:t xml:space="preserve"> All non-exempt human subjects research conducted under the auspices of the University must be reviewed and approved by an authorized IRB prior to the initiation of the research.</w:t>
      </w:r>
    </w:p>
    <w:p w14:paraId="3AD6F12E" w14:textId="77777777" w:rsidR="00F02576" w:rsidRPr="00AA4677" w:rsidRDefault="00F02576" w:rsidP="00EB67DE">
      <w:pPr>
        <w:shd w:val="clear" w:color="auto" w:fill="FFFFFF"/>
        <w:spacing w:after="0" w:line="240" w:lineRule="auto"/>
        <w:rPr>
          <w:rFonts w:eastAsia="Times New Roman" w:cs="Times New Roman"/>
          <w:szCs w:val="24"/>
        </w:rPr>
      </w:pPr>
      <w:r w:rsidRPr="00AA4677">
        <w:rPr>
          <w:rFonts w:eastAsia="Times New Roman" w:cs="Times New Roman"/>
          <w:szCs w:val="24"/>
        </w:rPr>
        <w:t>The University also routinely utilizes the services of three off-site IRBs. They are:</w:t>
      </w:r>
    </w:p>
    <w:p w14:paraId="62EF3DB0" w14:textId="4FA3A899" w:rsidR="00F02576" w:rsidRPr="00AA4677" w:rsidRDefault="00F02576">
      <w:pPr>
        <w:numPr>
          <w:ilvl w:val="0"/>
          <w:numId w:val="289"/>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Advarra: the Advarra IRB is required to be used by </w:t>
      </w:r>
      <w:proofErr w:type="gramStart"/>
      <w:r w:rsidRPr="00AA4677">
        <w:rPr>
          <w:rFonts w:eastAsia="Times New Roman" w:cs="Times New Roman"/>
          <w:szCs w:val="24"/>
        </w:rPr>
        <w:t>University</w:t>
      </w:r>
      <w:proofErr w:type="gramEnd"/>
      <w:r w:rsidRPr="00AA4677">
        <w:rPr>
          <w:rFonts w:eastAsia="Times New Roman" w:cs="Times New Roman"/>
          <w:szCs w:val="24"/>
        </w:rPr>
        <w:t xml:space="preserve"> investigators who wish to conduct industry-initiated, indu</w:t>
      </w:r>
      <w:r w:rsidR="002504CE" w:rsidRPr="00AA4677">
        <w:rPr>
          <w:rFonts w:eastAsia="Times New Roman" w:cs="Times New Roman"/>
          <w:szCs w:val="24"/>
        </w:rPr>
        <w:t xml:space="preserve">stry-funded research activities where Advarra is the external IRB being used for </w:t>
      </w:r>
      <w:proofErr w:type="gramStart"/>
      <w:r w:rsidR="002504CE" w:rsidRPr="00AA4677">
        <w:rPr>
          <w:rFonts w:eastAsia="Times New Roman" w:cs="Times New Roman"/>
          <w:szCs w:val="24"/>
        </w:rPr>
        <w:t xml:space="preserve">the </w:t>
      </w:r>
      <w:proofErr w:type="spellStart"/>
      <w:r w:rsidR="002504CE" w:rsidRPr="00AA4677">
        <w:rPr>
          <w:rFonts w:eastAsia="Times New Roman" w:cs="Times New Roman"/>
          <w:szCs w:val="24"/>
        </w:rPr>
        <w:t>the</w:t>
      </w:r>
      <w:proofErr w:type="spellEnd"/>
      <w:proofErr w:type="gramEnd"/>
      <w:r w:rsidR="002504CE" w:rsidRPr="00AA4677">
        <w:rPr>
          <w:rFonts w:eastAsia="Times New Roman" w:cs="Times New Roman"/>
          <w:szCs w:val="24"/>
        </w:rPr>
        <w:t xml:space="preserve"> study</w:t>
      </w:r>
    </w:p>
    <w:p w14:paraId="06612A25" w14:textId="4525E040" w:rsidR="002504CE" w:rsidRPr="00AA4677" w:rsidRDefault="002504CE">
      <w:pPr>
        <w:numPr>
          <w:ilvl w:val="0"/>
          <w:numId w:val="289"/>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WCG: Western Copernicus Group IRB is required to be used by </w:t>
      </w:r>
      <w:proofErr w:type="gramStart"/>
      <w:r w:rsidRPr="00AA4677">
        <w:rPr>
          <w:rFonts w:eastAsia="Times New Roman" w:cs="Times New Roman"/>
          <w:szCs w:val="24"/>
        </w:rPr>
        <w:t>University</w:t>
      </w:r>
      <w:proofErr w:type="gramEnd"/>
      <w:r w:rsidRPr="00AA4677">
        <w:rPr>
          <w:rFonts w:eastAsia="Times New Roman" w:cs="Times New Roman"/>
          <w:szCs w:val="24"/>
        </w:rPr>
        <w:t xml:space="preserve"> investigators who wish to conduct industry-initiated, industry-funded activities where WCG is the external IRB being used for the study</w:t>
      </w:r>
    </w:p>
    <w:p w14:paraId="0F1E69D3" w14:textId="77777777" w:rsidR="00F02576" w:rsidRPr="00AA4677" w:rsidRDefault="00F02576">
      <w:pPr>
        <w:numPr>
          <w:ilvl w:val="0"/>
          <w:numId w:val="28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National Cancer Institute’s Adult CIRB: for applicable cooperative oncology group protocols involving adult subjects.</w:t>
      </w:r>
    </w:p>
    <w:p w14:paraId="0BE36AA6" w14:textId="416AB44D" w:rsidR="003E7C9E" w:rsidRPr="00AA4677" w:rsidRDefault="00F02576">
      <w:pPr>
        <w:pStyle w:val="ListParagraph"/>
        <w:numPr>
          <w:ilvl w:val="0"/>
          <w:numId w:val="28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National Cancer Institute’s Pediatric CIRB: for applicable cooperative oncology group protocols involving minor subjects.</w:t>
      </w:r>
      <w:r w:rsidR="00C05A67" w:rsidRPr="00AA4677">
        <w:rPr>
          <w:rFonts w:eastAsia="Times New Roman" w:cs="Times New Roman"/>
          <w:szCs w:val="24"/>
        </w:rPr>
        <w:t xml:space="preserve"> </w:t>
      </w:r>
    </w:p>
    <w:p w14:paraId="5FDD5B01" w14:textId="1EFC00F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Although </w:t>
      </w:r>
      <w:r w:rsidR="00C47BB8" w:rsidRPr="00AA4677">
        <w:rPr>
          <w:rFonts w:eastAsia="Times New Roman" w:cs="Times New Roman"/>
          <w:szCs w:val="24"/>
        </w:rPr>
        <w:t>the University</w:t>
      </w:r>
      <w:r w:rsidRPr="00AA4677">
        <w:rPr>
          <w:rFonts w:eastAsia="Times New Roman" w:cs="Times New Roman"/>
          <w:szCs w:val="24"/>
        </w:rPr>
        <w:t xml:space="preserve"> has authorized </w:t>
      </w:r>
      <w:proofErr w:type="gramStart"/>
      <w:r w:rsidRPr="00AA4677">
        <w:rPr>
          <w:rFonts w:eastAsia="Times New Roman" w:cs="Times New Roman"/>
          <w:szCs w:val="24"/>
        </w:rPr>
        <w:t>a number of</w:t>
      </w:r>
      <w:proofErr w:type="gramEnd"/>
      <w:r w:rsidRPr="00AA4677">
        <w:rPr>
          <w:rFonts w:eastAsia="Times New Roman" w:cs="Times New Roman"/>
          <w:szCs w:val="24"/>
        </w:rPr>
        <w:t xml:space="preserve"> IR</w:t>
      </w:r>
      <w:r w:rsidR="002504CE" w:rsidRPr="00AA4677">
        <w:rPr>
          <w:rFonts w:eastAsia="Times New Roman" w:cs="Times New Roman"/>
          <w:szCs w:val="24"/>
        </w:rPr>
        <w:t>Bs to fulfill this function, the</w:t>
      </w:r>
      <w:r w:rsidRPr="00AA4677">
        <w:rPr>
          <w:rFonts w:eastAsia="Times New Roman" w:cs="Times New Roman"/>
          <w:szCs w:val="24"/>
        </w:rPr>
        <w:t xml:space="preserve"> on-site </w:t>
      </w:r>
      <w:r w:rsidR="002504CE" w:rsidRPr="00AA4677">
        <w:rPr>
          <w:rFonts w:eastAsia="Times New Roman" w:cs="Times New Roman"/>
          <w:szCs w:val="24"/>
        </w:rPr>
        <w:t>IRB</w:t>
      </w:r>
      <w:r w:rsidRPr="00AA4677">
        <w:rPr>
          <w:rFonts w:eastAsia="Times New Roman" w:cs="Times New Roman"/>
          <w:szCs w:val="24"/>
        </w:rPr>
        <w:t xml:space="preserve"> follow</w:t>
      </w:r>
      <w:r w:rsidR="002504CE" w:rsidRPr="00AA4677">
        <w:rPr>
          <w:rFonts w:eastAsia="Times New Roman" w:cs="Times New Roman"/>
          <w:szCs w:val="24"/>
        </w:rPr>
        <w:t>s</w:t>
      </w:r>
      <w:r w:rsidRPr="00AA4677">
        <w:rPr>
          <w:rFonts w:eastAsia="Times New Roman" w:cs="Times New Roman"/>
          <w:szCs w:val="24"/>
        </w:rPr>
        <w:t xml:space="preserve"> the same policies and procedures</w:t>
      </w:r>
      <w:r w:rsidR="00EE7207" w:rsidRPr="00AA4677">
        <w:rPr>
          <w:rFonts w:eastAsia="Times New Roman" w:cs="Times New Roman"/>
          <w:szCs w:val="24"/>
        </w:rPr>
        <w:t xml:space="preserve">. </w:t>
      </w:r>
      <w:r w:rsidRPr="00AA4677">
        <w:rPr>
          <w:rFonts w:eastAsia="Times New Roman" w:cs="Times New Roman"/>
          <w:szCs w:val="24"/>
        </w:rPr>
        <w:t>The following describes the authority</w:t>
      </w:r>
      <w:r w:rsidR="00C47BB8" w:rsidRPr="00AA4677">
        <w:rPr>
          <w:rFonts w:eastAsia="Times New Roman" w:cs="Times New Roman"/>
          <w:szCs w:val="24"/>
        </w:rPr>
        <w:t>, role and procedures of the</w:t>
      </w:r>
      <w:r w:rsidR="00EE7207" w:rsidRPr="00AA4677">
        <w:rPr>
          <w:rFonts w:eastAsia="Times New Roman" w:cs="Times New Roman"/>
          <w:szCs w:val="24"/>
        </w:rPr>
        <w:t xml:space="preserve"> on-site </w:t>
      </w:r>
      <w:r w:rsidR="00C85C00" w:rsidRPr="00AA4677">
        <w:rPr>
          <w:rFonts w:eastAsia="Times New Roman" w:cs="Times New Roman"/>
          <w:szCs w:val="24"/>
        </w:rPr>
        <w:t xml:space="preserve">IRB. </w:t>
      </w:r>
    </w:p>
    <w:p w14:paraId="72A086C1" w14:textId="5E6ADD0F" w:rsidR="00EB67DE" w:rsidRPr="00AA4677" w:rsidRDefault="003E7C9E" w:rsidP="00696B35">
      <w:pPr>
        <w:pStyle w:val="Heading2"/>
      </w:pPr>
      <w:bookmarkStart w:id="36" w:name="_Toc192678153"/>
      <w:r w:rsidRPr="00AA4677">
        <w:t xml:space="preserve">2.2 </w:t>
      </w:r>
      <w:r w:rsidR="00EE7207" w:rsidRPr="00AA4677">
        <w:t>IRB</w:t>
      </w:r>
      <w:r w:rsidRPr="00AA4677">
        <w:t xml:space="preserve"> Authority</w:t>
      </w:r>
      <w:bookmarkEnd w:id="36"/>
    </w:p>
    <w:p w14:paraId="25BD308D" w14:textId="53D02176" w:rsidR="003E7C9E" w:rsidRPr="00AA4677" w:rsidRDefault="003E7C9E" w:rsidP="00EB67DE">
      <w:pPr>
        <w:shd w:val="clear" w:color="auto" w:fill="FFFFFF"/>
        <w:spacing w:after="0" w:line="240" w:lineRule="auto"/>
        <w:rPr>
          <w:rFonts w:eastAsia="Times New Roman" w:cs="Times New Roman"/>
          <w:szCs w:val="24"/>
        </w:rPr>
      </w:pPr>
      <w:r w:rsidRPr="00AA4677">
        <w:rPr>
          <w:rFonts w:eastAsia="Times New Roman" w:cs="Times New Roman"/>
          <w:szCs w:val="24"/>
        </w:rPr>
        <w:t>Under</w:t>
      </w:r>
      <w:r w:rsidR="00BF7470" w:rsidRPr="00AA4677">
        <w:rPr>
          <w:rFonts w:eastAsia="Times New Roman" w:cs="Times New Roman"/>
          <w:szCs w:val="24"/>
        </w:rPr>
        <w:t xml:space="preserve"> </w:t>
      </w:r>
      <w:r w:rsidRPr="00AA4677">
        <w:rPr>
          <w:rFonts w:eastAsia="Times New Roman" w:cs="Times New Roman"/>
          <w:szCs w:val="24"/>
        </w:rPr>
        <w:t>University</w:t>
      </w:r>
      <w:r w:rsidR="00BF7470" w:rsidRPr="00AA4677">
        <w:rPr>
          <w:rFonts w:eastAsia="Times New Roman" w:cs="Times New Roman"/>
          <w:szCs w:val="24"/>
        </w:rPr>
        <w:t xml:space="preserve"> </w:t>
      </w:r>
      <w:r w:rsidRPr="00AA4677">
        <w:rPr>
          <w:rFonts w:eastAsia="Times New Roman" w:cs="Times New Roman"/>
          <w:szCs w:val="24"/>
        </w:rPr>
        <w:t>policy P202R “Research Involving Human Subjects”</w:t>
      </w:r>
      <w:r w:rsidR="00BF7470" w:rsidRPr="00AA4677">
        <w:rPr>
          <w:rFonts w:eastAsia="Times New Roman" w:cs="Times New Roman"/>
          <w:szCs w:val="24"/>
        </w:rPr>
        <w:t>,</w:t>
      </w:r>
      <w:r w:rsidRPr="00AA4677">
        <w:rPr>
          <w:rFonts w:eastAsia="Times New Roman" w:cs="Times New Roman"/>
          <w:szCs w:val="24"/>
        </w:rPr>
        <w:t> </w:t>
      </w:r>
      <w:r w:rsidR="00C85C00" w:rsidRPr="00AA4677">
        <w:rPr>
          <w:rFonts w:eastAsia="Times New Roman" w:cs="Times New Roman"/>
          <w:szCs w:val="24"/>
        </w:rPr>
        <w:t xml:space="preserve">the </w:t>
      </w:r>
      <w:r w:rsidR="00EE7207" w:rsidRPr="00AA4677">
        <w:rPr>
          <w:rFonts w:eastAsia="Times New Roman" w:cs="Times New Roman"/>
          <w:szCs w:val="24"/>
        </w:rPr>
        <w:t>IRB</w:t>
      </w:r>
      <w:r w:rsidR="00C85C00" w:rsidRPr="00AA4677">
        <w:rPr>
          <w:rFonts w:eastAsia="Times New Roman" w:cs="Times New Roman"/>
          <w:szCs w:val="24"/>
        </w:rPr>
        <w:t xml:space="preserve"> is</w:t>
      </w:r>
      <w:r w:rsidRPr="00AA4677">
        <w:rPr>
          <w:rFonts w:eastAsia="Times New Roman" w:cs="Times New Roman"/>
          <w:szCs w:val="24"/>
        </w:rPr>
        <w:t xml:space="preserve"> authorized</w:t>
      </w:r>
      <w:r w:rsidR="00BF7470" w:rsidRPr="00AA4677">
        <w:rPr>
          <w:rFonts w:eastAsia="Times New Roman" w:cs="Times New Roman"/>
          <w:szCs w:val="24"/>
        </w:rPr>
        <w:t xml:space="preserve"> to</w:t>
      </w:r>
      <w:r w:rsidRPr="00AA4677">
        <w:rPr>
          <w:rFonts w:eastAsia="Times New Roman" w:cs="Times New Roman"/>
          <w:szCs w:val="24"/>
        </w:rPr>
        <w:t>:</w:t>
      </w:r>
    </w:p>
    <w:p w14:paraId="55048BC7" w14:textId="1D2EC9E6" w:rsidR="003209DC" w:rsidRPr="00AA4677" w:rsidRDefault="002504CE">
      <w:pPr>
        <w:pStyle w:val="ListParagraph"/>
        <w:numPr>
          <w:ilvl w:val="0"/>
          <w:numId w:val="84"/>
        </w:numPr>
        <w:shd w:val="clear" w:color="auto" w:fill="FFFFFF"/>
        <w:tabs>
          <w:tab w:val="clear" w:pos="360"/>
          <w:tab w:val="num" w:pos="0"/>
        </w:tabs>
        <w:spacing w:after="0" w:line="240" w:lineRule="auto"/>
        <w:rPr>
          <w:rFonts w:eastAsia="Times New Roman" w:cs="Times New Roman"/>
          <w:szCs w:val="24"/>
        </w:rPr>
      </w:pPr>
      <w:r w:rsidRPr="00AA4677">
        <w:rPr>
          <w:rFonts w:eastAsia="Arial Unicode MS"/>
        </w:rPr>
        <w:t>A</w:t>
      </w:r>
      <w:r w:rsidR="003209DC" w:rsidRPr="00AA4677">
        <w:rPr>
          <w:rFonts w:eastAsia="Arial Unicode MS"/>
        </w:rPr>
        <w:t xml:space="preserve">pprove, require modifications to secure approval, or disapprove human subjects research activities, including exempt research activities under 45 CFR 46.104 for which limited IRB review is a condition of exemption </w:t>
      </w:r>
      <w:r w:rsidR="00C05A67" w:rsidRPr="00AA4677">
        <w:rPr>
          <w:rFonts w:eastAsia="Arial Unicode MS"/>
        </w:rPr>
        <w:t>(under 45 CFR 46.104(d)(2)(iii) and</w:t>
      </w:r>
      <w:r w:rsidR="003209DC" w:rsidRPr="00AA4677">
        <w:rPr>
          <w:rFonts w:eastAsia="Arial Unicode MS"/>
        </w:rPr>
        <w:t xml:space="preserve"> (d)(3)(</w:t>
      </w:r>
      <w:proofErr w:type="spellStart"/>
      <w:r w:rsidR="003209DC" w:rsidRPr="00AA4677">
        <w:rPr>
          <w:rFonts w:eastAsia="Arial Unicode MS"/>
        </w:rPr>
        <w:t>i</w:t>
      </w:r>
      <w:proofErr w:type="spellEnd"/>
      <w:r w:rsidR="003209DC" w:rsidRPr="00AA4677">
        <w:rPr>
          <w:rFonts w:eastAsia="Arial Unicode MS"/>
        </w:rPr>
        <w:t>)(C)</w:t>
      </w:r>
      <w:r w:rsidR="00C05A67" w:rsidRPr="00AA4677">
        <w:rPr>
          <w:rFonts w:eastAsia="Arial Unicode MS"/>
        </w:rPr>
        <w:t>)</w:t>
      </w:r>
    </w:p>
    <w:p w14:paraId="3D96B367" w14:textId="5663562F" w:rsidR="00C00330" w:rsidRPr="00AA4677" w:rsidRDefault="002504CE">
      <w:pPr>
        <w:pStyle w:val="ListParagraph"/>
        <w:numPr>
          <w:ilvl w:val="0"/>
          <w:numId w:val="84"/>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Arial Unicode MS"/>
        </w:rPr>
        <w:t>R</w:t>
      </w:r>
      <w:r w:rsidR="003209DC" w:rsidRPr="00AA4677">
        <w:rPr>
          <w:rFonts w:eastAsia="Arial Unicode MS"/>
        </w:rPr>
        <w:t>equire that informed consent is obtained and documented in accordance with regulatory and policy requirements unless the criteria for the waiver or alteration of such requirements has been satisfied and approved by the IRB.  The IRB may require that information, in addition to that specifically mentioned in the regulations, be given to the subjects when in the IRB's judgment the information would meaningfully add to the protection of the rights and welfare of subjects</w:t>
      </w:r>
    </w:p>
    <w:p w14:paraId="34510AD9" w14:textId="57A4543F" w:rsidR="0055053C" w:rsidRPr="00AA4677" w:rsidRDefault="0055053C" w:rsidP="00EB67DE">
      <w:pPr>
        <w:shd w:val="clear" w:color="auto" w:fill="FFFFFF"/>
        <w:spacing w:after="0" w:line="240" w:lineRule="auto"/>
        <w:rPr>
          <w:rFonts w:eastAsia="Times New Roman" w:cs="Times New Roman"/>
          <w:szCs w:val="24"/>
        </w:rPr>
      </w:pPr>
      <w:r w:rsidRPr="00AA4677">
        <w:rPr>
          <w:rFonts w:eastAsia="Arial Unicode MS"/>
        </w:rPr>
        <w:t>Regarding continuing review:</w:t>
      </w:r>
    </w:p>
    <w:p w14:paraId="214381B1" w14:textId="735D137A" w:rsidR="0055053C" w:rsidRPr="00AA4677" w:rsidRDefault="003209DC">
      <w:pPr>
        <w:pStyle w:val="ListParagraph"/>
        <w:numPr>
          <w:ilvl w:val="1"/>
          <w:numId w:val="288"/>
        </w:numPr>
        <w:shd w:val="clear" w:color="auto" w:fill="FFFFFF"/>
        <w:tabs>
          <w:tab w:val="clear" w:pos="1080"/>
          <w:tab w:val="num" w:pos="360"/>
        </w:tabs>
        <w:spacing w:after="0" w:line="240" w:lineRule="auto"/>
        <w:ind w:left="360"/>
        <w:rPr>
          <w:rFonts w:eastAsia="Times New Roman" w:cs="Times New Roman"/>
          <w:szCs w:val="24"/>
        </w:rPr>
      </w:pPr>
      <w:r w:rsidRPr="00AA4677">
        <w:rPr>
          <w:rFonts w:eastAsia="Arial Unicode MS"/>
          <w:b/>
        </w:rPr>
        <w:t>For research subject to the Common Rule:</w:t>
      </w:r>
      <w:r w:rsidRPr="00AA4677">
        <w:rPr>
          <w:rFonts w:eastAsia="Arial Unicode MS"/>
        </w:rPr>
        <w:t xml:space="preserve"> To conduct continuing review of research requiring review by the convened IRB at intervals appropriate to the degree of risk of the research, but not less than once per </w:t>
      </w:r>
      <w:proofErr w:type="gramStart"/>
      <w:r w:rsidRPr="00AA4677">
        <w:rPr>
          <w:rFonts w:eastAsia="Arial Unicode MS"/>
        </w:rPr>
        <w:t>year</w:t>
      </w:r>
      <w:r w:rsidR="0055053C" w:rsidRPr="00AA4677">
        <w:rPr>
          <w:rFonts w:eastAsia="Arial Unicode MS"/>
        </w:rPr>
        <w:t>;</w:t>
      </w:r>
      <w:proofErr w:type="gramEnd"/>
      <w:r w:rsidR="0055053C" w:rsidRPr="00AA4677">
        <w:rPr>
          <w:rFonts w:eastAsia="Arial Unicode MS"/>
        </w:rPr>
        <w:t xml:space="preserve"> </w:t>
      </w:r>
    </w:p>
    <w:p w14:paraId="69DE95CF" w14:textId="15806CC7" w:rsidR="005B50D1" w:rsidRPr="00AA4677" w:rsidRDefault="0055053C">
      <w:pPr>
        <w:pStyle w:val="ListParagraph"/>
        <w:numPr>
          <w:ilvl w:val="1"/>
          <w:numId w:val="288"/>
        </w:numPr>
        <w:shd w:val="clear" w:color="auto" w:fill="FFFFFF"/>
        <w:tabs>
          <w:tab w:val="clear" w:pos="1080"/>
          <w:tab w:val="num" w:pos="360"/>
        </w:tabs>
        <w:spacing w:before="100" w:beforeAutospacing="1" w:after="100" w:afterAutospacing="1" w:line="240" w:lineRule="auto"/>
        <w:ind w:left="360"/>
        <w:rPr>
          <w:rFonts w:eastAsia="Times New Roman" w:cs="Times New Roman"/>
          <w:szCs w:val="24"/>
        </w:rPr>
      </w:pPr>
      <w:r w:rsidRPr="00AA4677">
        <w:rPr>
          <w:rFonts w:eastAsia="Arial Unicode MS"/>
          <w:b/>
        </w:rPr>
        <w:t xml:space="preserve">For research subject to </w:t>
      </w:r>
      <w:r w:rsidR="00671AA7" w:rsidRPr="00AA4677">
        <w:rPr>
          <w:rFonts w:eastAsia="Arial Unicode MS"/>
          <w:b/>
        </w:rPr>
        <w:t>other regulations (</w:t>
      </w:r>
      <w:r w:rsidR="0069741E" w:rsidRPr="00AA4677">
        <w:rPr>
          <w:rFonts w:eastAsia="Arial Unicode MS"/>
          <w:b/>
        </w:rPr>
        <w:t xml:space="preserve">e.g., pre-2018 Common Rule, FDA, </w:t>
      </w:r>
      <w:proofErr w:type="spellStart"/>
      <w:r w:rsidR="0069741E" w:rsidRPr="00AA4677">
        <w:rPr>
          <w:rFonts w:eastAsia="Arial Unicode MS"/>
          <w:b/>
        </w:rPr>
        <w:t>DoJ</w:t>
      </w:r>
      <w:proofErr w:type="spellEnd"/>
      <w:r w:rsidR="0069741E" w:rsidRPr="00AA4677">
        <w:rPr>
          <w:rFonts w:eastAsia="Arial Unicode MS"/>
          <w:b/>
        </w:rPr>
        <w:t>) or requirements (e.g., grant or contract terms)</w:t>
      </w:r>
      <w:r w:rsidRPr="00AA4677">
        <w:rPr>
          <w:rFonts w:eastAsia="Arial Unicode MS"/>
          <w:b/>
        </w:rPr>
        <w:t>:</w:t>
      </w:r>
      <w:r w:rsidRPr="00AA4677">
        <w:rPr>
          <w:rFonts w:eastAsia="Arial Unicode MS"/>
        </w:rPr>
        <w:t xml:space="preserve"> To conduct continuing review of research at intervals appropriate to the degree of risk of the research, but not less than once per </w:t>
      </w:r>
      <w:proofErr w:type="gramStart"/>
      <w:r w:rsidRPr="00AA4677">
        <w:rPr>
          <w:rFonts w:eastAsia="Arial Unicode MS"/>
        </w:rPr>
        <w:t>year;</w:t>
      </w:r>
      <w:proofErr w:type="gramEnd"/>
    </w:p>
    <w:p w14:paraId="1D8D6E8B" w14:textId="18648C85" w:rsidR="003E7C9E" w:rsidRPr="00AA4677" w:rsidRDefault="003209DC">
      <w:pPr>
        <w:pStyle w:val="ListParagraph"/>
        <w:numPr>
          <w:ilvl w:val="0"/>
          <w:numId w:val="84"/>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S</w:t>
      </w:r>
      <w:r w:rsidR="00BF7470" w:rsidRPr="00AA4677">
        <w:rPr>
          <w:rFonts w:eastAsia="Times New Roman" w:cs="Times New Roman"/>
          <w:szCs w:val="24"/>
        </w:rPr>
        <w:t>u</w:t>
      </w:r>
      <w:r w:rsidR="003E7C9E" w:rsidRPr="00AA4677">
        <w:rPr>
          <w:rFonts w:eastAsia="Times New Roman" w:cs="Times New Roman"/>
          <w:szCs w:val="24"/>
        </w:rPr>
        <w:t>spend or terminate approval of research involving human subjects not being conducted in accordan</w:t>
      </w:r>
      <w:r w:rsidR="00C85C00" w:rsidRPr="00AA4677">
        <w:rPr>
          <w:rFonts w:eastAsia="Times New Roman" w:cs="Times New Roman"/>
          <w:szCs w:val="24"/>
        </w:rPr>
        <w:t>ce with</w:t>
      </w:r>
      <w:r w:rsidR="002504CE" w:rsidRPr="00AA4677">
        <w:rPr>
          <w:rFonts w:eastAsia="Times New Roman" w:cs="Times New Roman"/>
          <w:szCs w:val="24"/>
        </w:rPr>
        <w:t xml:space="preserve"> the</w:t>
      </w:r>
      <w:r w:rsidR="00C85C00" w:rsidRPr="00AA4677">
        <w:rPr>
          <w:rFonts w:eastAsia="Times New Roman" w:cs="Times New Roman"/>
          <w:szCs w:val="24"/>
        </w:rPr>
        <w:t xml:space="preserve"> University’s IRB</w:t>
      </w:r>
      <w:r w:rsidR="003E7C9E" w:rsidRPr="00AA4677">
        <w:rPr>
          <w:rFonts w:eastAsia="Times New Roman" w:cs="Times New Roman"/>
          <w:szCs w:val="24"/>
        </w:rPr>
        <w:t xml:space="preserve"> requirements or that has been associated with unexpected serious harm to </w:t>
      </w:r>
      <w:proofErr w:type="gramStart"/>
      <w:r w:rsidR="00BF7470" w:rsidRPr="00AA4677">
        <w:rPr>
          <w:rFonts w:eastAsia="Times New Roman" w:cs="Times New Roman"/>
          <w:szCs w:val="24"/>
        </w:rPr>
        <w:t>subject</w:t>
      </w:r>
      <w:r w:rsidR="003E7C9E" w:rsidRPr="00AA4677">
        <w:rPr>
          <w:rFonts w:eastAsia="Times New Roman" w:cs="Times New Roman"/>
          <w:szCs w:val="24"/>
        </w:rPr>
        <w:t>s;</w:t>
      </w:r>
      <w:proofErr w:type="gramEnd"/>
    </w:p>
    <w:p w14:paraId="55D67CC6" w14:textId="1AD4E070" w:rsidR="003E7C9E" w:rsidRPr="00AA4677" w:rsidRDefault="00BF7470">
      <w:pPr>
        <w:numPr>
          <w:ilvl w:val="0"/>
          <w:numId w:val="84"/>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O</w:t>
      </w:r>
      <w:r w:rsidR="003E7C9E" w:rsidRPr="00AA4677">
        <w:rPr>
          <w:rFonts w:eastAsia="Times New Roman" w:cs="Times New Roman"/>
          <w:szCs w:val="24"/>
        </w:rPr>
        <w:t>bserve, or have a third party observe, the consent process; and</w:t>
      </w:r>
    </w:p>
    <w:p w14:paraId="207D8D33" w14:textId="3FAC23CC" w:rsidR="003E7C9E" w:rsidRPr="00AA4677" w:rsidRDefault="00BF7470">
      <w:pPr>
        <w:numPr>
          <w:ilvl w:val="0"/>
          <w:numId w:val="84"/>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O</w:t>
      </w:r>
      <w:r w:rsidR="003E7C9E" w:rsidRPr="00AA4677">
        <w:rPr>
          <w:rFonts w:eastAsia="Times New Roman" w:cs="Times New Roman"/>
          <w:szCs w:val="24"/>
        </w:rPr>
        <w:t>bserve, or have a third party observe, the conduct of the research.</w:t>
      </w:r>
    </w:p>
    <w:p w14:paraId="0B9EAC21" w14:textId="0D0EB00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Research that has been reviewed and approved by </w:t>
      </w:r>
      <w:r w:rsidR="00C85C0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may be subject to review and disapproval by officials of the institution. However, those officials may NOT </w:t>
      </w:r>
      <w:proofErr w:type="gramStart"/>
      <w:r w:rsidRPr="00AA4677">
        <w:rPr>
          <w:rFonts w:eastAsia="Times New Roman" w:cs="Times New Roman"/>
          <w:szCs w:val="24"/>
        </w:rPr>
        <w:t>approve</w:t>
      </w:r>
      <w:proofErr w:type="gramEnd"/>
      <w:r w:rsidRPr="00AA4677">
        <w:rPr>
          <w:rFonts w:eastAsia="Times New Roman" w:cs="Times New Roman"/>
          <w:szCs w:val="24"/>
        </w:rPr>
        <w:t xml:space="preserve"> research if it has not been approved by </w:t>
      </w:r>
      <w:r w:rsidR="00C85C0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University officials may strengthen requirements and/or </w:t>
      </w:r>
      <w:proofErr w:type="gramStart"/>
      <w:r w:rsidRPr="00AA4677">
        <w:rPr>
          <w:rFonts w:eastAsia="Times New Roman" w:cs="Times New Roman"/>
          <w:szCs w:val="24"/>
        </w:rPr>
        <w:t>conditions, or</w:t>
      </w:r>
      <w:proofErr w:type="gramEnd"/>
      <w:r w:rsidRPr="00AA4677">
        <w:rPr>
          <w:rFonts w:eastAsia="Times New Roman" w:cs="Times New Roman"/>
          <w:szCs w:val="24"/>
        </w:rPr>
        <w:t xml:space="preserve"> add other modifications to secure University approval or approval by another University committee. Such University-driven (as opposed to </w:t>
      </w:r>
      <w:r w:rsidR="00EE7207" w:rsidRPr="00AA4677">
        <w:rPr>
          <w:rFonts w:eastAsia="Times New Roman" w:cs="Times New Roman"/>
          <w:szCs w:val="24"/>
        </w:rPr>
        <w:t>IRB</w:t>
      </w:r>
      <w:r w:rsidR="00C85C00" w:rsidRPr="00AA4677">
        <w:rPr>
          <w:rFonts w:eastAsia="Times New Roman" w:cs="Times New Roman"/>
          <w:szCs w:val="24"/>
        </w:rPr>
        <w:t xml:space="preserve"> </w:t>
      </w:r>
      <w:r w:rsidRPr="00AA4677">
        <w:rPr>
          <w:rFonts w:eastAsia="Times New Roman" w:cs="Times New Roman"/>
          <w:szCs w:val="24"/>
        </w:rPr>
        <w:t xml:space="preserve">driven) conditions/modifications to a study previously approved by </w:t>
      </w:r>
      <w:r w:rsidR="00C85C00" w:rsidRPr="00AA4677">
        <w:rPr>
          <w:rFonts w:eastAsia="Times New Roman" w:cs="Times New Roman"/>
          <w:szCs w:val="24"/>
        </w:rPr>
        <w:t xml:space="preserve">the </w:t>
      </w:r>
      <w:r w:rsidR="00EE7207" w:rsidRPr="00AA4677">
        <w:rPr>
          <w:rFonts w:eastAsia="Times New Roman" w:cs="Times New Roman"/>
          <w:szCs w:val="24"/>
        </w:rPr>
        <w:t>IRB</w:t>
      </w:r>
      <w:r w:rsidR="00C85C00" w:rsidRPr="00AA4677">
        <w:rPr>
          <w:rFonts w:eastAsia="Times New Roman" w:cs="Times New Roman"/>
          <w:szCs w:val="24"/>
        </w:rPr>
        <w:t xml:space="preserve"> </w:t>
      </w:r>
      <w:r w:rsidRPr="00AA4677">
        <w:rPr>
          <w:rFonts w:eastAsia="Times New Roman" w:cs="Times New Roman"/>
          <w:szCs w:val="24"/>
        </w:rPr>
        <w:t>will require app</w:t>
      </w:r>
      <w:r w:rsidR="00C85C00" w:rsidRPr="00AA4677">
        <w:rPr>
          <w:rFonts w:eastAsia="Times New Roman" w:cs="Times New Roman"/>
          <w:szCs w:val="24"/>
        </w:rPr>
        <w:t xml:space="preserve">roval by the </w:t>
      </w:r>
      <w:r w:rsidR="00EE7207" w:rsidRPr="00AA4677">
        <w:rPr>
          <w:rFonts w:eastAsia="Times New Roman" w:cs="Times New Roman"/>
          <w:szCs w:val="24"/>
        </w:rPr>
        <w:t>IRB</w:t>
      </w:r>
      <w:r w:rsidRPr="00AA4677">
        <w:rPr>
          <w:rFonts w:eastAsia="Times New Roman" w:cs="Times New Roman"/>
          <w:szCs w:val="24"/>
        </w:rPr>
        <w:t xml:space="preserve">.  The </w:t>
      </w:r>
      <w:r w:rsidR="00DC3CDD" w:rsidRPr="00AA4677">
        <w:rPr>
          <w:rFonts w:eastAsia="Times New Roman" w:cs="Times New Roman"/>
          <w:szCs w:val="24"/>
        </w:rPr>
        <w:t xml:space="preserve">IRB staff, in consultation with the </w:t>
      </w:r>
      <w:r w:rsidRPr="00AA4677">
        <w:rPr>
          <w:rFonts w:eastAsia="Times New Roman" w:cs="Times New Roman"/>
          <w:szCs w:val="24"/>
        </w:rPr>
        <w:t>applicable</w:t>
      </w:r>
      <w:r w:rsidR="00C85C00" w:rsidRPr="00AA4677">
        <w:rPr>
          <w:rFonts w:eastAsia="Times New Roman" w:cs="Times New Roman"/>
          <w:szCs w:val="24"/>
        </w:rPr>
        <w:t xml:space="preserve"> IRB</w:t>
      </w:r>
      <w:r w:rsidRPr="00AA4677">
        <w:rPr>
          <w:rFonts w:eastAsia="Times New Roman" w:cs="Times New Roman"/>
          <w:szCs w:val="24"/>
        </w:rPr>
        <w:t xml:space="preserve"> chair </w:t>
      </w:r>
      <w:r w:rsidR="00DC3CDD" w:rsidRPr="00AA4677">
        <w:rPr>
          <w:rFonts w:eastAsia="Times New Roman" w:cs="Times New Roman"/>
          <w:szCs w:val="24"/>
        </w:rPr>
        <w:t xml:space="preserve">as needed, </w:t>
      </w:r>
      <w:r w:rsidRPr="00AA4677">
        <w:rPr>
          <w:rFonts w:eastAsia="Times New Roman" w:cs="Times New Roman"/>
          <w:szCs w:val="24"/>
        </w:rPr>
        <w:t>will determine whether the changes require full or expedited</w:t>
      </w:r>
      <w:r w:rsidR="00DC3CDD" w:rsidRPr="00AA4677">
        <w:rPr>
          <w:rFonts w:eastAsia="Times New Roman" w:cs="Times New Roman"/>
          <w:szCs w:val="24"/>
        </w:rPr>
        <w:t xml:space="preserve"> review</w:t>
      </w:r>
      <w:r w:rsidRPr="00AA4677">
        <w:rPr>
          <w:rFonts w:eastAsia="Times New Roman" w:cs="Times New Roman"/>
          <w:szCs w:val="24"/>
        </w:rPr>
        <w:t>.</w:t>
      </w:r>
    </w:p>
    <w:p w14:paraId="2AB2E015" w14:textId="77777777" w:rsidR="003E7C9E" w:rsidRPr="00AA4677" w:rsidRDefault="003E7C9E" w:rsidP="00696B35">
      <w:pPr>
        <w:pStyle w:val="Heading2"/>
      </w:pPr>
      <w:bookmarkStart w:id="37" w:name="_Toc192678154"/>
      <w:r w:rsidRPr="00AA4677">
        <w:lastRenderedPageBreak/>
        <w:t>2.3 Number of IRBs</w:t>
      </w:r>
      <w:bookmarkEnd w:id="37"/>
    </w:p>
    <w:p w14:paraId="30867EA9" w14:textId="40FC9FE8" w:rsidR="00C85C00"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There </w:t>
      </w:r>
      <w:r w:rsidR="00125FFC" w:rsidRPr="00AA4677">
        <w:rPr>
          <w:rFonts w:eastAsia="Times New Roman" w:cs="Times New Roman"/>
          <w:szCs w:val="24"/>
        </w:rPr>
        <w:t>is currently one (1)</w:t>
      </w:r>
      <w:r w:rsidR="00EF3973" w:rsidRPr="00AA4677">
        <w:rPr>
          <w:rFonts w:eastAsia="Times New Roman" w:cs="Times New Roman"/>
          <w:szCs w:val="24"/>
        </w:rPr>
        <w:t xml:space="preserve"> </w:t>
      </w:r>
      <w:r w:rsidRPr="00AA4677">
        <w:rPr>
          <w:rFonts w:eastAsia="Times New Roman" w:cs="Times New Roman"/>
          <w:szCs w:val="24"/>
        </w:rPr>
        <w:t>on-site and three</w:t>
      </w:r>
      <w:r w:rsidR="003E1659" w:rsidRPr="00AA4677">
        <w:rPr>
          <w:rFonts w:eastAsia="Times New Roman" w:cs="Times New Roman"/>
          <w:szCs w:val="24"/>
        </w:rPr>
        <w:t xml:space="preserve"> (4</w:t>
      </w:r>
      <w:r w:rsidR="00125FFC" w:rsidRPr="00AA4677">
        <w:rPr>
          <w:rFonts w:eastAsia="Times New Roman" w:cs="Times New Roman"/>
          <w:szCs w:val="24"/>
        </w:rPr>
        <w:t>)</w:t>
      </w:r>
      <w:r w:rsidRPr="00AA4677">
        <w:rPr>
          <w:rFonts w:eastAsia="Times New Roman" w:cs="Times New Roman"/>
          <w:szCs w:val="24"/>
        </w:rPr>
        <w:t xml:space="preserve"> off-site </w:t>
      </w:r>
      <w:r w:rsidR="00C85C00" w:rsidRPr="00AA4677">
        <w:rPr>
          <w:rFonts w:eastAsia="Times New Roman" w:cs="Times New Roman"/>
          <w:szCs w:val="24"/>
        </w:rPr>
        <w:t>IRBs</w:t>
      </w:r>
      <w:r w:rsidRPr="00AA4677">
        <w:rPr>
          <w:rFonts w:eastAsia="Times New Roman" w:cs="Times New Roman"/>
          <w:szCs w:val="24"/>
        </w:rPr>
        <w:t xml:space="preserve"> that may review research under the auspices of </w:t>
      </w:r>
      <w:r w:rsidR="00AC3DE5" w:rsidRPr="00AA4677">
        <w:rPr>
          <w:rFonts w:eastAsia="Times New Roman" w:cs="Times New Roman"/>
          <w:szCs w:val="24"/>
        </w:rPr>
        <w:t>the University</w:t>
      </w:r>
      <w:r w:rsidRPr="00AA4677">
        <w:rPr>
          <w:rFonts w:eastAsia="Times New Roman" w:cs="Times New Roman"/>
          <w:szCs w:val="24"/>
        </w:rPr>
        <w:t>.  </w:t>
      </w:r>
    </w:p>
    <w:p w14:paraId="0130A318" w14:textId="1ADBDE12"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F82E75" w:rsidRPr="00AA4677">
        <w:rPr>
          <w:rFonts w:eastAsia="Times New Roman" w:cs="Times New Roman"/>
          <w:szCs w:val="24"/>
        </w:rPr>
        <w:t>AVP-RC</w:t>
      </w:r>
      <w:r w:rsidRPr="00AA4677">
        <w:rPr>
          <w:rFonts w:eastAsia="Times New Roman" w:cs="Times New Roman"/>
          <w:szCs w:val="24"/>
        </w:rPr>
        <w:t xml:space="preserve">, </w:t>
      </w:r>
      <w:r w:rsidR="009F5B56" w:rsidRPr="00AA4677">
        <w:rPr>
          <w:rFonts w:eastAsia="Times New Roman" w:cs="Times New Roman"/>
          <w:szCs w:val="24"/>
        </w:rPr>
        <w:t xml:space="preserve">with consultation from the IRB staff and the </w:t>
      </w:r>
      <w:r w:rsidRPr="00AA4677">
        <w:rPr>
          <w:rFonts w:eastAsia="Times New Roman" w:cs="Times New Roman"/>
          <w:szCs w:val="24"/>
        </w:rPr>
        <w:t xml:space="preserve">Chairs of the </w:t>
      </w:r>
      <w:r w:rsidR="00EE7207" w:rsidRPr="00AA4677">
        <w:rPr>
          <w:rFonts w:eastAsia="Times New Roman" w:cs="Times New Roman"/>
          <w:szCs w:val="24"/>
        </w:rPr>
        <w:t>IRB</w:t>
      </w:r>
      <w:r w:rsidRPr="00AA4677">
        <w:rPr>
          <w:rFonts w:eastAsia="Times New Roman" w:cs="Times New Roman"/>
          <w:szCs w:val="24"/>
        </w:rPr>
        <w:t>s</w:t>
      </w:r>
      <w:r w:rsidR="009F5B56" w:rsidRPr="00AA4677">
        <w:rPr>
          <w:rFonts w:eastAsia="Times New Roman" w:cs="Times New Roman"/>
          <w:szCs w:val="24"/>
        </w:rPr>
        <w:t xml:space="preserve"> as needed,</w:t>
      </w:r>
      <w:r w:rsidRPr="00AA4677">
        <w:rPr>
          <w:rFonts w:eastAsia="Times New Roman" w:cs="Times New Roman"/>
          <w:szCs w:val="24"/>
        </w:rPr>
        <w:t xml:space="preserve"> wi</w:t>
      </w:r>
      <w:r w:rsidR="00C85C00" w:rsidRPr="00AA4677">
        <w:rPr>
          <w:rFonts w:eastAsia="Times New Roman" w:cs="Times New Roman"/>
          <w:szCs w:val="24"/>
        </w:rPr>
        <w:t xml:space="preserve">ll review the activity of the </w:t>
      </w:r>
      <w:r w:rsidR="00EE7207" w:rsidRPr="00AA4677">
        <w:rPr>
          <w:rFonts w:eastAsia="Times New Roman" w:cs="Times New Roman"/>
          <w:szCs w:val="24"/>
        </w:rPr>
        <w:t>IRB</w:t>
      </w:r>
      <w:r w:rsidR="009F5B56" w:rsidRPr="00AA4677">
        <w:rPr>
          <w:rFonts w:eastAsia="Times New Roman" w:cs="Times New Roman"/>
          <w:szCs w:val="24"/>
        </w:rPr>
        <w:t>s</w:t>
      </w:r>
      <w:r w:rsidRPr="00AA4677">
        <w:rPr>
          <w:rFonts w:eastAsia="Times New Roman" w:cs="Times New Roman"/>
          <w:szCs w:val="24"/>
        </w:rPr>
        <w:t xml:space="preserve"> on at least an annual basis and </w:t>
      </w:r>
      <w:proofErr w:type="gramStart"/>
      <w:r w:rsidRPr="00AA4677">
        <w:rPr>
          <w:rFonts w:eastAsia="Times New Roman" w:cs="Times New Roman"/>
          <w:szCs w:val="24"/>
        </w:rPr>
        <w:t>make a determination</w:t>
      </w:r>
      <w:proofErr w:type="gramEnd"/>
      <w:r w:rsidRPr="00AA4677">
        <w:rPr>
          <w:rFonts w:eastAsia="Times New Roman" w:cs="Times New Roman"/>
          <w:szCs w:val="24"/>
        </w:rPr>
        <w:t xml:space="preserve"> </w:t>
      </w:r>
      <w:r w:rsidR="00C85C00" w:rsidRPr="00AA4677">
        <w:rPr>
          <w:rFonts w:eastAsia="Times New Roman" w:cs="Times New Roman"/>
          <w:szCs w:val="24"/>
        </w:rPr>
        <w:t xml:space="preserve">as to the appropriate number of </w:t>
      </w:r>
      <w:r w:rsidR="00EE7207" w:rsidRPr="00AA4677">
        <w:rPr>
          <w:rFonts w:eastAsia="Times New Roman" w:cs="Times New Roman"/>
          <w:szCs w:val="24"/>
        </w:rPr>
        <w:t>IRB</w:t>
      </w:r>
      <w:r w:rsidRPr="00AA4677">
        <w:rPr>
          <w:rFonts w:eastAsia="Times New Roman" w:cs="Times New Roman"/>
          <w:szCs w:val="24"/>
        </w:rPr>
        <w:t xml:space="preserve">s that are needed for the </w:t>
      </w:r>
      <w:r w:rsidR="00AC3DE5" w:rsidRPr="00AA4677">
        <w:rPr>
          <w:rFonts w:eastAsia="Times New Roman" w:cs="Times New Roman"/>
          <w:szCs w:val="24"/>
        </w:rPr>
        <w:t>University</w:t>
      </w:r>
      <w:r w:rsidRPr="00AA4677">
        <w:rPr>
          <w:rFonts w:eastAsia="Times New Roman" w:cs="Times New Roman"/>
          <w:szCs w:val="24"/>
        </w:rPr>
        <w:t xml:space="preserve">. This determination will be based on the evaluation of the </w:t>
      </w:r>
      <w:r w:rsidR="009F5B56" w:rsidRPr="00AA4677">
        <w:rPr>
          <w:rFonts w:eastAsia="Times New Roman" w:cs="Times New Roman"/>
          <w:szCs w:val="24"/>
        </w:rPr>
        <w:t>amount and type of research acti</w:t>
      </w:r>
      <w:r w:rsidR="00C05A67" w:rsidRPr="00AA4677">
        <w:rPr>
          <w:rFonts w:eastAsia="Times New Roman" w:cs="Times New Roman"/>
          <w:szCs w:val="24"/>
        </w:rPr>
        <w:t>vities handled between the IRBs</w:t>
      </w:r>
      <w:r w:rsidR="002C4907" w:rsidRPr="00AA4677">
        <w:rPr>
          <w:rFonts w:eastAsia="Times New Roman" w:cs="Times New Roman"/>
          <w:szCs w:val="24"/>
        </w:rPr>
        <w:t>.</w:t>
      </w:r>
    </w:p>
    <w:p w14:paraId="50FCB942" w14:textId="77777777" w:rsidR="003E7C9E" w:rsidRPr="00AA4677" w:rsidRDefault="003E7C9E" w:rsidP="00696B35">
      <w:pPr>
        <w:pStyle w:val="Heading2"/>
      </w:pPr>
      <w:bookmarkStart w:id="38" w:name="_Toc192678155"/>
      <w:r w:rsidRPr="00AA4677">
        <w:t>2.4 Roles and Responsibilities</w:t>
      </w:r>
      <w:bookmarkEnd w:id="38"/>
    </w:p>
    <w:p w14:paraId="048A8D16" w14:textId="5470C9A8" w:rsidR="003E7C9E" w:rsidRPr="00AA4677" w:rsidRDefault="003E7C9E" w:rsidP="00C57C98">
      <w:pPr>
        <w:pStyle w:val="Heading3"/>
      </w:pPr>
      <w:r w:rsidRPr="00AA4677">
        <w:t>2.4.1 </w:t>
      </w:r>
      <w:r w:rsidR="00EE7207" w:rsidRPr="00AA4677">
        <w:t>IRB</w:t>
      </w:r>
      <w:r w:rsidR="00116C1D" w:rsidRPr="00AA4677">
        <w:t xml:space="preserve"> Chair</w:t>
      </w:r>
    </w:p>
    <w:p w14:paraId="52532789" w14:textId="36CE435B"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University Institutional Official </w:t>
      </w:r>
      <w:r w:rsidR="007A7604" w:rsidRPr="00AA4677">
        <w:rPr>
          <w:rFonts w:eastAsia="Times New Roman" w:cs="Times New Roman"/>
          <w:szCs w:val="24"/>
        </w:rPr>
        <w:t xml:space="preserve">appoints </w:t>
      </w:r>
      <w:r w:rsidR="009F5B56" w:rsidRPr="00AA4677">
        <w:rPr>
          <w:rFonts w:eastAsia="Times New Roman" w:cs="Times New Roman"/>
          <w:szCs w:val="24"/>
        </w:rPr>
        <w:t xml:space="preserve">the </w:t>
      </w:r>
      <w:r w:rsidR="00EE7207" w:rsidRPr="00AA4677">
        <w:rPr>
          <w:rFonts w:eastAsia="Times New Roman" w:cs="Times New Roman"/>
          <w:szCs w:val="24"/>
        </w:rPr>
        <w:t>IRB</w:t>
      </w:r>
      <w:r w:rsidR="009F5B56" w:rsidRPr="00AA4677">
        <w:rPr>
          <w:rFonts w:eastAsia="Times New Roman" w:cs="Times New Roman"/>
          <w:szCs w:val="24"/>
        </w:rPr>
        <w:t xml:space="preserve"> Chairs</w:t>
      </w:r>
      <w:r w:rsidRPr="00AA4677">
        <w:rPr>
          <w:rFonts w:eastAsia="Times New Roman" w:cs="Times New Roman"/>
          <w:szCs w:val="24"/>
        </w:rPr>
        <w:t>. Any change in appointment, including reappointment or removal, requires written notification.</w:t>
      </w:r>
    </w:p>
    <w:p w14:paraId="5B20827E" w14:textId="180A8BF8" w:rsidR="003E7C9E" w:rsidRPr="00AA4677" w:rsidRDefault="009F5B56" w:rsidP="003E7C9E">
      <w:pPr>
        <w:shd w:val="clear" w:color="auto" w:fill="FFFFFF"/>
        <w:spacing w:before="100" w:beforeAutospacing="1" w:after="100" w:afterAutospacing="1" w:line="240" w:lineRule="auto"/>
        <w:rPr>
          <w:rFonts w:eastAsia="Times New Roman" w:cs="Times New Roman"/>
          <w:szCs w:val="24"/>
        </w:rPr>
      </w:pPr>
      <w:bookmarkStart w:id="39" w:name="_Hlk192159362"/>
      <w:r w:rsidRPr="00A13084">
        <w:rPr>
          <w:rFonts w:eastAsia="Times New Roman" w:cs="Times New Roman"/>
          <w:szCs w:val="24"/>
        </w:rPr>
        <w:t>A</w:t>
      </w:r>
      <w:r w:rsidR="00EE7207" w:rsidRPr="00A13084">
        <w:rPr>
          <w:rFonts w:eastAsia="Times New Roman" w:cs="Times New Roman"/>
          <w:szCs w:val="24"/>
        </w:rPr>
        <w:t>n</w:t>
      </w:r>
      <w:r w:rsidRPr="00A13084">
        <w:rPr>
          <w:rFonts w:eastAsia="Times New Roman" w:cs="Times New Roman"/>
          <w:szCs w:val="24"/>
        </w:rPr>
        <w:t xml:space="preserve"> </w:t>
      </w:r>
      <w:r w:rsidR="00EE7207" w:rsidRPr="00A13084">
        <w:rPr>
          <w:rFonts w:eastAsia="Times New Roman" w:cs="Times New Roman"/>
          <w:szCs w:val="24"/>
        </w:rPr>
        <w:t>IRB</w:t>
      </w:r>
      <w:r w:rsidR="003E7C9E" w:rsidRPr="00A13084">
        <w:rPr>
          <w:rFonts w:eastAsia="Times New Roman" w:cs="Times New Roman"/>
          <w:szCs w:val="24"/>
        </w:rPr>
        <w:t xml:space="preserve"> Chair</w:t>
      </w:r>
      <w:r w:rsidR="00FC7AFD" w:rsidRPr="00A13084">
        <w:rPr>
          <w:rFonts w:eastAsia="Times New Roman" w:cs="Times New Roman"/>
          <w:szCs w:val="24"/>
        </w:rPr>
        <w:t xml:space="preserve"> (for the IRB internal to the institution)</w:t>
      </w:r>
      <w:r w:rsidR="003E7C9E" w:rsidRPr="00A13084">
        <w:rPr>
          <w:rFonts w:eastAsia="Times New Roman" w:cs="Times New Roman"/>
          <w:szCs w:val="24"/>
        </w:rPr>
        <w:t xml:space="preserve"> should be a highly respected </w:t>
      </w:r>
      <w:r w:rsidR="00B24738" w:rsidRPr="00A13084">
        <w:rPr>
          <w:rFonts w:eastAsia="Times New Roman" w:cs="Times New Roman"/>
          <w:szCs w:val="24"/>
        </w:rPr>
        <w:t>full-time, faculty member</w:t>
      </w:r>
      <w:r w:rsidR="003E7C9E" w:rsidRPr="00A13084">
        <w:rPr>
          <w:rFonts w:eastAsia="Times New Roman" w:cs="Times New Roman"/>
          <w:szCs w:val="24"/>
        </w:rPr>
        <w:t>,</w:t>
      </w:r>
      <w:r w:rsidR="00B24738" w:rsidRPr="00A13084">
        <w:rPr>
          <w:rFonts w:eastAsia="Times New Roman" w:cs="Times New Roman"/>
          <w:szCs w:val="24"/>
        </w:rPr>
        <w:t xml:space="preserve"> </w:t>
      </w:r>
      <w:r w:rsidR="003E7C9E" w:rsidRPr="00A13084">
        <w:rPr>
          <w:rFonts w:eastAsia="Times New Roman" w:cs="Times New Roman"/>
          <w:szCs w:val="24"/>
        </w:rPr>
        <w:t xml:space="preserve">fully capable </w:t>
      </w:r>
      <w:r w:rsidR="003E7C9E" w:rsidRPr="00AA4677">
        <w:rPr>
          <w:rFonts w:eastAsia="Times New Roman" w:cs="Times New Roman"/>
          <w:szCs w:val="24"/>
        </w:rPr>
        <w:t xml:space="preserve">of managing </w:t>
      </w:r>
      <w:r w:rsidR="00C85C00"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and the matters brought before it with fairness and impartiality.</w:t>
      </w:r>
      <w:bookmarkEnd w:id="39"/>
      <w:r w:rsidR="003E7C9E" w:rsidRPr="00AA4677">
        <w:rPr>
          <w:rFonts w:eastAsia="Times New Roman" w:cs="Times New Roman"/>
          <w:szCs w:val="24"/>
        </w:rPr>
        <w:t xml:space="preserve"> The task of making </w:t>
      </w:r>
      <w:r w:rsidR="00C85C00"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a respected part of the institutional community will be shared between </w:t>
      </w:r>
      <w:r w:rsidR="00F82E75" w:rsidRPr="00AA4677">
        <w:rPr>
          <w:rFonts w:eastAsia="Times New Roman" w:cs="Times New Roman"/>
          <w:szCs w:val="24"/>
        </w:rPr>
        <w:t>the AVP-</w:t>
      </w:r>
      <w:proofErr w:type="gramStart"/>
      <w:r w:rsidR="00F82E75" w:rsidRPr="00AA4677">
        <w:rPr>
          <w:rFonts w:eastAsia="Times New Roman" w:cs="Times New Roman"/>
          <w:szCs w:val="24"/>
        </w:rPr>
        <w:t>RC</w:t>
      </w:r>
      <w:r w:rsidR="002C4907" w:rsidRPr="00AA4677">
        <w:rPr>
          <w:rFonts w:eastAsia="Times New Roman" w:cs="Times New Roman"/>
          <w:szCs w:val="24"/>
        </w:rPr>
        <w:t>,</w:t>
      </w:r>
      <w:proofErr w:type="gramEnd"/>
      <w:r w:rsidR="00B403AF" w:rsidRPr="00AA4677">
        <w:rPr>
          <w:rFonts w:eastAsia="Times New Roman" w:cs="Times New Roman"/>
          <w:szCs w:val="24"/>
        </w:rPr>
        <w:t xml:space="preserve"> and</w:t>
      </w:r>
      <w:r w:rsidR="002C4907" w:rsidRPr="00AA4677">
        <w:rPr>
          <w:rFonts w:eastAsia="Times New Roman" w:cs="Times New Roman"/>
          <w:szCs w:val="24"/>
        </w:rPr>
        <w:t xml:space="preserve"> </w:t>
      </w:r>
      <w:r w:rsidR="00EE7207" w:rsidRPr="00AA4677">
        <w:rPr>
          <w:rFonts w:eastAsia="Times New Roman" w:cs="Times New Roman"/>
          <w:szCs w:val="24"/>
        </w:rPr>
        <w:t>IRB</w:t>
      </w:r>
      <w:r w:rsidR="007A7604" w:rsidRPr="00AA4677">
        <w:rPr>
          <w:rFonts w:eastAsia="Times New Roman" w:cs="Times New Roman"/>
          <w:szCs w:val="24"/>
        </w:rPr>
        <w:t xml:space="preserve"> </w:t>
      </w:r>
      <w:r w:rsidR="003E7C9E" w:rsidRPr="00AA4677">
        <w:rPr>
          <w:rFonts w:eastAsia="Times New Roman" w:cs="Times New Roman"/>
          <w:szCs w:val="24"/>
        </w:rPr>
        <w:t>Chair</w:t>
      </w:r>
      <w:r w:rsidRPr="00AA4677">
        <w:rPr>
          <w:rFonts w:eastAsia="Times New Roman" w:cs="Times New Roman"/>
          <w:szCs w:val="24"/>
        </w:rPr>
        <w:t>s</w:t>
      </w:r>
      <w:r w:rsidR="003E7C9E" w:rsidRPr="00AA4677">
        <w:rPr>
          <w:rFonts w:eastAsia="Times New Roman" w:cs="Times New Roman"/>
          <w:szCs w:val="24"/>
        </w:rPr>
        <w:t xml:space="preserve">. The </w:t>
      </w:r>
      <w:r w:rsidR="00EE7207" w:rsidRPr="00AA4677">
        <w:rPr>
          <w:rFonts w:eastAsia="Times New Roman" w:cs="Times New Roman"/>
          <w:szCs w:val="24"/>
        </w:rPr>
        <w:t>IRB</w:t>
      </w:r>
      <w:r w:rsidR="007A7604" w:rsidRPr="00AA4677">
        <w:rPr>
          <w:rFonts w:eastAsia="Times New Roman" w:cs="Times New Roman"/>
          <w:szCs w:val="24"/>
        </w:rPr>
        <w:t xml:space="preserve"> </w:t>
      </w:r>
      <w:r w:rsidR="003E7C9E" w:rsidRPr="00AA4677">
        <w:rPr>
          <w:rFonts w:eastAsia="Times New Roman" w:cs="Times New Roman"/>
          <w:szCs w:val="24"/>
        </w:rPr>
        <w:t>Chair</w:t>
      </w:r>
      <w:r w:rsidRPr="00AA4677">
        <w:rPr>
          <w:rFonts w:eastAsia="Times New Roman" w:cs="Times New Roman"/>
          <w:szCs w:val="24"/>
        </w:rPr>
        <w:t>s</w:t>
      </w:r>
      <w:r w:rsidR="003E7C9E" w:rsidRPr="00AA4677">
        <w:rPr>
          <w:rFonts w:eastAsia="Times New Roman" w:cs="Times New Roman"/>
          <w:szCs w:val="24"/>
        </w:rPr>
        <w:t xml:space="preserve"> will be primarily responsible for ensuring that </w:t>
      </w:r>
      <w:r w:rsidR="00C85C00"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is perceived as fair, impartial and immune to pressure by </w:t>
      </w:r>
      <w:r w:rsidR="00F81FE4" w:rsidRPr="00AA4677">
        <w:rPr>
          <w:rFonts w:eastAsia="Times New Roman" w:cs="Times New Roman"/>
          <w:szCs w:val="24"/>
        </w:rPr>
        <w:t>the University’s</w:t>
      </w:r>
      <w:r w:rsidR="003E7C9E" w:rsidRPr="00AA4677">
        <w:rPr>
          <w:rFonts w:eastAsia="Times New Roman" w:cs="Times New Roman"/>
          <w:szCs w:val="24"/>
        </w:rPr>
        <w:t xml:space="preserve"> administration, the investigators whose protocols</w:t>
      </w:r>
      <w:r w:rsidR="007A7604" w:rsidRPr="00AA4677">
        <w:rPr>
          <w:rFonts w:eastAsia="Times New Roman" w:cs="Times New Roman"/>
          <w:szCs w:val="24"/>
        </w:rPr>
        <w:t>/studies</w:t>
      </w:r>
      <w:r w:rsidR="003E7C9E" w:rsidRPr="00AA4677">
        <w:rPr>
          <w:rFonts w:eastAsia="Times New Roman" w:cs="Times New Roman"/>
          <w:szCs w:val="24"/>
        </w:rPr>
        <w:t xml:space="preserve"> are brought before it, and other professional and nonprofessional sources.</w:t>
      </w:r>
    </w:p>
    <w:p w14:paraId="093AFFCE" w14:textId="4C5A5474" w:rsidR="003E7C9E" w:rsidRPr="00AA4677" w:rsidRDefault="007A7604"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Chair</w:t>
      </w:r>
      <w:r w:rsidR="009F5B56" w:rsidRPr="00AA4677">
        <w:rPr>
          <w:rFonts w:eastAsia="Times New Roman" w:cs="Times New Roman"/>
          <w:szCs w:val="24"/>
        </w:rPr>
        <w:t xml:space="preserve">s are </w:t>
      </w:r>
      <w:r w:rsidR="003E7C9E" w:rsidRPr="00AA4677">
        <w:rPr>
          <w:rFonts w:eastAsia="Times New Roman" w:cs="Times New Roman"/>
          <w:szCs w:val="24"/>
        </w:rPr>
        <w:t>responsible for conducting the meet</w:t>
      </w:r>
      <w:r w:rsidR="00A346F0" w:rsidRPr="00AA4677">
        <w:rPr>
          <w:rFonts w:eastAsia="Times New Roman" w:cs="Times New Roman"/>
          <w:szCs w:val="24"/>
        </w:rPr>
        <w:t>ings (including voting) and delegate</w:t>
      </w:r>
      <w:r w:rsidRPr="00AA4677">
        <w:rPr>
          <w:rFonts w:eastAsia="Times New Roman" w:cs="Times New Roman"/>
          <w:szCs w:val="24"/>
        </w:rPr>
        <w:t xml:space="preserve"> to the IRB</w:t>
      </w:r>
      <w:r w:rsidR="003E7C9E" w:rsidRPr="00AA4677">
        <w:rPr>
          <w:rFonts w:eastAsia="Times New Roman" w:cs="Times New Roman"/>
          <w:szCs w:val="24"/>
        </w:rPr>
        <w:t xml:space="preserve"> </w:t>
      </w:r>
      <w:r w:rsidR="00A56B91" w:rsidRPr="00AA4677">
        <w:rPr>
          <w:rFonts w:eastAsia="Times New Roman" w:cs="Times New Roman"/>
          <w:szCs w:val="24"/>
        </w:rPr>
        <w:t>A</w:t>
      </w:r>
      <w:r w:rsidR="00A346F0" w:rsidRPr="00AA4677">
        <w:rPr>
          <w:rFonts w:eastAsia="Times New Roman" w:cs="Times New Roman"/>
          <w:szCs w:val="24"/>
        </w:rPr>
        <w:t xml:space="preserve">dministrators </w:t>
      </w:r>
      <w:r w:rsidR="003E7C9E" w:rsidRPr="00AA4677">
        <w:rPr>
          <w:rFonts w:eastAsia="Times New Roman" w:cs="Times New Roman"/>
          <w:szCs w:val="24"/>
        </w:rPr>
        <w:t xml:space="preserve"> the responsibility of being signatory for co</w:t>
      </w:r>
      <w:r w:rsidRPr="00AA4677">
        <w:rPr>
          <w:rFonts w:eastAsia="Times New Roman" w:cs="Times New Roman"/>
          <w:szCs w:val="24"/>
        </w:rPr>
        <w:t xml:space="preserve">rrespondence generated by the </w:t>
      </w:r>
      <w:r w:rsidR="00EE7207" w:rsidRPr="00AA4677">
        <w:rPr>
          <w:rFonts w:eastAsia="Times New Roman" w:cs="Times New Roman"/>
          <w:szCs w:val="24"/>
        </w:rPr>
        <w:t>IRB</w:t>
      </w:r>
      <w:r w:rsidR="003E7C9E" w:rsidRPr="00AA4677">
        <w:rPr>
          <w:rFonts w:eastAsia="Times New Roman" w:cs="Times New Roman"/>
          <w:szCs w:val="24"/>
        </w:rPr>
        <w:t>.</w:t>
      </w:r>
      <w:r w:rsidR="00A346F0" w:rsidRPr="00AA4677">
        <w:rPr>
          <w:rFonts w:eastAsia="Times New Roman" w:cs="Times New Roman"/>
          <w:szCs w:val="24"/>
        </w:rPr>
        <w:t xml:space="preserve"> Prior to the meeting, the IRB Chair will be responsible for reviewing agenda items, minutes, and expedite studies. After the meeting the IRB Chair will correspond with the IRB staff regarding any issues that </w:t>
      </w:r>
      <w:proofErr w:type="gramStart"/>
      <w:r w:rsidR="00A346F0" w:rsidRPr="00AA4677">
        <w:rPr>
          <w:rFonts w:eastAsia="Times New Roman" w:cs="Times New Roman"/>
          <w:szCs w:val="24"/>
        </w:rPr>
        <w:t>developed</w:t>
      </w:r>
      <w:proofErr w:type="gramEnd"/>
      <w:r w:rsidR="00A346F0" w:rsidRPr="00AA4677">
        <w:rPr>
          <w:rFonts w:eastAsia="Times New Roman" w:cs="Times New Roman"/>
          <w:szCs w:val="24"/>
        </w:rPr>
        <w:t xml:space="preserve"> during the meeting.</w:t>
      </w:r>
    </w:p>
    <w:p w14:paraId="02FF8F47" w14:textId="267A990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performance of the </w:t>
      </w:r>
      <w:r w:rsidR="00EE7207" w:rsidRPr="00AA4677">
        <w:rPr>
          <w:rFonts w:eastAsia="Times New Roman" w:cs="Times New Roman"/>
          <w:szCs w:val="24"/>
        </w:rPr>
        <w:t>IRB</w:t>
      </w:r>
      <w:r w:rsidRPr="00AA4677">
        <w:rPr>
          <w:rFonts w:eastAsia="Times New Roman" w:cs="Times New Roman"/>
          <w:szCs w:val="24"/>
        </w:rPr>
        <w:t xml:space="preserve"> Chair</w:t>
      </w:r>
      <w:r w:rsidR="00EE7207" w:rsidRPr="00AA4677">
        <w:rPr>
          <w:rFonts w:eastAsia="Times New Roman" w:cs="Times New Roman"/>
          <w:szCs w:val="24"/>
        </w:rPr>
        <w:t>s</w:t>
      </w:r>
      <w:r w:rsidRPr="00AA4677">
        <w:rPr>
          <w:rFonts w:eastAsia="Times New Roman" w:cs="Times New Roman"/>
          <w:szCs w:val="24"/>
        </w:rPr>
        <w:t xml:space="preserve"> will be reviewed and provided with feedback on an annual basis by the</w:t>
      </w:r>
      <w:r w:rsidR="00F81FE4" w:rsidRPr="00AA4677">
        <w:rPr>
          <w:rFonts w:eastAsia="Times New Roman" w:cs="Times New Roman"/>
          <w:szCs w:val="24"/>
        </w:rPr>
        <w:t xml:space="preserve"> </w:t>
      </w:r>
      <w:r w:rsidR="007549B5" w:rsidRPr="00AA4677">
        <w:rPr>
          <w:rFonts w:eastAsia="Times New Roman" w:cs="Times New Roman"/>
          <w:szCs w:val="24"/>
        </w:rPr>
        <w:t>AVP-RC</w:t>
      </w:r>
      <w:r w:rsidR="00B403AF" w:rsidRPr="00AA4677">
        <w:rPr>
          <w:rFonts w:eastAsia="Times New Roman" w:cs="Times New Roman"/>
          <w:szCs w:val="24"/>
        </w:rPr>
        <w:t xml:space="preserve">. </w:t>
      </w:r>
      <w:r w:rsidRPr="00AA4677">
        <w:rPr>
          <w:rFonts w:eastAsia="Times New Roman" w:cs="Times New Roman"/>
          <w:szCs w:val="24"/>
        </w:rPr>
        <w:t xml:space="preserve">If </w:t>
      </w:r>
      <w:r w:rsidR="00EE7207" w:rsidRPr="00AA4677">
        <w:rPr>
          <w:rFonts w:eastAsia="Times New Roman" w:cs="Times New Roman"/>
          <w:szCs w:val="24"/>
        </w:rPr>
        <w:t>an</w:t>
      </w:r>
      <w:r w:rsidRPr="00AA4677">
        <w:rPr>
          <w:rFonts w:eastAsia="Times New Roman" w:cs="Times New Roman"/>
          <w:szCs w:val="24"/>
        </w:rPr>
        <w:t xml:space="preserve"> </w:t>
      </w:r>
      <w:r w:rsidR="00EE7207" w:rsidRPr="00AA4677">
        <w:rPr>
          <w:rFonts w:eastAsia="Times New Roman" w:cs="Times New Roman"/>
          <w:szCs w:val="24"/>
        </w:rPr>
        <w:t>IRB</w:t>
      </w:r>
      <w:r w:rsidR="007A7604" w:rsidRPr="00AA4677">
        <w:rPr>
          <w:rFonts w:eastAsia="Times New Roman" w:cs="Times New Roman"/>
          <w:szCs w:val="24"/>
        </w:rPr>
        <w:t xml:space="preserve"> </w:t>
      </w:r>
      <w:r w:rsidRPr="00AA4677">
        <w:rPr>
          <w:rFonts w:eastAsia="Times New Roman" w:cs="Times New Roman"/>
          <w:szCs w:val="24"/>
        </w:rPr>
        <w:t xml:space="preserve">Chair is not acting in accordance with the </w:t>
      </w:r>
      <w:r w:rsidR="00EE7207" w:rsidRPr="00AA4677">
        <w:rPr>
          <w:rFonts w:eastAsia="Times New Roman" w:cs="Times New Roman"/>
          <w:szCs w:val="24"/>
        </w:rPr>
        <w:t>IRB</w:t>
      </w:r>
      <w:r w:rsidR="007A7604" w:rsidRPr="00AA4677">
        <w:rPr>
          <w:rFonts w:eastAsia="Times New Roman" w:cs="Times New Roman"/>
          <w:szCs w:val="24"/>
        </w:rPr>
        <w:t>’s</w:t>
      </w:r>
      <w:r w:rsidRPr="00AA4677">
        <w:rPr>
          <w:rFonts w:eastAsia="Times New Roman" w:cs="Times New Roman"/>
          <w:szCs w:val="24"/>
        </w:rPr>
        <w:t xml:space="preserve"> mission, following these policies and procedures, has an undue number of absences, or not fulfilling the responsibilities of the</w:t>
      </w:r>
      <w:r w:rsidR="007A7604"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Chair, he/she will be removed.</w:t>
      </w:r>
    </w:p>
    <w:p w14:paraId="21284B3F" w14:textId="573E410A" w:rsidR="003E7C9E" w:rsidRPr="00AA4677" w:rsidRDefault="00EA7ABF" w:rsidP="00C57C98">
      <w:pPr>
        <w:pStyle w:val="Heading3"/>
      </w:pPr>
      <w:r w:rsidRPr="00AA4677">
        <w:t>2.4.2 </w:t>
      </w:r>
      <w:r w:rsidR="003E7C9E" w:rsidRPr="00AA4677">
        <w:t xml:space="preserve">Subcommittees of </w:t>
      </w:r>
      <w:r w:rsidR="007A7604" w:rsidRPr="00AA4677">
        <w:t xml:space="preserve">the </w:t>
      </w:r>
      <w:r w:rsidR="00EE7207" w:rsidRPr="00AA4677">
        <w:t>IRB</w:t>
      </w:r>
      <w:r w:rsidR="007A7604" w:rsidRPr="00AA4677">
        <w:t xml:space="preserve"> </w:t>
      </w:r>
    </w:p>
    <w:p w14:paraId="21DB6910" w14:textId="170DA174"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81FE4" w:rsidRPr="00AA4677">
        <w:rPr>
          <w:rFonts w:eastAsia="Times New Roman" w:cs="Times New Roman"/>
          <w:szCs w:val="24"/>
        </w:rPr>
        <w:t xml:space="preserve"> </w:t>
      </w:r>
      <w:r w:rsidRPr="00AA4677">
        <w:rPr>
          <w:rFonts w:eastAsia="Times New Roman" w:cs="Times New Roman"/>
          <w:szCs w:val="24"/>
        </w:rPr>
        <w:t xml:space="preserve">Chair, or as delegated to the </w:t>
      </w:r>
      <w:r w:rsidR="000E6099" w:rsidRPr="00AA4677">
        <w:rPr>
          <w:rFonts w:eastAsia="Times New Roman" w:cs="Times New Roman"/>
          <w:szCs w:val="24"/>
        </w:rPr>
        <w:t>IRB</w:t>
      </w:r>
      <w:r w:rsidRPr="00AA4677">
        <w:rPr>
          <w:rFonts w:eastAsia="Times New Roman" w:cs="Times New Roman"/>
          <w:szCs w:val="24"/>
        </w:rPr>
        <w:t xml:space="preserve"> Administrators, may designate one or mo</w:t>
      </w:r>
      <w:r w:rsidR="000E6099" w:rsidRPr="00AA4677">
        <w:rPr>
          <w:rFonts w:eastAsia="Times New Roman" w:cs="Times New Roman"/>
          <w:szCs w:val="24"/>
        </w:rPr>
        <w:t xml:space="preserve">re other subcommittees of the </w:t>
      </w:r>
      <w:r w:rsidR="00EE7207" w:rsidRPr="00AA4677">
        <w:rPr>
          <w:rFonts w:eastAsia="Times New Roman" w:cs="Times New Roman"/>
          <w:szCs w:val="24"/>
        </w:rPr>
        <w:t>IRB</w:t>
      </w:r>
      <w:r w:rsidRPr="00AA4677">
        <w:rPr>
          <w:rFonts w:eastAsia="Times New Roman" w:cs="Times New Roman"/>
          <w:szCs w:val="24"/>
        </w:rPr>
        <w:t xml:space="preserve"> to perform duties, as appropriate, to r</w:t>
      </w:r>
      <w:r w:rsidR="000E6099" w:rsidRPr="00AA4677">
        <w:rPr>
          <w:rFonts w:eastAsia="Times New Roman" w:cs="Times New Roman"/>
          <w:szCs w:val="24"/>
        </w:rPr>
        <w:t xml:space="preserve">eview and undertake other </w:t>
      </w:r>
      <w:r w:rsidR="00EE7207" w:rsidRPr="00AA4677">
        <w:rPr>
          <w:rFonts w:eastAsia="Times New Roman" w:cs="Times New Roman"/>
          <w:szCs w:val="24"/>
        </w:rPr>
        <w:t>IRB</w:t>
      </w:r>
      <w:r w:rsidRPr="00AA4677">
        <w:rPr>
          <w:rFonts w:eastAsia="Times New Roman" w:cs="Times New Roman"/>
          <w:szCs w:val="24"/>
        </w:rPr>
        <w:t xml:space="preserve"> </w:t>
      </w:r>
      <w:r w:rsidRPr="00AA4677">
        <w:rPr>
          <w:rFonts w:eastAsia="Times New Roman" w:cs="Times New Roman"/>
          <w:szCs w:val="24"/>
        </w:rPr>
        <w:lastRenderedPageBreak/>
        <w:t xml:space="preserve">functions, and to make recommendations to </w:t>
      </w:r>
      <w:r w:rsidR="005B5ABE"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as appropriate.  </w:t>
      </w:r>
      <w:proofErr w:type="gramStart"/>
      <w:r w:rsidRPr="00AA4677">
        <w:rPr>
          <w:rFonts w:eastAsia="Times New Roman" w:cs="Times New Roman"/>
          <w:szCs w:val="24"/>
        </w:rPr>
        <w:t xml:space="preserve">The </w:t>
      </w:r>
      <w:r w:rsidR="00EE7207" w:rsidRPr="00AA4677">
        <w:rPr>
          <w:rFonts w:eastAsia="Times New Roman" w:cs="Times New Roman"/>
          <w:szCs w:val="24"/>
        </w:rPr>
        <w:t>IRB</w:t>
      </w:r>
      <w:r w:rsidR="000E6099" w:rsidRPr="00AA4677">
        <w:rPr>
          <w:rFonts w:eastAsia="Times New Roman" w:cs="Times New Roman"/>
          <w:szCs w:val="24"/>
        </w:rPr>
        <w:t xml:space="preserve"> Chair,</w:t>
      </w:r>
      <w:proofErr w:type="gramEnd"/>
      <w:r w:rsidR="000E6099" w:rsidRPr="00AA4677">
        <w:rPr>
          <w:rFonts w:eastAsia="Times New Roman" w:cs="Times New Roman"/>
          <w:szCs w:val="24"/>
        </w:rPr>
        <w:t xml:space="preserve"> </w:t>
      </w:r>
      <w:r w:rsidRPr="00AA4677">
        <w:rPr>
          <w:rFonts w:eastAsia="Times New Roman" w:cs="Times New Roman"/>
          <w:szCs w:val="24"/>
        </w:rPr>
        <w:t xml:space="preserve">will appoint </w:t>
      </w:r>
      <w:r w:rsidR="00EE7207" w:rsidRPr="00AA4677">
        <w:rPr>
          <w:rFonts w:eastAsia="Times New Roman" w:cs="Times New Roman"/>
          <w:szCs w:val="24"/>
        </w:rPr>
        <w:t>IRB</w:t>
      </w:r>
      <w:r w:rsidRPr="00AA4677">
        <w:rPr>
          <w:rFonts w:eastAsia="Times New Roman" w:cs="Times New Roman"/>
          <w:szCs w:val="24"/>
        </w:rPr>
        <w:t xml:space="preserve"> members to serve on each </w:t>
      </w:r>
      <w:r w:rsidR="00EE7207" w:rsidRPr="00AA4677">
        <w:rPr>
          <w:rFonts w:eastAsia="Times New Roman" w:cs="Times New Roman"/>
          <w:szCs w:val="24"/>
        </w:rPr>
        <w:t>IRB</w:t>
      </w:r>
      <w:r w:rsidRPr="00AA4677">
        <w:rPr>
          <w:rFonts w:eastAsia="Times New Roman" w:cs="Times New Roman"/>
          <w:szCs w:val="24"/>
        </w:rPr>
        <w:t xml:space="preserve"> Subcommittee created under this Section.  The number and composition of the </w:t>
      </w:r>
      <w:r w:rsidR="00EE7207" w:rsidRPr="00AA4677">
        <w:rPr>
          <w:rFonts w:eastAsia="Times New Roman" w:cs="Times New Roman"/>
          <w:szCs w:val="24"/>
        </w:rPr>
        <w:t>IRB</w:t>
      </w:r>
      <w:r w:rsidRPr="00AA4677">
        <w:rPr>
          <w:rFonts w:eastAsia="Times New Roman" w:cs="Times New Roman"/>
          <w:szCs w:val="24"/>
        </w:rPr>
        <w:t xml:space="preserve"> Subcommittee members shall depend on the authority delegated by the </w:t>
      </w:r>
      <w:r w:rsidR="00EE7207" w:rsidRPr="00AA4677">
        <w:rPr>
          <w:rFonts w:eastAsia="Times New Roman" w:cs="Times New Roman"/>
          <w:szCs w:val="24"/>
        </w:rPr>
        <w:t>IRB</w:t>
      </w:r>
      <w:r w:rsidRPr="00AA4677">
        <w:rPr>
          <w:rFonts w:eastAsia="Times New Roman" w:cs="Times New Roman"/>
          <w:szCs w:val="24"/>
        </w:rPr>
        <w:t xml:space="preserve"> Chair to such </w:t>
      </w:r>
      <w:r w:rsidR="00EE7207" w:rsidRPr="00AA4677">
        <w:rPr>
          <w:rFonts w:eastAsia="Times New Roman" w:cs="Times New Roman"/>
          <w:szCs w:val="24"/>
        </w:rPr>
        <w:t>IRB</w:t>
      </w:r>
      <w:r w:rsidRPr="00AA4677">
        <w:rPr>
          <w:rFonts w:eastAsia="Times New Roman" w:cs="Times New Roman"/>
          <w:szCs w:val="24"/>
        </w:rPr>
        <w:t xml:space="preserve"> Subcommittee (e.g., merely making recommendations versus decision-making authority). If the </w:t>
      </w:r>
      <w:r w:rsidR="00EE7207" w:rsidRPr="00AA4677">
        <w:rPr>
          <w:rFonts w:eastAsia="Times New Roman" w:cs="Times New Roman"/>
          <w:szCs w:val="24"/>
        </w:rPr>
        <w:t>IRB</w:t>
      </w:r>
      <w:r w:rsidRPr="00AA4677">
        <w:rPr>
          <w:rFonts w:eastAsia="Times New Roman" w:cs="Times New Roman"/>
          <w:szCs w:val="24"/>
        </w:rPr>
        <w:t xml:space="preserve"> Subcommittee has decision-making authority, then its members and composition must comply with the requirements specified in Section 2.6 of this document. Members of the </w:t>
      </w:r>
      <w:r w:rsidR="00EE7207" w:rsidRPr="00AA4677">
        <w:rPr>
          <w:rFonts w:eastAsia="Times New Roman" w:cs="Times New Roman"/>
          <w:szCs w:val="24"/>
        </w:rPr>
        <w:t>IRB</w:t>
      </w:r>
      <w:r w:rsidRPr="00AA4677">
        <w:rPr>
          <w:rFonts w:eastAsia="Times New Roman" w:cs="Times New Roman"/>
          <w:szCs w:val="24"/>
        </w:rPr>
        <w:t xml:space="preserve"> Subcommittee must be experienced in terms of seniority on the </w:t>
      </w:r>
      <w:proofErr w:type="gramStart"/>
      <w:r w:rsidR="00EE7207" w:rsidRPr="00AA4677">
        <w:rPr>
          <w:rFonts w:eastAsia="Times New Roman" w:cs="Times New Roman"/>
          <w:szCs w:val="24"/>
        </w:rPr>
        <w:t>IRB</w:t>
      </w:r>
      <w:r w:rsidRPr="00AA4677">
        <w:rPr>
          <w:rFonts w:eastAsia="Times New Roman" w:cs="Times New Roman"/>
          <w:szCs w:val="24"/>
        </w:rPr>
        <w:t>, and</w:t>
      </w:r>
      <w:proofErr w:type="gramEnd"/>
      <w:r w:rsidRPr="00AA4677">
        <w:rPr>
          <w:rFonts w:eastAsia="Times New Roman" w:cs="Times New Roman"/>
          <w:szCs w:val="24"/>
        </w:rPr>
        <w:t xml:space="preserve"> must be matched as closely as possible with their field of expertis</w:t>
      </w:r>
      <w:r w:rsidR="000E6099" w:rsidRPr="00AA4677">
        <w:rPr>
          <w:rFonts w:eastAsia="Times New Roman" w:cs="Times New Roman"/>
          <w:szCs w:val="24"/>
        </w:rPr>
        <w:t xml:space="preserve">e to the study assigned to </w:t>
      </w:r>
      <w:r w:rsidR="005F1064" w:rsidRPr="00AA4677">
        <w:rPr>
          <w:rFonts w:eastAsia="Times New Roman" w:cs="Times New Roman"/>
          <w:szCs w:val="24"/>
        </w:rPr>
        <w:t xml:space="preserve">the </w:t>
      </w:r>
      <w:r w:rsidR="00EE7207" w:rsidRPr="00AA4677">
        <w:rPr>
          <w:rFonts w:eastAsia="Times New Roman" w:cs="Times New Roman"/>
          <w:szCs w:val="24"/>
        </w:rPr>
        <w:t>IRB</w:t>
      </w:r>
      <w:r w:rsidR="005F1064" w:rsidRPr="00AA4677">
        <w:rPr>
          <w:rFonts w:eastAsia="Times New Roman" w:cs="Times New Roman"/>
          <w:szCs w:val="24"/>
        </w:rPr>
        <w:t xml:space="preserve"> Subcommittee</w:t>
      </w:r>
      <w:r w:rsidRPr="00AA4677">
        <w:rPr>
          <w:rFonts w:eastAsia="Times New Roman" w:cs="Times New Roman"/>
          <w:szCs w:val="24"/>
        </w:rPr>
        <w:t>.</w:t>
      </w:r>
    </w:p>
    <w:p w14:paraId="5FD6A042" w14:textId="601AA01C" w:rsidR="003E7C9E" w:rsidRPr="00AA4677" w:rsidRDefault="007A7604" w:rsidP="00696B35">
      <w:pPr>
        <w:pStyle w:val="Heading2"/>
      </w:pPr>
      <w:bookmarkStart w:id="40" w:name="_Toc192678156"/>
      <w:r w:rsidRPr="00AA4677">
        <w:t xml:space="preserve">2.5 </w:t>
      </w:r>
      <w:r w:rsidR="003E7C9E" w:rsidRPr="00AA4677">
        <w:t>Membership</w:t>
      </w:r>
      <w:r w:rsidR="005E64CB" w:rsidRPr="00AA4677">
        <w:t xml:space="preserve"> of the </w:t>
      </w:r>
      <w:r w:rsidR="00EE7207" w:rsidRPr="00AA4677">
        <w:t>IRB</w:t>
      </w:r>
      <w:bookmarkEnd w:id="40"/>
      <w:r w:rsidR="005E64CB" w:rsidRPr="00AA4677">
        <w:t xml:space="preserve"> </w:t>
      </w:r>
    </w:p>
    <w:p w14:paraId="69E36145" w14:textId="094A83B5" w:rsidR="003E7C9E" w:rsidRPr="00AA4677" w:rsidRDefault="00EE7207"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w:t>
      </w:r>
      <w:r w:rsidR="003E7C9E" w:rsidRPr="00AA4677">
        <w:rPr>
          <w:rFonts w:eastAsia="Times New Roman" w:cs="Times New Roman"/>
          <w:szCs w:val="24"/>
        </w:rPr>
        <w:t xml:space="preserve"> members are selected based on appropriate diversity, including consideration of race, gender, cultural backgrounds, specific community concerns in addition to representation by multiple, diverse professions, knowledge and experience with vulnerable subjects, and inclusion of both scientific and non-scientific members.  The structure and composition of </w:t>
      </w:r>
      <w:r w:rsidR="005B5ABE" w:rsidRPr="00AA4677">
        <w:rPr>
          <w:rFonts w:eastAsia="Times New Roman" w:cs="Times New Roman"/>
          <w:szCs w:val="24"/>
        </w:rPr>
        <w:t xml:space="preserve">the </w:t>
      </w:r>
      <w:r w:rsidRPr="00AA4677">
        <w:rPr>
          <w:rFonts w:eastAsia="Times New Roman" w:cs="Times New Roman"/>
          <w:szCs w:val="24"/>
        </w:rPr>
        <w:t>IRB</w:t>
      </w:r>
      <w:r w:rsidR="003E7C9E" w:rsidRPr="00AA4677">
        <w:rPr>
          <w:rFonts w:eastAsia="Times New Roman" w:cs="Times New Roman"/>
          <w:szCs w:val="24"/>
        </w:rPr>
        <w:t xml:space="preserve"> must be appropriate to the amount and nature of the research that is reviewed.  Every effort is made to have member representation that </w:t>
      </w:r>
      <w:proofErr w:type="gramStart"/>
      <w:r w:rsidR="003E7C9E" w:rsidRPr="00AA4677">
        <w:rPr>
          <w:rFonts w:eastAsia="Times New Roman" w:cs="Times New Roman"/>
          <w:szCs w:val="24"/>
        </w:rPr>
        <w:t>has an understanding of</w:t>
      </w:r>
      <w:proofErr w:type="gramEnd"/>
      <w:r w:rsidR="003E7C9E" w:rsidRPr="00AA4677">
        <w:rPr>
          <w:rFonts w:eastAsia="Times New Roman" w:cs="Times New Roman"/>
          <w:szCs w:val="24"/>
        </w:rPr>
        <w:t xml:space="preserve"> the areas of specialty that encompasses most of the research </w:t>
      </w:r>
      <w:proofErr w:type="gramStart"/>
      <w:r w:rsidR="003E7C9E" w:rsidRPr="00AA4677">
        <w:rPr>
          <w:rFonts w:eastAsia="Times New Roman" w:cs="Times New Roman"/>
          <w:szCs w:val="24"/>
        </w:rPr>
        <w:t>performed</w:t>
      </w:r>
      <w:proofErr w:type="gramEnd"/>
      <w:r w:rsidR="003E7C9E" w:rsidRPr="00AA4677">
        <w:rPr>
          <w:rFonts w:eastAsia="Times New Roman" w:cs="Times New Roman"/>
          <w:szCs w:val="24"/>
        </w:rPr>
        <w:t xml:space="preserve"> at </w:t>
      </w:r>
      <w:r w:rsidR="00F81FE4" w:rsidRPr="00AA4677">
        <w:rPr>
          <w:rFonts w:eastAsia="Times New Roman" w:cs="Times New Roman"/>
          <w:szCs w:val="24"/>
        </w:rPr>
        <w:t>the University</w:t>
      </w:r>
      <w:r w:rsidR="003E7C9E" w:rsidRPr="00AA4677">
        <w:rPr>
          <w:rFonts w:eastAsia="Times New Roman" w:cs="Times New Roman"/>
          <w:szCs w:val="24"/>
        </w:rPr>
        <w:t>. </w:t>
      </w:r>
    </w:p>
    <w:p w14:paraId="2BB8B44F" w14:textId="0AAB5C5F" w:rsidR="00A57B73" w:rsidRPr="00AA4677" w:rsidRDefault="00A57B73" w:rsidP="00A57B73">
      <w:pPr>
        <w:rPr>
          <w:rFonts w:eastAsia="Times New Roman" w:cs="Times New Roman"/>
          <w:szCs w:val="24"/>
        </w:rPr>
      </w:pPr>
      <w:r w:rsidRPr="00AA4677">
        <w:t xml:space="preserve">When the IRB regularly reviews research that involves subjects vulnerable to coercion or undue influence, such as children, prisoners, individuals with impaired decision-making capacity, or economically or educationally disadvantaged </w:t>
      </w:r>
      <w:r w:rsidR="004E6EB9" w:rsidRPr="00AA4677">
        <w:t>persons</w:t>
      </w:r>
      <w:r w:rsidRPr="00AA4677">
        <w:t xml:space="preserve"> (e.g., IRB members, alternate members, or consultants) who are knowledgeable about and experienced with such subjects should be present during the review of the research.</w:t>
      </w:r>
      <w:r w:rsidR="00125FFC" w:rsidRPr="00AA4677">
        <w:t xml:space="preserve"> NOTE: Pregnant women are also considered a vulnerable population per FDA regulations.</w:t>
      </w:r>
    </w:p>
    <w:p w14:paraId="53179458" w14:textId="7F07EC99" w:rsidR="003E7C9E" w:rsidRPr="00AA4677" w:rsidRDefault="005F1064"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must promote respect for its advice and counsel in safeguarding the rights and welfare of human subjects; and possess the professional competence necessary to review specific research activities.  </w:t>
      </w:r>
      <w:r w:rsidR="004E61B4" w:rsidRPr="00AA4677">
        <w:rPr>
          <w:rFonts w:eastAsia="Times New Roman" w:cs="Times New Roman"/>
          <w:szCs w:val="24"/>
        </w:rPr>
        <w:t>IRB members are prohibited from owning equity in the organization.</w:t>
      </w:r>
    </w:p>
    <w:p w14:paraId="4AA2CC9C" w14:textId="556CA19F"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Individuals from the Offices of Sponsored Programs, Grants Management, </w:t>
      </w:r>
      <w:r w:rsidR="00F81FE4" w:rsidRPr="00AA4677">
        <w:rPr>
          <w:rFonts w:eastAsia="Times New Roman" w:cs="Times New Roman"/>
          <w:szCs w:val="24"/>
        </w:rPr>
        <w:t>Proposal</w:t>
      </w:r>
      <w:r w:rsidRPr="00AA4677">
        <w:rPr>
          <w:rFonts w:eastAsia="Times New Roman" w:cs="Times New Roman"/>
          <w:szCs w:val="24"/>
        </w:rPr>
        <w:t xml:space="preserve"> Development, or </w:t>
      </w:r>
      <w:r w:rsidR="00B3048B" w:rsidRPr="00AA4677">
        <w:rPr>
          <w:rFonts w:eastAsia="Times New Roman" w:cs="Times New Roman"/>
          <w:szCs w:val="24"/>
        </w:rPr>
        <w:t>Intellectual Property Partners</w:t>
      </w:r>
      <w:r w:rsidR="003E1659" w:rsidRPr="00AA4677">
        <w:rPr>
          <w:rFonts w:eastAsia="Times New Roman" w:cs="Times New Roman"/>
          <w:szCs w:val="24"/>
        </w:rPr>
        <w:t xml:space="preserve"> </w:t>
      </w:r>
      <w:r w:rsidRPr="00AA4677">
        <w:rPr>
          <w:rFonts w:eastAsia="Times New Roman" w:cs="Times New Roman"/>
          <w:szCs w:val="24"/>
        </w:rPr>
        <w:t xml:space="preserve">may not serve as members of </w:t>
      </w:r>
      <w:r w:rsidR="000E609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or carry out day-to-day operations of the review process. Individuals from these offices may provide information to </w:t>
      </w:r>
      <w:r w:rsidR="000E6099" w:rsidRPr="00AA4677">
        <w:rPr>
          <w:rFonts w:eastAsia="Times New Roman" w:cs="Times New Roman"/>
          <w:szCs w:val="24"/>
        </w:rPr>
        <w:t xml:space="preserve">the </w:t>
      </w:r>
      <w:r w:rsidR="00EE7207" w:rsidRPr="00AA4677">
        <w:rPr>
          <w:rFonts w:eastAsia="Times New Roman" w:cs="Times New Roman"/>
          <w:szCs w:val="24"/>
        </w:rPr>
        <w:t>IRB</w:t>
      </w:r>
      <w:r w:rsidR="000E6099" w:rsidRPr="00AA4677">
        <w:rPr>
          <w:rFonts w:eastAsia="Times New Roman" w:cs="Times New Roman"/>
          <w:szCs w:val="24"/>
        </w:rPr>
        <w:t xml:space="preserve"> </w:t>
      </w:r>
      <w:r w:rsidRPr="00AA4677">
        <w:rPr>
          <w:rFonts w:eastAsia="Times New Roman" w:cs="Times New Roman"/>
          <w:szCs w:val="24"/>
        </w:rPr>
        <w:t xml:space="preserve">and attend </w:t>
      </w:r>
      <w:r w:rsidR="00EE7207" w:rsidRPr="00AA4677">
        <w:rPr>
          <w:rFonts w:eastAsia="Times New Roman" w:cs="Times New Roman"/>
          <w:szCs w:val="24"/>
        </w:rPr>
        <w:t>IRB</w:t>
      </w:r>
      <w:r w:rsidR="000E6099" w:rsidRPr="00AA4677">
        <w:rPr>
          <w:rFonts w:eastAsia="Times New Roman" w:cs="Times New Roman"/>
          <w:szCs w:val="24"/>
        </w:rPr>
        <w:t xml:space="preserve"> </w:t>
      </w:r>
      <w:r w:rsidRPr="00AA4677">
        <w:rPr>
          <w:rFonts w:eastAsia="Times New Roman" w:cs="Times New Roman"/>
          <w:szCs w:val="24"/>
        </w:rPr>
        <w:t>meetings as guests.</w:t>
      </w:r>
    </w:p>
    <w:p w14:paraId="629051F0" w14:textId="6C36D074" w:rsidR="003E7C9E" w:rsidRPr="00AA4677" w:rsidRDefault="003E7C9E" w:rsidP="00696B35">
      <w:pPr>
        <w:pStyle w:val="Heading2"/>
      </w:pPr>
      <w:bookmarkStart w:id="41" w:name="_Toc192678157"/>
      <w:r w:rsidRPr="00AA4677">
        <w:lastRenderedPageBreak/>
        <w:t xml:space="preserve">2.6 Composition of </w:t>
      </w:r>
      <w:r w:rsidR="00116C1D" w:rsidRPr="00AA4677">
        <w:t xml:space="preserve">the </w:t>
      </w:r>
      <w:r w:rsidR="00EE7207" w:rsidRPr="00AA4677">
        <w:t>IRB</w:t>
      </w:r>
      <w:bookmarkEnd w:id="41"/>
      <w:r w:rsidR="00116C1D" w:rsidRPr="00AA4677">
        <w:t xml:space="preserve"> </w:t>
      </w:r>
    </w:p>
    <w:p w14:paraId="5CE5A205" w14:textId="67D2EF4D" w:rsidR="000B0AAD" w:rsidRPr="00AA4677" w:rsidRDefault="000E6099">
      <w:pPr>
        <w:pStyle w:val="ListParagraph"/>
        <w:numPr>
          <w:ilvl w:val="0"/>
          <w:numId w:val="8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will have at least five members with varying backgrounds to promote complete and adequate review of research activi</w:t>
      </w:r>
      <w:r w:rsidR="00021687" w:rsidRPr="00AA4677">
        <w:rPr>
          <w:rFonts w:eastAsia="Times New Roman" w:cs="Times New Roman"/>
          <w:szCs w:val="24"/>
        </w:rPr>
        <w:t>ties commonly conducted by the University</w:t>
      </w:r>
      <w:r w:rsidR="003E7C9E" w:rsidRPr="00AA4677">
        <w:rPr>
          <w:rFonts w:eastAsia="Times New Roman" w:cs="Times New Roman"/>
          <w:szCs w:val="24"/>
        </w:rPr>
        <w:t>.</w:t>
      </w:r>
    </w:p>
    <w:p w14:paraId="70865323" w14:textId="69523B81" w:rsidR="003E7C9E" w:rsidRPr="00AA4677" w:rsidRDefault="000E6099">
      <w:pPr>
        <w:pStyle w:val="ListParagraph"/>
        <w:numPr>
          <w:ilvl w:val="0"/>
          <w:numId w:val="8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3E7C9E" w:rsidRPr="00AA4677">
        <w:rPr>
          <w:rFonts w:eastAsia="Times New Roman" w:cs="Times New Roman"/>
          <w:szCs w:val="24"/>
        </w:rPr>
        <w:t xml:space="preserve">will be sufficiently qualified through the experience and expertise of its members, and the diversity of the members, including consideration of race, gender, and cultural backgrounds and sensitivity to such issues as community attitudes, to promote respect for its advice and counsel in safeguarding the rights and welfare of human </w:t>
      </w:r>
      <w:proofErr w:type="spellStart"/>
      <w:r w:rsidR="003E7C9E" w:rsidRPr="00AA4677">
        <w:rPr>
          <w:rFonts w:eastAsia="Times New Roman" w:cs="Times New Roman"/>
          <w:szCs w:val="24"/>
        </w:rPr>
        <w:t>subjects.In</w:t>
      </w:r>
      <w:proofErr w:type="spellEnd"/>
      <w:r w:rsidR="003E7C9E" w:rsidRPr="00AA4677">
        <w:rPr>
          <w:rFonts w:eastAsia="Times New Roman" w:cs="Times New Roman"/>
          <w:szCs w:val="24"/>
        </w:rPr>
        <w:t xml:space="preserve"> addition to possessing the professional competence necessary to review specific research activities, </w:t>
      </w: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will be able to ascertain the acceptability of proposed research in terms of </w:t>
      </w:r>
      <w:r w:rsidR="00021687" w:rsidRPr="00AA4677">
        <w:rPr>
          <w:rFonts w:eastAsia="Times New Roman" w:cs="Times New Roman"/>
          <w:szCs w:val="24"/>
        </w:rPr>
        <w:t>the University</w:t>
      </w:r>
      <w:r w:rsidR="003E7C9E" w:rsidRPr="00AA4677">
        <w:rPr>
          <w:rFonts w:eastAsia="Times New Roman" w:cs="Times New Roman"/>
          <w:szCs w:val="24"/>
        </w:rPr>
        <w:t xml:space="preserve"> policies and regulations, applicable law, and standards of professional conduct and practice. </w:t>
      </w: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will therefore include </w:t>
      </w:r>
      <w:proofErr w:type="gramStart"/>
      <w:r w:rsidR="003E7C9E" w:rsidRPr="00AA4677">
        <w:rPr>
          <w:rFonts w:eastAsia="Times New Roman" w:cs="Times New Roman"/>
          <w:szCs w:val="24"/>
        </w:rPr>
        <w:t>perso</w:t>
      </w:r>
      <w:r w:rsidR="00766AF7" w:rsidRPr="00AA4677">
        <w:rPr>
          <w:rFonts w:eastAsia="Times New Roman" w:cs="Times New Roman"/>
          <w:szCs w:val="24"/>
        </w:rPr>
        <w:t>ns</w:t>
      </w:r>
      <w:proofErr w:type="gramEnd"/>
      <w:r w:rsidR="00766AF7" w:rsidRPr="00AA4677">
        <w:rPr>
          <w:rFonts w:eastAsia="Times New Roman" w:cs="Times New Roman"/>
          <w:szCs w:val="24"/>
        </w:rPr>
        <w:t xml:space="preserve"> knowledgeable in these areas.</w:t>
      </w:r>
    </w:p>
    <w:p w14:paraId="157D9B06" w14:textId="7332DB60" w:rsidR="00DE557E" w:rsidRPr="00AA4677" w:rsidRDefault="00DE557E">
      <w:pPr>
        <w:pStyle w:val="ListParagraph"/>
        <w:numPr>
          <w:ilvl w:val="0"/>
          <w:numId w:val="85"/>
        </w:numPr>
      </w:pPr>
      <w:bookmarkStart w:id="42" w:name="_Hlk498931580"/>
      <w:r w:rsidRPr="00AA4677">
        <w:t xml:space="preserve">The IRB will include members who are knowledgeable about and experienced working with subjects vulnerable to coercion or undue influence (e.g., children, prisoners, individuals with impaired decision-making capacity, or economically or educationally disadvantaged </w:t>
      </w:r>
      <w:proofErr w:type="gramStart"/>
      <w:r w:rsidRPr="00AA4677">
        <w:t>persons</w:t>
      </w:r>
      <w:proofErr w:type="gramEnd"/>
      <w:r w:rsidRPr="00AA4677">
        <w:t>) that are regularly included in the research under its review</w:t>
      </w:r>
      <w:bookmarkEnd w:id="42"/>
      <w:r w:rsidR="00DB52CC" w:rsidRPr="00AA4677">
        <w:t xml:space="preserve"> and will be present when such research is under review</w:t>
      </w:r>
      <w:r w:rsidRPr="00AA4677">
        <w:t>. Note: For research subject to FDA, pregnant women remain as an example of vulnerable subjects.</w:t>
      </w:r>
    </w:p>
    <w:p w14:paraId="145321B2" w14:textId="620A39F5" w:rsidR="003E7C9E" w:rsidRPr="00AA4677" w:rsidRDefault="003E7C9E">
      <w:pPr>
        <w:pStyle w:val="ListParagraph"/>
        <w:numPr>
          <w:ilvl w:val="0"/>
          <w:numId w:val="8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Every nondiscriminatory effort will be made to ensure that </w:t>
      </w:r>
      <w:r w:rsidR="000E609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does not consist entirely of men or entirely of women, including the institution's consideration of qualified persons of both sexes, so long as no selection is made to </w:t>
      </w:r>
      <w:r w:rsidR="000E6099" w:rsidRPr="00AA4677">
        <w:rPr>
          <w:rFonts w:eastAsia="Times New Roman" w:cs="Times New Roman"/>
          <w:szCs w:val="24"/>
        </w:rPr>
        <w:t xml:space="preserve">the </w:t>
      </w:r>
      <w:r w:rsidR="00EE7207" w:rsidRPr="00AA4677">
        <w:rPr>
          <w:rFonts w:eastAsia="Times New Roman" w:cs="Times New Roman"/>
          <w:szCs w:val="24"/>
        </w:rPr>
        <w:t>IRB</w:t>
      </w:r>
      <w:r w:rsidR="000E6099" w:rsidRPr="00AA4677">
        <w:rPr>
          <w:rFonts w:eastAsia="Times New Roman" w:cs="Times New Roman"/>
          <w:szCs w:val="24"/>
        </w:rPr>
        <w:t xml:space="preserve"> </w:t>
      </w:r>
      <w:proofErr w:type="gramStart"/>
      <w:r w:rsidR="000E6099" w:rsidRPr="00AA4677">
        <w:rPr>
          <w:rFonts w:eastAsia="Times New Roman" w:cs="Times New Roman"/>
          <w:szCs w:val="24"/>
        </w:rPr>
        <w:t>on the basis of</w:t>
      </w:r>
      <w:proofErr w:type="gramEnd"/>
      <w:r w:rsidR="000E6099" w:rsidRPr="00AA4677">
        <w:rPr>
          <w:rFonts w:eastAsia="Times New Roman" w:cs="Times New Roman"/>
          <w:szCs w:val="24"/>
        </w:rPr>
        <w:t xml:space="preserve"> gender</w:t>
      </w:r>
      <w:r w:rsidR="00B72AC3" w:rsidRPr="00AA4677">
        <w:rPr>
          <w:rFonts w:eastAsia="Times New Roman" w:cs="Times New Roman"/>
          <w:szCs w:val="24"/>
        </w:rPr>
        <w:t xml:space="preserve"> (FDA requirement)</w:t>
      </w:r>
      <w:r w:rsidR="000E6099" w:rsidRPr="00AA4677">
        <w:rPr>
          <w:rFonts w:eastAsia="Times New Roman" w:cs="Times New Roman"/>
          <w:szCs w:val="24"/>
        </w:rPr>
        <w:t xml:space="preserve">. The </w:t>
      </w:r>
      <w:r w:rsidR="00EE7207" w:rsidRPr="00AA4677">
        <w:rPr>
          <w:rFonts w:eastAsia="Times New Roman" w:cs="Times New Roman"/>
          <w:szCs w:val="24"/>
        </w:rPr>
        <w:t>IRB</w:t>
      </w:r>
      <w:r w:rsidRPr="00AA4677">
        <w:rPr>
          <w:rFonts w:eastAsia="Times New Roman" w:cs="Times New Roman"/>
          <w:szCs w:val="24"/>
        </w:rPr>
        <w:t xml:space="preserve"> shall not consist entirely of members of one profession.</w:t>
      </w:r>
    </w:p>
    <w:p w14:paraId="54405ECA" w14:textId="3F0EDCC4" w:rsidR="003E7C9E" w:rsidRPr="00AA4677" w:rsidRDefault="000E6099">
      <w:pPr>
        <w:pStyle w:val="ListParagraph"/>
        <w:numPr>
          <w:ilvl w:val="0"/>
          <w:numId w:val="8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3E7C9E" w:rsidRPr="00AA4677">
        <w:rPr>
          <w:rFonts w:eastAsia="Times New Roman" w:cs="Times New Roman"/>
          <w:szCs w:val="24"/>
        </w:rPr>
        <w:t>includes at least one member whose primary concerns are in scientific areas and at least one member whose primary concerns are in nonscientific areas.</w:t>
      </w:r>
    </w:p>
    <w:p w14:paraId="44813CE8" w14:textId="3838323B" w:rsidR="003E7C9E" w:rsidRPr="00AA4677" w:rsidRDefault="000E6099">
      <w:pPr>
        <w:pStyle w:val="ListParagraph"/>
        <w:numPr>
          <w:ilvl w:val="0"/>
          <w:numId w:val="8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includes at least one member who is not</w:t>
      </w:r>
      <w:r w:rsidR="00021687" w:rsidRPr="00AA4677">
        <w:rPr>
          <w:rFonts w:eastAsia="Times New Roman" w:cs="Times New Roman"/>
          <w:szCs w:val="24"/>
        </w:rPr>
        <w:t xml:space="preserve"> otherwise affiliated with the University </w:t>
      </w:r>
      <w:r w:rsidR="003E7C9E" w:rsidRPr="00AA4677">
        <w:rPr>
          <w:rFonts w:eastAsia="Times New Roman" w:cs="Times New Roman"/>
          <w:szCs w:val="24"/>
        </w:rPr>
        <w:t xml:space="preserve">and who is not part of the immediate family of a person who is affiliated with the </w:t>
      </w:r>
      <w:r w:rsidR="00021687" w:rsidRPr="00AA4677">
        <w:rPr>
          <w:rFonts w:eastAsia="Times New Roman" w:cs="Times New Roman"/>
          <w:szCs w:val="24"/>
        </w:rPr>
        <w:t>University</w:t>
      </w:r>
      <w:r w:rsidR="003E7C9E" w:rsidRPr="00AA4677">
        <w:rPr>
          <w:rFonts w:eastAsia="Times New Roman" w:cs="Times New Roman"/>
          <w:szCs w:val="24"/>
        </w:rPr>
        <w:t>.</w:t>
      </w:r>
    </w:p>
    <w:p w14:paraId="2D0A5BBC" w14:textId="17E08E45" w:rsidR="003E7C9E" w:rsidRPr="00AA4677" w:rsidRDefault="003E7C9E">
      <w:pPr>
        <w:pStyle w:val="ListParagraph"/>
        <w:numPr>
          <w:ilvl w:val="0"/>
          <w:numId w:val="8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includes at least one member who represents the general perspective of </w:t>
      </w:r>
      <w:r w:rsidR="00BF7470" w:rsidRPr="00AA4677">
        <w:rPr>
          <w:rFonts w:eastAsia="Times New Roman" w:cs="Times New Roman"/>
          <w:szCs w:val="24"/>
        </w:rPr>
        <w:t>subject</w:t>
      </w:r>
      <w:r w:rsidRPr="00AA4677">
        <w:rPr>
          <w:rFonts w:eastAsia="Times New Roman" w:cs="Times New Roman"/>
          <w:szCs w:val="24"/>
        </w:rPr>
        <w:t>s.</w:t>
      </w:r>
    </w:p>
    <w:p w14:paraId="016E11C5" w14:textId="2804CAF6" w:rsidR="003E7C9E" w:rsidRPr="00AA4677" w:rsidRDefault="003E7C9E">
      <w:pPr>
        <w:pStyle w:val="ListParagraph"/>
        <w:numPr>
          <w:ilvl w:val="0"/>
          <w:numId w:val="8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One member may satisfy more than one membership category.</w:t>
      </w:r>
    </w:p>
    <w:p w14:paraId="41D7DA5D" w14:textId="0769B497" w:rsidR="00E820CF" w:rsidRPr="00AA4677" w:rsidRDefault="003E7C9E">
      <w:pPr>
        <w:pStyle w:val="ListParagraph"/>
        <w:numPr>
          <w:ilvl w:val="0"/>
          <w:numId w:val="85"/>
        </w:numPr>
        <w:shd w:val="clear" w:color="auto" w:fill="FFFFFF"/>
        <w:tabs>
          <w:tab w:val="clear" w:pos="360"/>
          <w:tab w:val="num" w:pos="0"/>
        </w:tabs>
        <w:spacing w:before="100" w:beforeAutospacing="1" w:after="100" w:afterAutospacing="1" w:line="240" w:lineRule="auto"/>
      </w:pPr>
      <w:r w:rsidRPr="00AA4677">
        <w:rPr>
          <w:rFonts w:eastAsia="Times New Roman" w:cs="Times New Roman"/>
          <w:szCs w:val="24"/>
        </w:rPr>
        <w:t>ORC</w:t>
      </w:r>
      <w:r w:rsidR="003E1659" w:rsidRPr="00AA4677">
        <w:rPr>
          <w:rFonts w:eastAsia="Times New Roman" w:cs="Times New Roman"/>
          <w:szCs w:val="24"/>
        </w:rPr>
        <w:t xml:space="preserve"> staff</w:t>
      </w:r>
      <w:r w:rsidRPr="00AA4677">
        <w:rPr>
          <w:rFonts w:eastAsia="Times New Roman" w:cs="Times New Roman"/>
          <w:szCs w:val="24"/>
        </w:rPr>
        <w:t xml:space="preserve"> may be voting members of </w:t>
      </w:r>
      <w:r w:rsidR="000E609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w:t>
      </w:r>
    </w:p>
    <w:p w14:paraId="4C9A5F46" w14:textId="2D407EC7" w:rsidR="003E7C9E" w:rsidRPr="00AA4677" w:rsidRDefault="003E7C9E" w:rsidP="00696B35">
      <w:pPr>
        <w:pStyle w:val="Heading2"/>
      </w:pPr>
      <w:bookmarkStart w:id="43" w:name="_Toc192678158"/>
      <w:r w:rsidRPr="00AA4677">
        <w:t xml:space="preserve">2.7 Appointment of Members to </w:t>
      </w:r>
      <w:r w:rsidR="000E6099" w:rsidRPr="00AA4677">
        <w:t xml:space="preserve">the </w:t>
      </w:r>
      <w:r w:rsidR="00EE7207" w:rsidRPr="00AA4677">
        <w:t>IRB</w:t>
      </w:r>
      <w:bookmarkEnd w:id="43"/>
    </w:p>
    <w:p w14:paraId="6B0975C0" w14:textId="642409D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Chair</w:t>
      </w:r>
      <w:r w:rsidR="00C35F41" w:rsidRPr="00AA4677">
        <w:rPr>
          <w:rFonts w:eastAsia="Times New Roman" w:cs="Times New Roman"/>
          <w:szCs w:val="24"/>
        </w:rPr>
        <w:t>s</w:t>
      </w:r>
      <w:r w:rsidRPr="00AA4677">
        <w:rPr>
          <w:rFonts w:eastAsia="Times New Roman" w:cs="Times New Roman"/>
          <w:szCs w:val="24"/>
        </w:rPr>
        <w:t>,</w:t>
      </w:r>
      <w:r w:rsidR="00C35F41" w:rsidRPr="00AA4677">
        <w:rPr>
          <w:rFonts w:eastAsia="Times New Roman" w:cs="Times New Roman"/>
          <w:szCs w:val="24"/>
        </w:rPr>
        <w:t xml:space="preserve"> </w:t>
      </w:r>
      <w:r w:rsidR="00F82E75" w:rsidRPr="00AA4677">
        <w:rPr>
          <w:rFonts w:eastAsia="Times New Roman" w:cs="Times New Roman"/>
          <w:szCs w:val="24"/>
        </w:rPr>
        <w:t>AVP-RC</w:t>
      </w:r>
      <w:r w:rsidR="002C4907" w:rsidRPr="00AA4677">
        <w:rPr>
          <w:rFonts w:eastAsia="Times New Roman" w:cs="Times New Roman"/>
          <w:szCs w:val="24"/>
        </w:rPr>
        <w:t xml:space="preserve"> or </w:t>
      </w:r>
      <w:r w:rsidR="00C35F41" w:rsidRPr="00AA4677">
        <w:rPr>
          <w:rFonts w:eastAsia="Times New Roman" w:cs="Times New Roman"/>
          <w:szCs w:val="24"/>
        </w:rPr>
        <w:t>staff</w:t>
      </w:r>
      <w:r w:rsidR="002C4907" w:rsidRPr="00AA4677">
        <w:rPr>
          <w:rFonts w:eastAsia="Times New Roman" w:cs="Times New Roman"/>
          <w:szCs w:val="24"/>
        </w:rPr>
        <w:t xml:space="preserve"> of ORC</w:t>
      </w:r>
      <w:r w:rsidR="00C35F41" w:rsidRPr="00AA4677">
        <w:rPr>
          <w:rFonts w:eastAsia="Times New Roman" w:cs="Times New Roman"/>
          <w:szCs w:val="24"/>
        </w:rPr>
        <w:t>,</w:t>
      </w:r>
      <w:r w:rsidRPr="00AA4677">
        <w:rPr>
          <w:rFonts w:eastAsia="Times New Roman" w:cs="Times New Roman"/>
          <w:szCs w:val="24"/>
        </w:rPr>
        <w:t xml:space="preserve"> </w:t>
      </w:r>
      <w:r w:rsidR="002C4907" w:rsidRPr="00AA4677">
        <w:rPr>
          <w:rFonts w:eastAsia="Times New Roman" w:cs="Times New Roman"/>
          <w:szCs w:val="24"/>
        </w:rPr>
        <w:t xml:space="preserve">IRB </w:t>
      </w:r>
      <w:r w:rsidR="00C35F41" w:rsidRPr="00AA4677">
        <w:rPr>
          <w:rFonts w:eastAsia="Times New Roman" w:cs="Times New Roman"/>
          <w:szCs w:val="24"/>
        </w:rPr>
        <w:t>membership, or IO can identify</w:t>
      </w:r>
      <w:r w:rsidRPr="00AA4677">
        <w:rPr>
          <w:rFonts w:eastAsia="Times New Roman" w:cs="Times New Roman"/>
          <w:szCs w:val="24"/>
        </w:rPr>
        <w:t xml:space="preserve"> </w:t>
      </w:r>
      <w:r w:rsidR="00C35F41" w:rsidRPr="00AA4677">
        <w:rPr>
          <w:rFonts w:eastAsia="Times New Roman" w:cs="Times New Roman"/>
          <w:szCs w:val="24"/>
        </w:rPr>
        <w:t xml:space="preserve">the </w:t>
      </w:r>
      <w:r w:rsidRPr="00AA4677">
        <w:rPr>
          <w:rFonts w:eastAsia="Times New Roman" w:cs="Times New Roman"/>
          <w:szCs w:val="24"/>
        </w:rPr>
        <w:t>need for a new or replacement member, or alternate member. A candidate may be nominated by any of these individuals, department chairs, or by other applicable officials within the</w:t>
      </w:r>
      <w:r w:rsidR="002C4907" w:rsidRPr="00AA4677">
        <w:rPr>
          <w:rFonts w:eastAsia="Times New Roman" w:cs="Times New Roman"/>
          <w:szCs w:val="24"/>
        </w:rPr>
        <w:t xml:space="preserve"> University</w:t>
      </w:r>
      <w:r w:rsidRPr="00AA4677">
        <w:rPr>
          <w:rFonts w:eastAsia="Times New Roman" w:cs="Times New Roman"/>
          <w:szCs w:val="24"/>
        </w:rPr>
        <w:t xml:space="preserve">.  The </w:t>
      </w:r>
      <w:r w:rsidR="00F82E75" w:rsidRPr="00AA4677">
        <w:rPr>
          <w:rFonts w:eastAsia="Times New Roman" w:cs="Times New Roman"/>
          <w:szCs w:val="24"/>
        </w:rPr>
        <w:t xml:space="preserve">AVP-RC </w:t>
      </w:r>
      <w:proofErr w:type="gramStart"/>
      <w:r w:rsidRPr="00AA4677">
        <w:rPr>
          <w:rFonts w:eastAsia="Times New Roman" w:cs="Times New Roman"/>
          <w:szCs w:val="24"/>
        </w:rPr>
        <w:t>receives the no</w:t>
      </w:r>
      <w:r w:rsidR="00116C1D" w:rsidRPr="00AA4677">
        <w:rPr>
          <w:rFonts w:eastAsia="Times New Roman" w:cs="Times New Roman"/>
          <w:szCs w:val="24"/>
        </w:rPr>
        <w:t>mination</w:t>
      </w:r>
      <w:proofErr w:type="gramEnd"/>
      <w:r w:rsidR="00116C1D" w:rsidRPr="00AA4677">
        <w:rPr>
          <w:rFonts w:eastAsia="Times New Roman" w:cs="Times New Roman"/>
          <w:szCs w:val="24"/>
        </w:rPr>
        <w:t xml:space="preserve"> and consults with the </w:t>
      </w:r>
      <w:r w:rsidR="00EE7207" w:rsidRPr="00AA4677">
        <w:rPr>
          <w:rFonts w:eastAsia="Times New Roman" w:cs="Times New Roman"/>
          <w:szCs w:val="24"/>
        </w:rPr>
        <w:t>IRB</w:t>
      </w:r>
      <w:r w:rsidR="00116C1D" w:rsidRPr="00AA4677">
        <w:rPr>
          <w:rFonts w:eastAsia="Times New Roman" w:cs="Times New Roman"/>
          <w:szCs w:val="24"/>
        </w:rPr>
        <w:t xml:space="preserve"> </w:t>
      </w:r>
      <w:r w:rsidRPr="00AA4677">
        <w:rPr>
          <w:rFonts w:eastAsia="Times New Roman" w:cs="Times New Roman"/>
          <w:szCs w:val="24"/>
        </w:rPr>
        <w:t xml:space="preserve">Chairs and </w:t>
      </w:r>
      <w:r w:rsidR="002C4907" w:rsidRPr="00AA4677">
        <w:rPr>
          <w:rFonts w:eastAsia="Times New Roman" w:cs="Times New Roman"/>
          <w:szCs w:val="24"/>
        </w:rPr>
        <w:t xml:space="preserve">ORC Staff </w:t>
      </w:r>
      <w:r w:rsidRPr="00AA4677">
        <w:rPr>
          <w:rFonts w:eastAsia="Times New Roman" w:cs="Times New Roman"/>
          <w:szCs w:val="24"/>
        </w:rPr>
        <w:t xml:space="preserve">to determine the appropriateness of the candidate, based on qualifications, reputation, and needs of the </w:t>
      </w:r>
      <w:proofErr w:type="gramStart"/>
      <w:r w:rsidRPr="00AA4677">
        <w:rPr>
          <w:rFonts w:eastAsia="Times New Roman" w:cs="Times New Roman"/>
          <w:szCs w:val="24"/>
        </w:rPr>
        <w:t>particular committee</w:t>
      </w:r>
      <w:proofErr w:type="gramEnd"/>
      <w:r w:rsidRPr="00AA4677">
        <w:rPr>
          <w:rFonts w:eastAsia="Times New Roman" w:cs="Times New Roman"/>
          <w:szCs w:val="24"/>
        </w:rPr>
        <w:t>.</w:t>
      </w:r>
    </w:p>
    <w:p w14:paraId="64F72AC7" w14:textId="0CC126F1"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Where there are no nominees, appropriate </w:t>
      </w:r>
      <w:r w:rsidR="00116C1D" w:rsidRPr="00AA4677">
        <w:rPr>
          <w:rFonts w:eastAsia="Times New Roman" w:cs="Times New Roman"/>
          <w:szCs w:val="24"/>
        </w:rPr>
        <w:t>d</w:t>
      </w:r>
      <w:r w:rsidRPr="00AA4677">
        <w:rPr>
          <w:rFonts w:eastAsia="Times New Roman" w:cs="Times New Roman"/>
          <w:szCs w:val="24"/>
        </w:rPr>
        <w:t xml:space="preserve">epartment </w:t>
      </w:r>
      <w:r w:rsidR="00116C1D" w:rsidRPr="00AA4677">
        <w:rPr>
          <w:rFonts w:eastAsia="Times New Roman" w:cs="Times New Roman"/>
          <w:szCs w:val="24"/>
        </w:rPr>
        <w:t>c</w:t>
      </w:r>
      <w:r w:rsidRPr="00AA4677">
        <w:rPr>
          <w:rFonts w:eastAsia="Times New Roman" w:cs="Times New Roman"/>
          <w:szCs w:val="24"/>
        </w:rPr>
        <w:t xml:space="preserve">hairs, </w:t>
      </w:r>
      <w:r w:rsidR="00116C1D" w:rsidRPr="00AA4677">
        <w:rPr>
          <w:rFonts w:eastAsia="Times New Roman" w:cs="Times New Roman"/>
          <w:szCs w:val="24"/>
        </w:rPr>
        <w:t>program d</w:t>
      </w:r>
      <w:r w:rsidRPr="00AA4677">
        <w:rPr>
          <w:rFonts w:eastAsia="Times New Roman" w:cs="Times New Roman"/>
          <w:szCs w:val="24"/>
        </w:rPr>
        <w:t xml:space="preserve">irectors, or other </w:t>
      </w:r>
      <w:r w:rsidR="008840F5" w:rsidRPr="00AA4677">
        <w:rPr>
          <w:rFonts w:eastAsia="Times New Roman" w:cs="Times New Roman"/>
          <w:szCs w:val="24"/>
        </w:rPr>
        <w:t xml:space="preserve">University </w:t>
      </w:r>
      <w:r w:rsidRPr="00AA4677">
        <w:rPr>
          <w:rFonts w:eastAsia="Times New Roman" w:cs="Times New Roman"/>
          <w:szCs w:val="24"/>
        </w:rPr>
        <w:t xml:space="preserve">officials will be contacted in writing for candidate nominees by the </w:t>
      </w:r>
      <w:r w:rsidR="00D30237" w:rsidRPr="00AA4677">
        <w:rPr>
          <w:rFonts w:eastAsia="Times New Roman" w:cs="Times New Roman"/>
          <w:szCs w:val="24"/>
        </w:rPr>
        <w:t>AVP-RC</w:t>
      </w:r>
      <w:r w:rsidRPr="00AA4677">
        <w:rPr>
          <w:rFonts w:eastAsia="Times New Roman" w:cs="Times New Roman"/>
          <w:szCs w:val="24"/>
        </w:rPr>
        <w:t>.</w:t>
      </w:r>
    </w:p>
    <w:p w14:paraId="79310103" w14:textId="10E25F93"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final decision in selecting a new member, and appointment thereof, is ma</w:t>
      </w:r>
      <w:r w:rsidR="008840F5" w:rsidRPr="00AA4677">
        <w:rPr>
          <w:rFonts w:eastAsia="Times New Roman" w:cs="Times New Roman"/>
          <w:szCs w:val="24"/>
        </w:rPr>
        <w:t>de by the IO</w:t>
      </w:r>
      <w:r w:rsidRPr="00AA4677">
        <w:rPr>
          <w:rFonts w:eastAsia="Times New Roman" w:cs="Times New Roman"/>
          <w:szCs w:val="24"/>
        </w:rPr>
        <w:t>. Appointme</w:t>
      </w:r>
      <w:r w:rsidR="00150CD7" w:rsidRPr="00AA4677">
        <w:rPr>
          <w:rFonts w:eastAsia="Times New Roman" w:cs="Times New Roman"/>
          <w:szCs w:val="24"/>
        </w:rPr>
        <w:t>nts are made for a renewable one</w:t>
      </w:r>
      <w:r w:rsidRPr="00AA4677">
        <w:rPr>
          <w:rFonts w:eastAsia="Times New Roman" w:cs="Times New Roman"/>
          <w:szCs w:val="24"/>
        </w:rPr>
        <w:t xml:space="preserve">-year period of service. Members may resign by </w:t>
      </w:r>
      <w:proofErr w:type="gramStart"/>
      <w:r w:rsidRPr="00AA4677">
        <w:rPr>
          <w:rFonts w:eastAsia="Times New Roman" w:cs="Times New Roman"/>
          <w:szCs w:val="24"/>
        </w:rPr>
        <w:t>written</w:t>
      </w:r>
      <w:proofErr w:type="gramEnd"/>
      <w:r w:rsidRPr="00AA4677">
        <w:rPr>
          <w:rFonts w:eastAsia="Times New Roman" w:cs="Times New Roman"/>
          <w:szCs w:val="24"/>
        </w:rPr>
        <w:t xml:space="preserve"> notification to the</w:t>
      </w:r>
      <w:r w:rsidR="008840F5" w:rsidRPr="00AA4677">
        <w:rPr>
          <w:rFonts w:eastAsia="Times New Roman" w:cs="Times New Roman"/>
          <w:szCs w:val="24"/>
        </w:rPr>
        <w:t xml:space="preserve"> </w:t>
      </w:r>
      <w:r w:rsidR="00C66572" w:rsidRPr="00AA4677">
        <w:rPr>
          <w:rFonts w:eastAsia="Times New Roman" w:cs="Times New Roman"/>
          <w:szCs w:val="24"/>
        </w:rPr>
        <w:t xml:space="preserve">AVP-RC </w:t>
      </w:r>
      <w:r w:rsidRPr="00AA4677">
        <w:rPr>
          <w:rFonts w:eastAsia="Times New Roman" w:cs="Times New Roman"/>
          <w:szCs w:val="24"/>
        </w:rPr>
        <w:t>or IO. Members may be removed on a for-cause basis by</w:t>
      </w:r>
      <w:r w:rsidR="006A55AF" w:rsidRPr="00AA4677">
        <w:rPr>
          <w:rFonts w:eastAsia="Times New Roman" w:cs="Times New Roman"/>
          <w:szCs w:val="24"/>
        </w:rPr>
        <w:t xml:space="preserve"> th</w:t>
      </w:r>
      <w:r w:rsidR="002C4907" w:rsidRPr="00AA4677">
        <w:rPr>
          <w:rFonts w:eastAsia="Times New Roman" w:cs="Times New Roman"/>
          <w:szCs w:val="24"/>
        </w:rPr>
        <w:t>e</w:t>
      </w:r>
      <w:r w:rsidR="006A55AF" w:rsidRPr="00AA4677">
        <w:rPr>
          <w:rFonts w:eastAsia="Times New Roman" w:cs="Times New Roman"/>
          <w:szCs w:val="24"/>
        </w:rPr>
        <w:t xml:space="preserve"> IO</w:t>
      </w:r>
      <w:r w:rsidR="002C4907" w:rsidRPr="00AA4677">
        <w:rPr>
          <w:rFonts w:eastAsia="Times New Roman" w:cs="Times New Roman"/>
          <w:szCs w:val="24"/>
        </w:rPr>
        <w:t xml:space="preserve"> as well</w:t>
      </w:r>
      <w:r w:rsidRPr="00AA4677">
        <w:rPr>
          <w:rFonts w:eastAsia="Times New Roman" w:cs="Times New Roman"/>
          <w:szCs w:val="24"/>
        </w:rPr>
        <w:t>.</w:t>
      </w:r>
    </w:p>
    <w:p w14:paraId="6800BF6E" w14:textId="511B7E83" w:rsidR="003E7C9E" w:rsidRPr="00AA4677" w:rsidRDefault="00116C1D"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On an annual basis, the </w:t>
      </w:r>
      <w:r w:rsidR="00EE7207" w:rsidRPr="00AA4677">
        <w:rPr>
          <w:rFonts w:eastAsia="Times New Roman" w:cs="Times New Roman"/>
          <w:szCs w:val="24"/>
        </w:rPr>
        <w:t>IRB</w:t>
      </w:r>
      <w:r w:rsidR="003E7C9E" w:rsidRPr="00AA4677">
        <w:rPr>
          <w:rFonts w:eastAsia="Times New Roman" w:cs="Times New Roman"/>
          <w:szCs w:val="24"/>
        </w:rPr>
        <w:t xml:space="preserve"> Chair</w:t>
      </w:r>
      <w:r w:rsidR="00C9771C" w:rsidRPr="00AA4677">
        <w:rPr>
          <w:rFonts w:eastAsia="Times New Roman" w:cs="Times New Roman"/>
          <w:szCs w:val="24"/>
        </w:rPr>
        <w:t>s</w:t>
      </w:r>
      <w:r w:rsidR="00C35F41" w:rsidRPr="00AA4677">
        <w:rPr>
          <w:rFonts w:eastAsia="Times New Roman" w:cs="Times New Roman"/>
          <w:szCs w:val="24"/>
        </w:rPr>
        <w:t>, IRB Staff,</w:t>
      </w:r>
      <w:r w:rsidR="003E7C9E" w:rsidRPr="00AA4677">
        <w:rPr>
          <w:rFonts w:eastAsia="Times New Roman" w:cs="Times New Roman"/>
          <w:szCs w:val="24"/>
        </w:rPr>
        <w:t xml:space="preserve"> and </w:t>
      </w:r>
      <w:r w:rsidR="00C66572" w:rsidRPr="00AA4677">
        <w:rPr>
          <w:rFonts w:eastAsia="Times New Roman" w:cs="Times New Roman"/>
          <w:szCs w:val="24"/>
        </w:rPr>
        <w:t xml:space="preserve">the AVP-RC </w:t>
      </w:r>
      <w:r w:rsidR="002C4907" w:rsidRPr="00AA4677">
        <w:rPr>
          <w:rFonts w:eastAsia="Times New Roman" w:cs="Times New Roman"/>
          <w:szCs w:val="24"/>
        </w:rPr>
        <w:t xml:space="preserve">(on behalf of the </w:t>
      </w:r>
      <w:r w:rsidR="003E7C9E" w:rsidRPr="00AA4677">
        <w:rPr>
          <w:rFonts w:eastAsia="Times New Roman" w:cs="Times New Roman"/>
          <w:szCs w:val="24"/>
        </w:rPr>
        <w:t>IO</w:t>
      </w:r>
      <w:r w:rsidR="002C4907" w:rsidRPr="00AA4677">
        <w:rPr>
          <w:rFonts w:eastAsia="Times New Roman" w:cs="Times New Roman"/>
          <w:szCs w:val="24"/>
        </w:rPr>
        <w:t>)</w:t>
      </w:r>
      <w:r w:rsidR="003E7C9E" w:rsidRPr="00AA4677">
        <w:rPr>
          <w:rFonts w:eastAsia="Times New Roman" w:cs="Times New Roman"/>
          <w:szCs w:val="24"/>
        </w:rPr>
        <w:t xml:space="preserve"> review the membership and composition of </w:t>
      </w:r>
      <w:r w:rsidR="005B5ABE"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to determine if they continue to meet regulatory and institutional requirements.</w:t>
      </w:r>
      <w:r w:rsidR="00A52C7A" w:rsidRPr="00AA4677">
        <w:rPr>
          <w:rFonts w:eastAsia="Times New Roman" w:cs="Times New Roman"/>
          <w:szCs w:val="24"/>
        </w:rPr>
        <w:t xml:space="preserve"> Members are evaluated and receive their evaluations annually.</w:t>
      </w:r>
    </w:p>
    <w:p w14:paraId="7FBCDC2A" w14:textId="77777777" w:rsidR="003E7C9E" w:rsidRPr="00AA4677" w:rsidRDefault="003E7C9E" w:rsidP="00696B35">
      <w:pPr>
        <w:pStyle w:val="Heading2"/>
      </w:pPr>
      <w:bookmarkStart w:id="44" w:name="_Toc192678159"/>
      <w:r w:rsidRPr="00AA4677">
        <w:t>2.8 Alternate Members</w:t>
      </w:r>
      <w:bookmarkEnd w:id="44"/>
    </w:p>
    <w:p w14:paraId="29373B60" w14:textId="41234DD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appointment and function of alternate members is the same as that for primary </w:t>
      </w:r>
      <w:r w:rsidR="00005E81"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members, and the alternate's expertise and perspective are comparable to those of the primary member. The role of the alternate member is to serve as a voting member of </w:t>
      </w:r>
      <w:r w:rsidR="00EE7207" w:rsidRPr="00AA4677">
        <w:rPr>
          <w:rFonts w:eastAsia="Times New Roman" w:cs="Times New Roman"/>
          <w:szCs w:val="24"/>
        </w:rPr>
        <w:t>IRB</w:t>
      </w:r>
      <w:r w:rsidRPr="00AA4677">
        <w:rPr>
          <w:rFonts w:eastAsia="Times New Roman" w:cs="Times New Roman"/>
          <w:szCs w:val="24"/>
        </w:rPr>
        <w:t xml:space="preserve"> when the regular member is unavailable to attend a convened meeting. When an alternate member substitutes for a primary member, the alternate member will receive and review the same materials prior to the</w:t>
      </w:r>
      <w:r w:rsidR="00005E81"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meeting that the primary member received or would have received.</w:t>
      </w:r>
    </w:p>
    <w:p w14:paraId="46ED9F0D" w14:textId="21E57D33"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roster identifies the </w:t>
      </w:r>
      <w:r w:rsidR="006A55AF" w:rsidRPr="00AA4677">
        <w:rPr>
          <w:rFonts w:eastAsia="Times New Roman" w:cs="Times New Roman"/>
          <w:szCs w:val="24"/>
        </w:rPr>
        <w:t xml:space="preserve">group of </w:t>
      </w:r>
      <w:proofErr w:type="gramStart"/>
      <w:r w:rsidRPr="00AA4677">
        <w:rPr>
          <w:rFonts w:eastAsia="Times New Roman" w:cs="Times New Roman"/>
          <w:szCs w:val="24"/>
        </w:rPr>
        <w:t>member</w:t>
      </w:r>
      <w:proofErr w:type="gramEnd"/>
      <w:r w:rsidRPr="00AA4677">
        <w:rPr>
          <w:rFonts w:eastAsia="Times New Roman" w:cs="Times New Roman"/>
          <w:szCs w:val="24"/>
        </w:rPr>
        <w:t>(s) for whom each alternate member may substitute. The alternate member will not be count</w:t>
      </w:r>
      <w:r w:rsidR="006A55AF" w:rsidRPr="00AA4677">
        <w:rPr>
          <w:rFonts w:eastAsia="Times New Roman" w:cs="Times New Roman"/>
          <w:szCs w:val="24"/>
        </w:rPr>
        <w:t>ed as a voting member unless a</w:t>
      </w:r>
      <w:r w:rsidRPr="00AA4677">
        <w:rPr>
          <w:rFonts w:eastAsia="Times New Roman" w:cs="Times New Roman"/>
          <w:szCs w:val="24"/>
        </w:rPr>
        <w:t xml:space="preserve"> primary member is absent. The </w:t>
      </w:r>
      <w:r w:rsidR="00EE7207" w:rsidRPr="00AA4677">
        <w:rPr>
          <w:rFonts w:eastAsia="Times New Roman" w:cs="Times New Roman"/>
          <w:szCs w:val="24"/>
        </w:rPr>
        <w:t>IRB</w:t>
      </w:r>
      <w:r w:rsidRPr="00AA4677">
        <w:rPr>
          <w:rFonts w:eastAsia="Times New Roman" w:cs="Times New Roman"/>
          <w:szCs w:val="24"/>
        </w:rPr>
        <w:t xml:space="preserve"> minutes will document when an alternate member replaces a primary member.</w:t>
      </w:r>
      <w:r w:rsidR="00A52C7A" w:rsidRPr="00AA4677">
        <w:rPr>
          <w:rFonts w:eastAsia="Times New Roman" w:cs="Times New Roman"/>
          <w:szCs w:val="24"/>
        </w:rPr>
        <w:t xml:space="preserve"> </w:t>
      </w:r>
    </w:p>
    <w:p w14:paraId="24FB9303" w14:textId="1992905B" w:rsidR="003E7C9E" w:rsidRPr="00AA4677" w:rsidRDefault="003E7C9E" w:rsidP="00696B35">
      <w:pPr>
        <w:pStyle w:val="Heading2"/>
      </w:pPr>
      <w:bookmarkStart w:id="45" w:name="_Toc192678160"/>
      <w:r w:rsidRPr="00AA4677">
        <w:t xml:space="preserve">2.9 </w:t>
      </w:r>
      <w:r w:rsidR="00EE7207" w:rsidRPr="00AA4677">
        <w:t>IRB</w:t>
      </w:r>
      <w:r w:rsidRPr="00AA4677">
        <w:t xml:space="preserve"> Member Conflict of Interest</w:t>
      </w:r>
      <w:bookmarkEnd w:id="45"/>
    </w:p>
    <w:p w14:paraId="556C9BE8" w14:textId="4D9E1897" w:rsidR="003E7C9E" w:rsidRPr="00AA4677" w:rsidRDefault="00D30237"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No regular member, alternate member,</w:t>
      </w:r>
      <w:r w:rsidR="003E7C9E" w:rsidRPr="00AA4677">
        <w:rPr>
          <w:rFonts w:eastAsia="Times New Roman" w:cs="Times New Roman"/>
          <w:szCs w:val="24"/>
        </w:rPr>
        <w:t xml:space="preserve"> ex officio member</w:t>
      </w:r>
      <w:r w:rsidRPr="00AA4677">
        <w:rPr>
          <w:rFonts w:eastAsia="Times New Roman" w:cs="Times New Roman"/>
          <w:szCs w:val="24"/>
        </w:rPr>
        <w:t>,</w:t>
      </w:r>
      <w:r w:rsidR="003E7C9E" w:rsidRPr="00AA4677">
        <w:rPr>
          <w:rFonts w:eastAsia="Times New Roman" w:cs="Times New Roman"/>
          <w:szCs w:val="24"/>
        </w:rPr>
        <w:t xml:space="preserve"> or consultant may participate in the review of any research project in which the </w:t>
      </w:r>
      <w:r w:rsidRPr="00AA4677">
        <w:rPr>
          <w:rFonts w:eastAsia="Times New Roman" w:cs="Times New Roman"/>
          <w:szCs w:val="24"/>
        </w:rPr>
        <w:t>individual</w:t>
      </w:r>
      <w:r w:rsidR="003E7C9E" w:rsidRPr="00AA4677">
        <w:rPr>
          <w:rFonts w:eastAsia="Times New Roman" w:cs="Times New Roman"/>
          <w:szCs w:val="24"/>
        </w:rPr>
        <w:t xml:space="preserve"> has a conflict of interest (COI), except to provide information as requested.  It is the responsibility of each </w:t>
      </w:r>
      <w:r w:rsidR="00EE7207" w:rsidRPr="00AA4677">
        <w:rPr>
          <w:rFonts w:eastAsia="Times New Roman" w:cs="Times New Roman"/>
          <w:szCs w:val="24"/>
        </w:rPr>
        <w:t>IRB</w:t>
      </w:r>
      <w:r w:rsidR="003E7C9E" w:rsidRPr="00AA4677">
        <w:rPr>
          <w:rFonts w:eastAsia="Times New Roman" w:cs="Times New Roman"/>
          <w:szCs w:val="24"/>
        </w:rPr>
        <w:t xml:space="preserve"> member to disclose any COI in a study submitted for review and to then recuse him/herself.  At convened meetings, the </w:t>
      </w:r>
      <w:r w:rsidR="00EE7207" w:rsidRPr="00AA4677">
        <w:rPr>
          <w:rFonts w:eastAsia="Times New Roman" w:cs="Times New Roman"/>
          <w:szCs w:val="24"/>
        </w:rPr>
        <w:t>IRB</w:t>
      </w:r>
      <w:r w:rsidR="003E7C9E" w:rsidRPr="00AA4677">
        <w:rPr>
          <w:rFonts w:eastAsia="Times New Roman" w:cs="Times New Roman"/>
          <w:szCs w:val="24"/>
        </w:rPr>
        <w:t xml:space="preserve"> member recuses himself from the deliberations and </w:t>
      </w:r>
      <w:proofErr w:type="gramStart"/>
      <w:r w:rsidR="003E7C9E" w:rsidRPr="00AA4677">
        <w:rPr>
          <w:rFonts w:eastAsia="Times New Roman" w:cs="Times New Roman"/>
          <w:szCs w:val="24"/>
        </w:rPr>
        <w:t>vote</w:t>
      </w:r>
      <w:proofErr w:type="gramEnd"/>
      <w:r w:rsidR="003E7C9E" w:rsidRPr="00AA4677">
        <w:rPr>
          <w:rFonts w:eastAsia="Times New Roman" w:cs="Times New Roman"/>
          <w:szCs w:val="24"/>
        </w:rPr>
        <w:t xml:space="preserve"> by leaving the room.  Any primary, secondary, or expedited reviewer with a </w:t>
      </w:r>
      <w:r w:rsidR="007F36C6" w:rsidRPr="00AA4677">
        <w:rPr>
          <w:rFonts w:eastAsia="Times New Roman" w:cs="Times New Roman"/>
          <w:szCs w:val="24"/>
        </w:rPr>
        <w:t>COI</w:t>
      </w:r>
      <w:r w:rsidR="003E7C9E" w:rsidRPr="00AA4677">
        <w:rPr>
          <w:rFonts w:eastAsia="Times New Roman" w:cs="Times New Roman"/>
          <w:szCs w:val="24"/>
        </w:rPr>
        <w:t xml:space="preserve"> must notify the </w:t>
      </w:r>
      <w:r w:rsidR="00005E81" w:rsidRPr="00AA4677">
        <w:rPr>
          <w:rFonts w:eastAsia="Times New Roman" w:cs="Times New Roman"/>
          <w:szCs w:val="24"/>
        </w:rPr>
        <w:t>IRB</w:t>
      </w:r>
      <w:r w:rsidR="003E7C9E" w:rsidRPr="00AA4677">
        <w:rPr>
          <w:rFonts w:eastAsia="Times New Roman" w:cs="Times New Roman"/>
          <w:szCs w:val="24"/>
        </w:rPr>
        <w:t xml:space="preserve"> staff who will re-assign the protocol.</w:t>
      </w:r>
    </w:p>
    <w:p w14:paraId="42A5F2BD" w14:textId="3D5CFE0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All voting, altern</w:t>
      </w:r>
      <w:r w:rsidR="00005E81" w:rsidRPr="00AA4677">
        <w:rPr>
          <w:rFonts w:eastAsia="Times New Roman" w:cs="Times New Roman"/>
          <w:szCs w:val="24"/>
        </w:rPr>
        <w:t xml:space="preserve">ate, and ex officio members of the </w:t>
      </w:r>
      <w:r w:rsidR="00EE7207" w:rsidRPr="00AA4677">
        <w:rPr>
          <w:rFonts w:eastAsia="Times New Roman" w:cs="Times New Roman"/>
          <w:szCs w:val="24"/>
        </w:rPr>
        <w:t>IRB</w:t>
      </w:r>
      <w:r w:rsidR="00D30237" w:rsidRPr="00AA4677">
        <w:rPr>
          <w:rFonts w:eastAsia="Times New Roman" w:cs="Times New Roman"/>
          <w:szCs w:val="24"/>
        </w:rPr>
        <w:t xml:space="preserve"> complete a “IRB</w:t>
      </w:r>
      <w:r w:rsidRPr="00AA4677">
        <w:rPr>
          <w:rFonts w:eastAsia="Times New Roman" w:cs="Times New Roman"/>
          <w:szCs w:val="24"/>
        </w:rPr>
        <w:t xml:space="preserve"> Member Human Research Conflict of Interest Assessment Form” when first appointed and annually thereafter.  [See Section 14 “Conflicts of Interest in Research” for a detailed description of managing conflicts of interest.”]</w:t>
      </w:r>
      <w:r w:rsidR="00D30237" w:rsidRPr="00AA4677">
        <w:rPr>
          <w:rFonts w:eastAsia="Times New Roman" w:cs="Times New Roman"/>
          <w:szCs w:val="24"/>
        </w:rPr>
        <w:t xml:space="preserve">. </w:t>
      </w:r>
      <w:r w:rsidR="00D30237" w:rsidRPr="00AA4677">
        <w:rPr>
          <w:rFonts w:eastAsia="Times New Roman" w:cs="Times New Roman"/>
          <w:szCs w:val="24"/>
        </w:rPr>
        <w:lastRenderedPageBreak/>
        <w:t>IRB Staff are</w:t>
      </w:r>
      <w:r w:rsidR="00C35F41" w:rsidRPr="00AA4677">
        <w:rPr>
          <w:rFonts w:eastAsia="Times New Roman" w:cs="Times New Roman"/>
          <w:szCs w:val="24"/>
        </w:rPr>
        <w:t xml:space="preserve"> informed </w:t>
      </w:r>
      <w:r w:rsidR="007B4C5F" w:rsidRPr="00AA4677">
        <w:rPr>
          <w:rFonts w:eastAsia="Times New Roman" w:cs="Times New Roman"/>
          <w:szCs w:val="24"/>
        </w:rPr>
        <w:t xml:space="preserve">by the </w:t>
      </w:r>
      <w:r w:rsidR="00C66572" w:rsidRPr="00AA4677">
        <w:rPr>
          <w:rFonts w:eastAsia="Times New Roman" w:cs="Times New Roman"/>
          <w:szCs w:val="24"/>
        </w:rPr>
        <w:t>AVP-RC</w:t>
      </w:r>
      <w:r w:rsidR="007B4C5F" w:rsidRPr="00AA4677">
        <w:rPr>
          <w:rFonts w:eastAsia="Times New Roman" w:cs="Times New Roman"/>
          <w:szCs w:val="24"/>
        </w:rPr>
        <w:t xml:space="preserve"> or designee </w:t>
      </w:r>
      <w:r w:rsidR="00C35F41" w:rsidRPr="00AA4677">
        <w:rPr>
          <w:rFonts w:eastAsia="Times New Roman" w:cs="Times New Roman"/>
          <w:szCs w:val="24"/>
        </w:rPr>
        <w:t>if a member has a significant financial interest so that review assignments can be managed accordingly.</w:t>
      </w:r>
    </w:p>
    <w:p w14:paraId="3389F4A3" w14:textId="61E3FC7B" w:rsidR="004E61B4" w:rsidRPr="00AA4677" w:rsidRDefault="004E61B4"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Conflict of interest applies to review by a convened IRB,</w:t>
      </w:r>
      <w:r w:rsidR="009D0300" w:rsidRPr="00AA4677">
        <w:rPr>
          <w:rFonts w:eastAsia="Times New Roman" w:cs="Times New Roman"/>
          <w:szCs w:val="24"/>
        </w:rPr>
        <w:t xml:space="preserve"> review by the expedited proced</w:t>
      </w:r>
      <w:r w:rsidRPr="00AA4677">
        <w:rPr>
          <w:rFonts w:eastAsia="Times New Roman" w:cs="Times New Roman"/>
          <w:szCs w:val="24"/>
        </w:rPr>
        <w:t>u</w:t>
      </w:r>
      <w:r w:rsidR="009D0300" w:rsidRPr="00AA4677">
        <w:rPr>
          <w:rFonts w:eastAsia="Times New Roman" w:cs="Times New Roman"/>
          <w:szCs w:val="24"/>
        </w:rPr>
        <w:t>re,</w:t>
      </w:r>
      <w:r w:rsidRPr="00AA4677">
        <w:rPr>
          <w:rFonts w:eastAsia="Times New Roman" w:cs="Times New Roman"/>
          <w:szCs w:val="24"/>
        </w:rPr>
        <w:t xml:space="preserve"> review of unanticipated problems involving risks to participants or others</w:t>
      </w:r>
      <w:r w:rsidR="009D0300" w:rsidRPr="00AA4677">
        <w:rPr>
          <w:rFonts w:eastAsia="Times New Roman" w:cs="Times New Roman"/>
          <w:szCs w:val="24"/>
        </w:rPr>
        <w:t>, or review of non-compliance with regulations or laws or the requirements of the IRB.</w:t>
      </w:r>
    </w:p>
    <w:p w14:paraId="735E263B" w14:textId="26EB81E6" w:rsidR="003E7C9E" w:rsidRPr="00AA4677" w:rsidRDefault="003E7C9E" w:rsidP="00EB67DE">
      <w:pPr>
        <w:shd w:val="clear" w:color="auto" w:fill="FFFFFF"/>
        <w:spacing w:after="0" w:line="240" w:lineRule="auto"/>
        <w:rPr>
          <w:rFonts w:eastAsia="Times New Roman" w:cs="Times New Roman"/>
          <w:szCs w:val="24"/>
        </w:rPr>
      </w:pPr>
      <w:r w:rsidRPr="00AA4677">
        <w:rPr>
          <w:rFonts w:eastAsia="Times New Roman" w:cs="Times New Roman"/>
          <w:szCs w:val="24"/>
        </w:rPr>
        <w:t>Committee members and consultants may find them</w:t>
      </w:r>
      <w:r w:rsidR="00D30237" w:rsidRPr="00AA4677">
        <w:rPr>
          <w:rFonts w:eastAsia="Times New Roman" w:cs="Times New Roman"/>
          <w:szCs w:val="24"/>
        </w:rPr>
        <w:t>selves with</w:t>
      </w:r>
      <w:r w:rsidRPr="00AA4677">
        <w:rPr>
          <w:rFonts w:eastAsia="Times New Roman" w:cs="Times New Roman"/>
          <w:szCs w:val="24"/>
        </w:rPr>
        <w:t xml:space="preserve"> any of the following </w:t>
      </w:r>
      <w:r w:rsidR="007F36C6" w:rsidRPr="00AA4677">
        <w:rPr>
          <w:rFonts w:eastAsia="Times New Roman" w:cs="Times New Roman"/>
          <w:szCs w:val="24"/>
        </w:rPr>
        <w:t>COIs</w:t>
      </w:r>
      <w:r w:rsidRPr="00AA4677">
        <w:rPr>
          <w:rFonts w:eastAsia="Times New Roman" w:cs="Times New Roman"/>
          <w:szCs w:val="24"/>
        </w:rPr>
        <w:t xml:space="preserve"> when reviewing research:</w:t>
      </w:r>
    </w:p>
    <w:p w14:paraId="7DEDA303" w14:textId="52F50BCB" w:rsidR="003E7C9E" w:rsidRPr="00AA4677" w:rsidRDefault="003E7C9E">
      <w:pPr>
        <w:numPr>
          <w:ilvl w:val="0"/>
          <w:numId w:val="86"/>
        </w:numPr>
        <w:shd w:val="clear" w:color="auto" w:fill="FFFFFF"/>
        <w:tabs>
          <w:tab w:val="clear" w:pos="360"/>
          <w:tab w:val="num" w:pos="0"/>
        </w:tabs>
        <w:spacing w:after="0" w:line="240" w:lineRule="auto"/>
        <w:rPr>
          <w:rFonts w:eastAsia="Times New Roman" w:cs="Times New Roman"/>
          <w:szCs w:val="24"/>
        </w:rPr>
      </w:pPr>
      <w:r w:rsidRPr="00AA4677">
        <w:rPr>
          <w:rFonts w:eastAsia="Times New Roman" w:cs="Times New Roman"/>
          <w:szCs w:val="24"/>
        </w:rPr>
        <w:t xml:space="preserve">Where the </w:t>
      </w:r>
      <w:r w:rsidR="00D30237" w:rsidRPr="00AA4677">
        <w:rPr>
          <w:rFonts w:eastAsia="Times New Roman" w:cs="Times New Roman"/>
          <w:szCs w:val="24"/>
        </w:rPr>
        <w:t xml:space="preserve">IRB </w:t>
      </w:r>
      <w:r w:rsidRPr="00AA4677">
        <w:rPr>
          <w:rFonts w:eastAsia="Times New Roman" w:cs="Times New Roman"/>
          <w:szCs w:val="24"/>
        </w:rPr>
        <w:t>member or consultant is involved in the design, conduct, and reporting of the research.</w:t>
      </w:r>
    </w:p>
    <w:p w14:paraId="2093946A" w14:textId="0E57B154" w:rsidR="003E7C9E" w:rsidRPr="00AA4677" w:rsidRDefault="003E7C9E">
      <w:pPr>
        <w:numPr>
          <w:ilvl w:val="0"/>
          <w:numId w:val="86"/>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Where an</w:t>
      </w:r>
      <w:r w:rsidR="00D30237" w:rsidRPr="00AA4677">
        <w:rPr>
          <w:rFonts w:eastAsia="Times New Roman" w:cs="Times New Roman"/>
          <w:szCs w:val="24"/>
        </w:rPr>
        <w:t xml:space="preserve"> immediate family member of the IRB </w:t>
      </w:r>
      <w:r w:rsidRPr="00AA4677">
        <w:rPr>
          <w:rFonts w:eastAsia="Times New Roman" w:cs="Times New Roman"/>
          <w:szCs w:val="24"/>
        </w:rPr>
        <w:t>member or consultant is involved in the design, conduct, and reporting of the research.</w:t>
      </w:r>
    </w:p>
    <w:p w14:paraId="58B176C1" w14:textId="27A69DBE" w:rsidR="003E7C9E" w:rsidRPr="00AA4677" w:rsidRDefault="003E7C9E">
      <w:pPr>
        <w:numPr>
          <w:ilvl w:val="0"/>
          <w:numId w:val="86"/>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Where the </w:t>
      </w:r>
      <w:r w:rsidR="00D30237" w:rsidRPr="00AA4677">
        <w:rPr>
          <w:rFonts w:eastAsia="Times New Roman" w:cs="Times New Roman"/>
          <w:szCs w:val="24"/>
        </w:rPr>
        <w:t xml:space="preserve">IRB </w:t>
      </w:r>
      <w:r w:rsidRPr="00AA4677">
        <w:rPr>
          <w:rFonts w:eastAsia="Times New Roman" w:cs="Times New Roman"/>
          <w:szCs w:val="24"/>
        </w:rPr>
        <w:t>member holds significant financial interests (See Section 14 for a definition of significant financial interests) related to the research being reviewed</w:t>
      </w:r>
      <w:r w:rsidR="007F36C6" w:rsidRPr="00AA4677">
        <w:rPr>
          <w:rFonts w:eastAsia="Times New Roman" w:cs="Times New Roman"/>
          <w:szCs w:val="24"/>
        </w:rPr>
        <w:t>.</w:t>
      </w:r>
    </w:p>
    <w:p w14:paraId="2B25B88F" w14:textId="4C053826" w:rsidR="003E7C9E" w:rsidRPr="00AA4677" w:rsidRDefault="003E7C9E">
      <w:pPr>
        <w:numPr>
          <w:ilvl w:val="0"/>
          <w:numId w:val="86"/>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Any other situation where an </w:t>
      </w:r>
      <w:r w:rsidR="00EE7207" w:rsidRPr="00AA4677">
        <w:rPr>
          <w:rFonts w:eastAsia="Times New Roman" w:cs="Times New Roman"/>
          <w:szCs w:val="24"/>
        </w:rPr>
        <w:t>IRB</w:t>
      </w:r>
      <w:r w:rsidRPr="00AA4677">
        <w:rPr>
          <w:rFonts w:eastAsia="Times New Roman" w:cs="Times New Roman"/>
          <w:szCs w:val="24"/>
        </w:rPr>
        <w:t xml:space="preserve"> member believes that another interest conflicts with his or her ability to deliberate objectively on a protocol</w:t>
      </w:r>
    </w:p>
    <w:p w14:paraId="612615BF" w14:textId="0892C0EF"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Chair will poll</w:t>
      </w:r>
      <w:r w:rsidR="00005E81"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members at each convened meeting to determine if a COI exists regarding any protocols to be considered during the meeting and reminds them that they should recuse themselves by leaving the room during the discussion and vote of the specific protocol.  </w:t>
      </w:r>
      <w:r w:rsidR="00EE7207" w:rsidRPr="00AA4677">
        <w:rPr>
          <w:rFonts w:eastAsia="Times New Roman" w:cs="Times New Roman"/>
          <w:szCs w:val="24"/>
        </w:rPr>
        <w:t>IRB</w:t>
      </w:r>
      <w:r w:rsidRPr="00AA4677">
        <w:rPr>
          <w:rFonts w:eastAsia="Times New Roman" w:cs="Times New Roman"/>
          <w:szCs w:val="24"/>
        </w:rPr>
        <w:t xml:space="preserve"> members with a </w:t>
      </w:r>
      <w:r w:rsidR="00005E81" w:rsidRPr="00AA4677">
        <w:rPr>
          <w:rFonts w:eastAsia="Times New Roman" w:cs="Times New Roman"/>
          <w:szCs w:val="24"/>
        </w:rPr>
        <w:t>COI</w:t>
      </w:r>
      <w:r w:rsidRPr="00AA4677">
        <w:rPr>
          <w:rFonts w:eastAsia="Times New Roman" w:cs="Times New Roman"/>
          <w:szCs w:val="24"/>
        </w:rPr>
        <w:t xml:space="preserve"> are excluded from being counted towards quorum.  All recusals by </w:t>
      </w:r>
      <w:r w:rsidR="00EE7207" w:rsidRPr="00AA4677">
        <w:rPr>
          <w:rFonts w:eastAsia="Times New Roman" w:cs="Times New Roman"/>
          <w:szCs w:val="24"/>
        </w:rPr>
        <w:t>IRB</w:t>
      </w:r>
      <w:r w:rsidR="00005E81" w:rsidRPr="00AA4677">
        <w:rPr>
          <w:rFonts w:eastAsia="Times New Roman" w:cs="Times New Roman"/>
          <w:szCs w:val="24"/>
        </w:rPr>
        <w:t xml:space="preserve"> </w:t>
      </w:r>
      <w:r w:rsidRPr="00AA4677">
        <w:rPr>
          <w:rFonts w:eastAsia="Times New Roman" w:cs="Times New Roman"/>
          <w:szCs w:val="24"/>
        </w:rPr>
        <w:t>members with</w:t>
      </w:r>
      <w:r w:rsidR="006A55AF" w:rsidRPr="00AA4677">
        <w:rPr>
          <w:rFonts w:eastAsia="Times New Roman" w:cs="Times New Roman"/>
          <w:szCs w:val="24"/>
        </w:rPr>
        <w:t xml:space="preserve"> a</w:t>
      </w:r>
      <w:r w:rsidRPr="00AA4677">
        <w:rPr>
          <w:rFonts w:eastAsia="Times New Roman" w:cs="Times New Roman"/>
          <w:szCs w:val="24"/>
        </w:rPr>
        <w:t xml:space="preserve"> COI are recorded in the minutes</w:t>
      </w:r>
      <w:r w:rsidR="00BF1D2D" w:rsidRPr="00AA4677">
        <w:rPr>
          <w:rFonts w:eastAsia="Times New Roman" w:cs="Times New Roman"/>
          <w:szCs w:val="24"/>
        </w:rPr>
        <w:t xml:space="preserve"> with an indication that a conflict of interest was the reason for the absence</w:t>
      </w:r>
      <w:r w:rsidRPr="00AA4677">
        <w:rPr>
          <w:rFonts w:eastAsia="Times New Roman" w:cs="Times New Roman"/>
          <w:szCs w:val="24"/>
        </w:rPr>
        <w:t>.</w:t>
      </w:r>
    </w:p>
    <w:p w14:paraId="0D1D2B63" w14:textId="2475AE09"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the </w:t>
      </w:r>
      <w:r w:rsidR="00005E81" w:rsidRPr="00AA4677">
        <w:rPr>
          <w:rFonts w:eastAsia="Times New Roman" w:cs="Times New Roman"/>
          <w:szCs w:val="24"/>
        </w:rPr>
        <w:t>COI</w:t>
      </w:r>
      <w:r w:rsidRPr="00AA4677">
        <w:rPr>
          <w:rFonts w:eastAsia="Times New Roman" w:cs="Times New Roman"/>
          <w:szCs w:val="24"/>
        </w:rPr>
        <w:t xml:space="preserve"> status of </w:t>
      </w:r>
      <w:proofErr w:type="gramStart"/>
      <w:r w:rsidRPr="00AA4677">
        <w:rPr>
          <w:rFonts w:eastAsia="Times New Roman" w:cs="Times New Roman"/>
          <w:szCs w:val="24"/>
        </w:rPr>
        <w:t>a</w:t>
      </w:r>
      <w:proofErr w:type="gramEnd"/>
      <w:r w:rsidR="00005E81"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member changes </w:t>
      </w:r>
      <w:proofErr w:type="gramStart"/>
      <w:r w:rsidRPr="00AA4677">
        <w:rPr>
          <w:rFonts w:eastAsia="Times New Roman" w:cs="Times New Roman"/>
          <w:szCs w:val="24"/>
        </w:rPr>
        <w:t>during the course of</w:t>
      </w:r>
      <w:proofErr w:type="gramEnd"/>
      <w:r w:rsidRPr="00AA4677">
        <w:rPr>
          <w:rFonts w:eastAsia="Times New Roman" w:cs="Times New Roman"/>
          <w:szCs w:val="24"/>
        </w:rPr>
        <w:t xml:space="preserve"> a study, the </w:t>
      </w:r>
      <w:r w:rsidR="00EE7207" w:rsidRPr="00AA4677">
        <w:rPr>
          <w:rFonts w:eastAsia="Times New Roman" w:cs="Times New Roman"/>
          <w:szCs w:val="24"/>
        </w:rPr>
        <w:t>IRB</w:t>
      </w:r>
      <w:r w:rsidRPr="00AA4677">
        <w:rPr>
          <w:rFonts w:eastAsia="Times New Roman" w:cs="Times New Roman"/>
          <w:szCs w:val="24"/>
        </w:rPr>
        <w:t xml:space="preserve"> member is require</w:t>
      </w:r>
      <w:r w:rsidR="00B11EA6" w:rsidRPr="00AA4677">
        <w:rPr>
          <w:rFonts w:eastAsia="Times New Roman" w:cs="Times New Roman"/>
          <w:szCs w:val="24"/>
        </w:rPr>
        <w:t>d to complete an amended “IRB</w:t>
      </w:r>
      <w:r w:rsidRPr="00AA4677">
        <w:rPr>
          <w:rFonts w:eastAsia="Times New Roman" w:cs="Times New Roman"/>
          <w:szCs w:val="24"/>
        </w:rPr>
        <w:t xml:space="preserve"> Member Human Research Conflict of Interest Assessment Form” and submit the completed document to the </w:t>
      </w:r>
      <w:r w:rsidR="00C66572" w:rsidRPr="00AA4677">
        <w:rPr>
          <w:rFonts w:eastAsia="Times New Roman" w:cs="Times New Roman"/>
          <w:szCs w:val="24"/>
        </w:rPr>
        <w:t>AVP-RC</w:t>
      </w:r>
      <w:r w:rsidRPr="00AA4677">
        <w:rPr>
          <w:rFonts w:eastAsia="Times New Roman" w:cs="Times New Roman"/>
          <w:szCs w:val="24"/>
        </w:rPr>
        <w:t xml:space="preserve">, who will, in turn advise the </w:t>
      </w:r>
      <w:r w:rsidR="00C35F41" w:rsidRPr="00AA4677">
        <w:rPr>
          <w:rFonts w:eastAsia="Times New Roman" w:cs="Times New Roman"/>
          <w:szCs w:val="24"/>
        </w:rPr>
        <w:t xml:space="preserve">IRB </w:t>
      </w:r>
      <w:r w:rsidR="0074062A" w:rsidRPr="00AA4677">
        <w:rPr>
          <w:rFonts w:eastAsia="Times New Roman" w:cs="Times New Roman"/>
          <w:szCs w:val="24"/>
        </w:rPr>
        <w:t>s</w:t>
      </w:r>
      <w:r w:rsidR="00C35F41" w:rsidRPr="00AA4677">
        <w:rPr>
          <w:rFonts w:eastAsia="Times New Roman" w:cs="Times New Roman"/>
          <w:szCs w:val="24"/>
        </w:rPr>
        <w:t xml:space="preserve">taff </w:t>
      </w:r>
      <w:r w:rsidRPr="00AA4677">
        <w:rPr>
          <w:rFonts w:eastAsia="Times New Roman" w:cs="Times New Roman"/>
          <w:szCs w:val="24"/>
        </w:rPr>
        <w:t xml:space="preserve"> of the change.</w:t>
      </w:r>
    </w:p>
    <w:p w14:paraId="33163721" w14:textId="77777777" w:rsidR="003E7C9E" w:rsidRPr="00AA4677" w:rsidRDefault="003E7C9E" w:rsidP="00696B35">
      <w:pPr>
        <w:pStyle w:val="Heading2"/>
      </w:pPr>
      <w:bookmarkStart w:id="46" w:name="_Toc192678161"/>
      <w:r w:rsidRPr="00AA4677">
        <w:t>2.10 Use of Consultants</w:t>
      </w:r>
      <w:bookmarkEnd w:id="46"/>
    </w:p>
    <w:p w14:paraId="1D4DCD2B" w14:textId="562DE26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When necessary, t</w:t>
      </w:r>
      <w:r w:rsidR="00A56B91" w:rsidRPr="00AA4677">
        <w:rPr>
          <w:rFonts w:eastAsia="Times New Roman" w:cs="Times New Roman"/>
          <w:szCs w:val="24"/>
        </w:rPr>
        <w:t xml:space="preserve">he </w:t>
      </w:r>
      <w:r w:rsidR="00005E81" w:rsidRPr="00AA4677">
        <w:rPr>
          <w:rFonts w:eastAsia="Times New Roman" w:cs="Times New Roman"/>
          <w:szCs w:val="24"/>
        </w:rPr>
        <w:t>IRB</w:t>
      </w:r>
      <w:r w:rsidR="00C35F41" w:rsidRPr="00AA4677">
        <w:rPr>
          <w:rFonts w:eastAsia="Times New Roman" w:cs="Times New Roman"/>
          <w:szCs w:val="24"/>
        </w:rPr>
        <w:t xml:space="preserve"> staff</w:t>
      </w:r>
      <w:r w:rsidRPr="00AA4677">
        <w:rPr>
          <w:rFonts w:eastAsia="Times New Roman" w:cs="Times New Roman"/>
          <w:szCs w:val="24"/>
        </w:rPr>
        <w:t xml:space="preserve"> or the </w:t>
      </w:r>
      <w:r w:rsidR="00EE7207" w:rsidRPr="00AA4677">
        <w:rPr>
          <w:rFonts w:eastAsia="Times New Roman" w:cs="Times New Roman"/>
          <w:szCs w:val="24"/>
        </w:rPr>
        <w:t>IRB</w:t>
      </w:r>
      <w:r w:rsidRPr="00AA4677">
        <w:rPr>
          <w:rFonts w:eastAsia="Times New Roman" w:cs="Times New Roman"/>
          <w:szCs w:val="24"/>
        </w:rPr>
        <w:t xml:space="preserve"> members may solicit individuals from </w:t>
      </w:r>
      <w:r w:rsidR="00C35F41" w:rsidRPr="00AA4677">
        <w:rPr>
          <w:rFonts w:eastAsia="Times New Roman" w:cs="Times New Roman"/>
          <w:szCs w:val="24"/>
        </w:rPr>
        <w:t xml:space="preserve">within or outside the </w:t>
      </w:r>
      <w:r w:rsidRPr="00AA4677">
        <w:rPr>
          <w:rFonts w:eastAsia="Times New Roman" w:cs="Times New Roman"/>
          <w:szCs w:val="24"/>
        </w:rPr>
        <w:t xml:space="preserve">University competence in special areas to assist in the review of issues or protocols, which require appropriate scientific or scholarly expertise beyond or in addition to that available on </w:t>
      </w:r>
      <w:r w:rsidR="00005E81"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The need for a consultant may be determined in advance of, or during the review of the study at, the meeting. </w:t>
      </w:r>
      <w:r w:rsidR="007F36C6" w:rsidRPr="00AA4677">
        <w:rPr>
          <w:rFonts w:eastAsia="Times New Roman" w:cs="Times New Roman"/>
          <w:szCs w:val="24"/>
        </w:rPr>
        <w:t xml:space="preserve">The </w:t>
      </w:r>
      <w:r w:rsidRPr="00AA4677">
        <w:rPr>
          <w:rFonts w:eastAsia="Times New Roman" w:cs="Times New Roman"/>
          <w:szCs w:val="24"/>
        </w:rPr>
        <w:t>ORC</w:t>
      </w:r>
      <w:r w:rsidR="00005E81" w:rsidRPr="00AA4677">
        <w:rPr>
          <w:rFonts w:eastAsia="Times New Roman" w:cs="Times New Roman"/>
          <w:szCs w:val="24"/>
        </w:rPr>
        <w:t xml:space="preserve"> staff</w:t>
      </w:r>
      <w:r w:rsidRPr="00AA4677">
        <w:rPr>
          <w:rFonts w:eastAsia="Times New Roman" w:cs="Times New Roman"/>
          <w:szCs w:val="24"/>
        </w:rPr>
        <w:t xml:space="preserve"> ensure</w:t>
      </w:r>
      <w:r w:rsidR="007F36C6" w:rsidRPr="00AA4677">
        <w:rPr>
          <w:rFonts w:eastAsia="Times New Roman" w:cs="Times New Roman"/>
          <w:szCs w:val="24"/>
        </w:rPr>
        <w:t>s</w:t>
      </w:r>
      <w:r w:rsidRPr="00AA4677">
        <w:rPr>
          <w:rFonts w:eastAsia="Times New Roman" w:cs="Times New Roman"/>
          <w:szCs w:val="24"/>
        </w:rPr>
        <w:t xml:space="preserve"> that all relevant materials are provided to the consultant in a timely manner following determination that an outside review is required.  When the convened </w:t>
      </w:r>
      <w:r w:rsidR="00EE7207" w:rsidRPr="00AA4677">
        <w:rPr>
          <w:rFonts w:eastAsia="Times New Roman" w:cs="Times New Roman"/>
          <w:szCs w:val="24"/>
        </w:rPr>
        <w:t>IRB</w:t>
      </w:r>
      <w:r w:rsidRPr="00AA4677">
        <w:rPr>
          <w:rFonts w:eastAsia="Times New Roman" w:cs="Times New Roman"/>
          <w:szCs w:val="24"/>
        </w:rPr>
        <w:t xml:space="preserve"> requires consultation by </w:t>
      </w:r>
      <w:r w:rsidR="00005E81" w:rsidRPr="00AA4677">
        <w:rPr>
          <w:rFonts w:eastAsia="Times New Roman" w:cs="Times New Roman"/>
          <w:szCs w:val="24"/>
        </w:rPr>
        <w:t>i</w:t>
      </w:r>
      <w:r w:rsidRPr="00AA4677">
        <w:rPr>
          <w:rFonts w:eastAsia="Times New Roman" w:cs="Times New Roman"/>
          <w:szCs w:val="24"/>
        </w:rPr>
        <w:t xml:space="preserve">ndividuals with appropriate expertise, the study will be </w:t>
      </w:r>
      <w:r w:rsidRPr="00AA4677">
        <w:rPr>
          <w:rFonts w:eastAsia="Times New Roman" w:cs="Times New Roman"/>
          <w:szCs w:val="24"/>
        </w:rPr>
        <w:lastRenderedPageBreak/>
        <w:t>tabled and reviewed at the next convened</w:t>
      </w:r>
      <w:r w:rsidR="00005E81"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meeting.</w:t>
      </w:r>
      <w:r w:rsidR="005410A6" w:rsidRPr="00AA4677">
        <w:rPr>
          <w:rFonts w:eastAsia="Times New Roman" w:cs="Times New Roman"/>
          <w:szCs w:val="24"/>
        </w:rPr>
        <w:t xml:space="preserve"> Recommendations for consultants can be made by the IRB or the IRB staff.</w:t>
      </w:r>
    </w:p>
    <w:p w14:paraId="4CC4B5A0" w14:textId="7CED0995"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Written statements of consultants will be kept in </w:t>
      </w:r>
      <w:r w:rsidR="00EE7207" w:rsidRPr="00AA4677">
        <w:rPr>
          <w:rFonts w:eastAsia="Times New Roman" w:cs="Times New Roman"/>
          <w:szCs w:val="24"/>
        </w:rPr>
        <w:t>IRB</w:t>
      </w:r>
      <w:r w:rsidR="00005E81" w:rsidRPr="00AA4677">
        <w:rPr>
          <w:rFonts w:eastAsia="Times New Roman" w:cs="Times New Roman"/>
          <w:szCs w:val="24"/>
        </w:rPr>
        <w:t xml:space="preserve"> </w:t>
      </w:r>
      <w:r w:rsidRPr="00AA4677">
        <w:rPr>
          <w:rFonts w:eastAsia="Times New Roman" w:cs="Times New Roman"/>
          <w:szCs w:val="24"/>
        </w:rPr>
        <w:t xml:space="preserve">records. Key information provided by consultants at meetings will be documented in the minutes. Written reviews provided by the outside reviewer will be filed with the </w:t>
      </w:r>
      <w:r w:rsidR="00005E81" w:rsidRPr="00AA4677">
        <w:rPr>
          <w:rFonts w:eastAsia="Times New Roman" w:cs="Times New Roman"/>
          <w:szCs w:val="24"/>
        </w:rPr>
        <w:t>study</w:t>
      </w:r>
      <w:r w:rsidRPr="00AA4677">
        <w:rPr>
          <w:rFonts w:eastAsia="Times New Roman" w:cs="Times New Roman"/>
          <w:szCs w:val="24"/>
        </w:rPr>
        <w:t>.</w:t>
      </w:r>
    </w:p>
    <w:p w14:paraId="31788E26" w14:textId="5F945EB9"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C66572" w:rsidRPr="00AA4677">
        <w:rPr>
          <w:rFonts w:eastAsia="Times New Roman" w:cs="Times New Roman"/>
          <w:szCs w:val="24"/>
        </w:rPr>
        <w:t xml:space="preserve">AVP-RC </w:t>
      </w:r>
      <w:r w:rsidR="007F36C6" w:rsidRPr="00AA4677">
        <w:rPr>
          <w:rFonts w:eastAsia="Times New Roman" w:cs="Times New Roman"/>
          <w:szCs w:val="24"/>
        </w:rPr>
        <w:t>reviews the COI</w:t>
      </w:r>
      <w:r w:rsidRPr="00AA4677">
        <w:rPr>
          <w:rFonts w:eastAsia="Times New Roman" w:cs="Times New Roman"/>
          <w:szCs w:val="24"/>
        </w:rPr>
        <w:t xml:space="preserve"> policy for </w:t>
      </w:r>
      <w:r w:rsidR="00EE7207" w:rsidRPr="00AA4677">
        <w:rPr>
          <w:rFonts w:eastAsia="Times New Roman" w:cs="Times New Roman"/>
          <w:szCs w:val="24"/>
        </w:rPr>
        <w:t>IRB</w:t>
      </w:r>
      <w:r w:rsidR="00B11EA6" w:rsidRPr="00AA4677">
        <w:rPr>
          <w:rFonts w:eastAsia="Times New Roman" w:cs="Times New Roman"/>
          <w:szCs w:val="24"/>
        </w:rPr>
        <w:t xml:space="preserve"> members </w:t>
      </w:r>
      <w:r w:rsidR="005410A6" w:rsidRPr="00AA4677">
        <w:rPr>
          <w:rFonts w:eastAsia="Times New Roman" w:cs="Times New Roman"/>
          <w:szCs w:val="24"/>
        </w:rPr>
        <w:t>or</w:t>
      </w:r>
      <w:r w:rsidRPr="00AA4677">
        <w:rPr>
          <w:rFonts w:eastAsia="Times New Roman" w:cs="Times New Roman"/>
          <w:szCs w:val="24"/>
        </w:rPr>
        <w:t xml:space="preserve"> consultants who must </w:t>
      </w:r>
      <w:r w:rsidR="007A0FB2" w:rsidRPr="00AA4677">
        <w:rPr>
          <w:rFonts w:eastAsia="Times New Roman" w:cs="Times New Roman"/>
          <w:szCs w:val="24"/>
        </w:rPr>
        <w:t xml:space="preserve">document for the record that they do </w:t>
      </w:r>
      <w:r w:rsidRPr="00AA4677">
        <w:rPr>
          <w:rFonts w:eastAsia="Times New Roman" w:cs="Times New Roman"/>
          <w:szCs w:val="24"/>
        </w:rPr>
        <w:t xml:space="preserve">not have a </w:t>
      </w:r>
      <w:r w:rsidR="007F36C6" w:rsidRPr="00AA4677">
        <w:rPr>
          <w:rFonts w:eastAsia="Times New Roman" w:cs="Times New Roman"/>
          <w:szCs w:val="24"/>
        </w:rPr>
        <w:t>COI</w:t>
      </w:r>
      <w:r w:rsidRPr="00AA4677">
        <w:rPr>
          <w:rFonts w:eastAsia="Times New Roman" w:cs="Times New Roman"/>
          <w:szCs w:val="24"/>
        </w:rPr>
        <w:t xml:space="preserve"> prior to review. Individuals</w:t>
      </w:r>
      <w:r w:rsidR="007F36C6" w:rsidRPr="00AA4677">
        <w:rPr>
          <w:rFonts w:eastAsia="Times New Roman" w:cs="Times New Roman"/>
          <w:szCs w:val="24"/>
        </w:rPr>
        <w:t xml:space="preserve"> who have a COI</w:t>
      </w:r>
      <w:r w:rsidRPr="00AA4677">
        <w:rPr>
          <w:rFonts w:eastAsia="Times New Roman" w:cs="Times New Roman"/>
          <w:szCs w:val="24"/>
        </w:rPr>
        <w:t xml:space="preserve"> or whose spouse or </w:t>
      </w:r>
      <w:r w:rsidR="00B050E5" w:rsidRPr="00AA4677">
        <w:rPr>
          <w:rFonts w:eastAsia="Times New Roman" w:cs="Times New Roman"/>
          <w:szCs w:val="24"/>
        </w:rPr>
        <w:t xml:space="preserve">dependent child </w:t>
      </w:r>
      <w:r w:rsidRPr="00AA4677">
        <w:rPr>
          <w:rFonts w:eastAsia="Times New Roman" w:cs="Times New Roman"/>
          <w:szCs w:val="24"/>
        </w:rPr>
        <w:t>have a</w:t>
      </w:r>
      <w:r w:rsidR="007F36C6" w:rsidRPr="00AA4677">
        <w:rPr>
          <w:rFonts w:eastAsia="Times New Roman" w:cs="Times New Roman"/>
          <w:szCs w:val="24"/>
        </w:rPr>
        <w:t xml:space="preserve"> COI</w:t>
      </w:r>
      <w:r w:rsidRPr="00AA4677">
        <w:rPr>
          <w:rFonts w:eastAsia="Times New Roman" w:cs="Times New Roman"/>
          <w:szCs w:val="24"/>
        </w:rPr>
        <w:t xml:space="preserve"> with the sponsor of the research will not be invited to provide consultation. </w:t>
      </w:r>
    </w:p>
    <w:p w14:paraId="78F2052B" w14:textId="34BEF012"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consultant’s findings will be presented to the full board for consideration either in person or in writing.  If in attendance, these individuals will provide consultation but may not participate in </w:t>
      </w:r>
      <w:r w:rsidR="00F40464" w:rsidRPr="00AA4677">
        <w:rPr>
          <w:rFonts w:eastAsia="Times New Roman" w:cs="Times New Roman"/>
          <w:szCs w:val="24"/>
        </w:rPr>
        <w:t xml:space="preserve">discussion </w:t>
      </w:r>
      <w:r w:rsidR="00E33405" w:rsidRPr="00AA4677">
        <w:rPr>
          <w:rFonts w:eastAsia="Times New Roman" w:cs="Times New Roman"/>
          <w:szCs w:val="24"/>
        </w:rPr>
        <w:t>or</w:t>
      </w:r>
      <w:r w:rsidRPr="00AA4677">
        <w:rPr>
          <w:rFonts w:eastAsia="Times New Roman" w:cs="Times New Roman"/>
          <w:szCs w:val="24"/>
        </w:rPr>
        <w:t xml:space="preserve"> the vote. </w:t>
      </w:r>
    </w:p>
    <w:p w14:paraId="77BD39C1" w14:textId="13BD9F95"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Ad hoc or informal consultations requested by individual members (rather than the full board) will be requested</w:t>
      </w:r>
      <w:r w:rsidR="000216F7" w:rsidRPr="00AA4677">
        <w:rPr>
          <w:rFonts w:eastAsia="Times New Roman" w:cs="Times New Roman"/>
          <w:szCs w:val="24"/>
        </w:rPr>
        <w:t xml:space="preserve"> in a manner that protects the investigator</w:t>
      </w:r>
      <w:r w:rsidRPr="00AA4677">
        <w:rPr>
          <w:rFonts w:eastAsia="Times New Roman" w:cs="Times New Roman"/>
          <w:szCs w:val="24"/>
        </w:rPr>
        <w:t>’s confidentiality</w:t>
      </w:r>
      <w:r w:rsidR="00005E81" w:rsidRPr="00AA4677">
        <w:rPr>
          <w:rFonts w:eastAsia="Times New Roman" w:cs="Times New Roman"/>
          <w:szCs w:val="24"/>
        </w:rPr>
        <w:t xml:space="preserve"> and </w:t>
      </w:r>
      <w:proofErr w:type="gramStart"/>
      <w:r w:rsidR="00005E81" w:rsidRPr="00AA4677">
        <w:rPr>
          <w:rFonts w:eastAsia="Times New Roman" w:cs="Times New Roman"/>
          <w:szCs w:val="24"/>
        </w:rPr>
        <w:t>is in compliance with</w:t>
      </w:r>
      <w:proofErr w:type="gramEnd"/>
      <w:r w:rsidR="00005E81" w:rsidRPr="00AA4677">
        <w:rPr>
          <w:rFonts w:eastAsia="Times New Roman" w:cs="Times New Roman"/>
          <w:szCs w:val="24"/>
        </w:rPr>
        <w:t xml:space="preserve"> the </w:t>
      </w:r>
      <w:r w:rsidR="00EE7207" w:rsidRPr="00AA4677">
        <w:rPr>
          <w:rFonts w:eastAsia="Times New Roman" w:cs="Times New Roman"/>
          <w:szCs w:val="24"/>
        </w:rPr>
        <w:t>IRB</w:t>
      </w:r>
      <w:r w:rsidRPr="00AA4677">
        <w:rPr>
          <w:rFonts w:eastAsia="Times New Roman" w:cs="Times New Roman"/>
          <w:szCs w:val="24"/>
        </w:rPr>
        <w:t xml:space="preserve"> conflict of interest policy (unless the question raised is generic enough to protect the identity of the </w:t>
      </w:r>
      <w:proofErr w:type="gramStart"/>
      <w:r w:rsidRPr="00AA4677">
        <w:rPr>
          <w:rFonts w:eastAsia="Times New Roman" w:cs="Times New Roman"/>
          <w:szCs w:val="24"/>
        </w:rPr>
        <w:t xml:space="preserve">particular </w:t>
      </w:r>
      <w:r w:rsidR="002114C0" w:rsidRPr="00AA4677">
        <w:rPr>
          <w:rFonts w:eastAsia="Times New Roman" w:cs="Times New Roman"/>
          <w:szCs w:val="24"/>
        </w:rPr>
        <w:t>PI</w:t>
      </w:r>
      <w:proofErr w:type="gramEnd"/>
      <w:r w:rsidRPr="00AA4677">
        <w:rPr>
          <w:rFonts w:eastAsia="Times New Roman" w:cs="Times New Roman"/>
          <w:szCs w:val="24"/>
        </w:rPr>
        <w:t xml:space="preserve"> and research protocol).</w:t>
      </w:r>
    </w:p>
    <w:p w14:paraId="315D9A20" w14:textId="6C9FE2EB" w:rsidR="003E7C9E" w:rsidRPr="00AA4677" w:rsidRDefault="003E7C9E" w:rsidP="00696B35">
      <w:pPr>
        <w:pStyle w:val="Heading2"/>
      </w:pPr>
      <w:bookmarkStart w:id="47" w:name="_Toc192678162"/>
      <w:r w:rsidRPr="00AA4677">
        <w:t xml:space="preserve">2.11 Duties of </w:t>
      </w:r>
      <w:r w:rsidR="00EE7207" w:rsidRPr="00AA4677">
        <w:t>IRB</w:t>
      </w:r>
      <w:r w:rsidRPr="00AA4677">
        <w:t xml:space="preserve"> Members</w:t>
      </w:r>
      <w:bookmarkEnd w:id="47"/>
    </w:p>
    <w:p w14:paraId="4E7B2CD7" w14:textId="4CD13404"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agenda, submission materials, protocols, proposed informed consent forms and other appropriate documents are made available electronically to members approximately one wee</w:t>
      </w:r>
      <w:r w:rsidR="00573165" w:rsidRPr="00AA4677">
        <w:rPr>
          <w:rFonts w:eastAsia="Times New Roman" w:cs="Times New Roman"/>
          <w:szCs w:val="24"/>
        </w:rPr>
        <w:t>k prior to the convened meeting</w:t>
      </w:r>
      <w:r w:rsidRPr="00AA4677">
        <w:rPr>
          <w:rFonts w:eastAsia="Times New Roman" w:cs="Times New Roman"/>
          <w:szCs w:val="24"/>
        </w:rPr>
        <w:t xml:space="preserve"> at which the research is scheduled to be discussed.  </w:t>
      </w:r>
      <w:r w:rsidR="00EE7207" w:rsidRPr="00AA4677">
        <w:rPr>
          <w:rFonts w:eastAsia="Times New Roman" w:cs="Times New Roman"/>
          <w:szCs w:val="24"/>
        </w:rPr>
        <w:t>IRB</w:t>
      </w:r>
      <w:r w:rsidRPr="00AA4677">
        <w:rPr>
          <w:rFonts w:eastAsia="Times New Roman" w:cs="Times New Roman"/>
          <w:szCs w:val="24"/>
        </w:rPr>
        <w:t xml:space="preserve"> members will treat the research proposals, protocols, and supporting data confidentially.</w:t>
      </w:r>
    </w:p>
    <w:p w14:paraId="667400C1" w14:textId="10C54935" w:rsidR="003E7C9E" w:rsidRPr="00AA4677" w:rsidRDefault="003E7C9E" w:rsidP="00696B35">
      <w:pPr>
        <w:pStyle w:val="Heading2"/>
      </w:pPr>
      <w:bookmarkStart w:id="48" w:name="_Toc192678163"/>
      <w:r w:rsidRPr="00AA4677">
        <w:t>2.12 Attendance Requirements</w:t>
      </w:r>
      <w:r w:rsidR="00C60DBC" w:rsidRPr="00AA4677">
        <w:t xml:space="preserve"> of the </w:t>
      </w:r>
      <w:r w:rsidR="00EE7207" w:rsidRPr="00AA4677">
        <w:t>IRB</w:t>
      </w:r>
      <w:r w:rsidR="00C60DBC" w:rsidRPr="00AA4677">
        <w:t xml:space="preserve"> Members</w:t>
      </w:r>
      <w:bookmarkEnd w:id="48"/>
    </w:p>
    <w:p w14:paraId="46645D20" w14:textId="0BC3DA42" w:rsidR="003E7C9E" w:rsidRPr="00AA4677" w:rsidRDefault="00EE7207"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w:t>
      </w:r>
      <w:r w:rsidR="00941954" w:rsidRPr="00AA4677">
        <w:rPr>
          <w:rFonts w:eastAsia="Times New Roman" w:cs="Times New Roman"/>
          <w:szCs w:val="24"/>
        </w:rPr>
        <w:t xml:space="preserve"> m</w:t>
      </w:r>
      <w:r w:rsidR="003E7C9E" w:rsidRPr="00AA4677">
        <w:rPr>
          <w:rFonts w:eastAsia="Times New Roman" w:cs="Times New Roman"/>
          <w:szCs w:val="24"/>
        </w:rPr>
        <w:t>embers should attend all meetings for which they are scheduled.  If a</w:t>
      </w:r>
      <w:r w:rsidR="004B4576" w:rsidRPr="00AA4677">
        <w:rPr>
          <w:rFonts w:eastAsia="Times New Roman" w:cs="Times New Roman"/>
          <w:szCs w:val="24"/>
        </w:rPr>
        <w:t>n</w:t>
      </w:r>
      <w:r w:rsidR="003E7C9E" w:rsidRPr="00AA4677">
        <w:rPr>
          <w:rFonts w:eastAsia="Times New Roman" w:cs="Times New Roman"/>
          <w:szCs w:val="24"/>
        </w:rPr>
        <w:t xml:space="preserve"> </w:t>
      </w:r>
      <w:r w:rsidRPr="00AA4677">
        <w:rPr>
          <w:rFonts w:eastAsia="Times New Roman" w:cs="Times New Roman"/>
          <w:szCs w:val="24"/>
        </w:rPr>
        <w:t>IRB</w:t>
      </w:r>
      <w:r w:rsidR="00941954" w:rsidRPr="00AA4677">
        <w:rPr>
          <w:rFonts w:eastAsia="Times New Roman" w:cs="Times New Roman"/>
          <w:szCs w:val="24"/>
        </w:rPr>
        <w:t xml:space="preserve"> </w:t>
      </w:r>
      <w:r w:rsidR="003E7C9E" w:rsidRPr="00AA4677">
        <w:rPr>
          <w:rFonts w:eastAsia="Times New Roman" w:cs="Times New Roman"/>
          <w:szCs w:val="24"/>
        </w:rPr>
        <w:t xml:space="preserve">member is unable to attend a scheduled meeting, they should inform an ORC staff member as soon as possible.  If the inability to attend </w:t>
      </w:r>
      <w:proofErr w:type="gramStart"/>
      <w:r w:rsidR="003E7C9E" w:rsidRPr="00AA4677">
        <w:rPr>
          <w:rFonts w:eastAsia="Times New Roman" w:cs="Times New Roman"/>
          <w:szCs w:val="24"/>
        </w:rPr>
        <w:t>will be</w:t>
      </w:r>
      <w:proofErr w:type="gramEnd"/>
      <w:r w:rsidR="003E7C9E" w:rsidRPr="00AA4677">
        <w:rPr>
          <w:rFonts w:eastAsia="Times New Roman" w:cs="Times New Roman"/>
          <w:szCs w:val="24"/>
        </w:rPr>
        <w:t xml:space="preserve"> prolonged, a request for an alternate to be assigned may be submitted to the </w:t>
      </w:r>
      <w:r w:rsidR="00C66572" w:rsidRPr="00AA4677">
        <w:rPr>
          <w:rFonts w:eastAsia="Times New Roman" w:cs="Times New Roman"/>
          <w:szCs w:val="24"/>
        </w:rPr>
        <w:t>AVP-RC</w:t>
      </w:r>
      <w:r w:rsidR="003E7C9E" w:rsidRPr="00AA4677">
        <w:rPr>
          <w:rFonts w:eastAsia="Times New Roman" w:cs="Times New Roman"/>
          <w:szCs w:val="24"/>
        </w:rPr>
        <w:t>.</w:t>
      </w:r>
    </w:p>
    <w:p w14:paraId="13556DA5" w14:textId="464BB45E" w:rsidR="003E7C9E" w:rsidRPr="00AA4677" w:rsidRDefault="00941954"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a</w:t>
      </w:r>
      <w:r w:rsidR="004B4576" w:rsidRPr="00AA4677">
        <w:rPr>
          <w:rFonts w:eastAsia="Times New Roman" w:cs="Times New Roman"/>
          <w:szCs w:val="24"/>
        </w:rPr>
        <w:t>n</w:t>
      </w:r>
      <w:r w:rsidRPr="00AA4677">
        <w:rPr>
          <w:rFonts w:eastAsia="Times New Roman" w:cs="Times New Roman"/>
          <w:szCs w:val="24"/>
        </w:rPr>
        <w:t xml:space="preserve"> </w:t>
      </w:r>
      <w:r w:rsidR="00EE7207" w:rsidRPr="00AA4677">
        <w:rPr>
          <w:rFonts w:eastAsia="Times New Roman" w:cs="Times New Roman"/>
          <w:szCs w:val="24"/>
        </w:rPr>
        <w:t>IRB</w:t>
      </w:r>
      <w:r w:rsidR="003E7C9E" w:rsidRPr="00AA4677">
        <w:rPr>
          <w:rFonts w:eastAsia="Times New Roman" w:cs="Times New Roman"/>
          <w:szCs w:val="24"/>
        </w:rPr>
        <w:t xml:space="preserve"> member is to be absent for an extended </w:t>
      </w:r>
      <w:proofErr w:type="gramStart"/>
      <w:r w:rsidR="003E7C9E" w:rsidRPr="00AA4677">
        <w:rPr>
          <w:rFonts w:eastAsia="Times New Roman" w:cs="Times New Roman"/>
          <w:szCs w:val="24"/>
        </w:rPr>
        <w:t>period of time</w:t>
      </w:r>
      <w:proofErr w:type="gramEnd"/>
      <w:r w:rsidR="003E7C9E" w:rsidRPr="00AA4677">
        <w:rPr>
          <w:rFonts w:eastAsia="Times New Roman" w:cs="Times New Roman"/>
          <w:szCs w:val="24"/>
        </w:rPr>
        <w:t xml:space="preserve">, such as for a sabbatical, he or she must notify </w:t>
      </w: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at least 30 days in advance so that an appropriate replacement can be obtained.  The replacement can be temporary, for the period of absence, or permanent, following consideration by the </w:t>
      </w:r>
      <w:r w:rsidR="00C66572" w:rsidRPr="00AA4677">
        <w:rPr>
          <w:rFonts w:eastAsia="Times New Roman" w:cs="Times New Roman"/>
          <w:szCs w:val="24"/>
        </w:rPr>
        <w:t>AVP-RC</w:t>
      </w:r>
      <w:r w:rsidR="007A0FB2" w:rsidRPr="00AA4677">
        <w:rPr>
          <w:rFonts w:eastAsia="Times New Roman" w:cs="Times New Roman"/>
          <w:szCs w:val="24"/>
        </w:rPr>
        <w:t xml:space="preserve">. </w:t>
      </w:r>
      <w:r w:rsidR="003E7C9E" w:rsidRPr="00AA4677">
        <w:rPr>
          <w:rFonts w:eastAsia="Times New Roman" w:cs="Times New Roman"/>
          <w:szCs w:val="24"/>
        </w:rPr>
        <w:t xml:space="preserve">If the </w:t>
      </w:r>
      <w:r w:rsidR="00EE7207" w:rsidRPr="00AA4677">
        <w:rPr>
          <w:rFonts w:eastAsia="Times New Roman" w:cs="Times New Roman"/>
          <w:szCs w:val="24"/>
        </w:rPr>
        <w:t>IRB</w:t>
      </w:r>
      <w:r w:rsidRPr="00AA4677">
        <w:rPr>
          <w:rFonts w:eastAsia="Times New Roman" w:cs="Times New Roman"/>
          <w:szCs w:val="24"/>
        </w:rPr>
        <w:t xml:space="preserve"> </w:t>
      </w:r>
      <w:r w:rsidR="003E7C9E" w:rsidRPr="00AA4677">
        <w:rPr>
          <w:rFonts w:eastAsia="Times New Roman" w:cs="Times New Roman"/>
          <w:szCs w:val="24"/>
        </w:rPr>
        <w:t>member has a de</w:t>
      </w:r>
      <w:r w:rsidR="00F40464" w:rsidRPr="00AA4677">
        <w:rPr>
          <w:rFonts w:eastAsia="Times New Roman" w:cs="Times New Roman"/>
          <w:szCs w:val="24"/>
        </w:rPr>
        <w:t>signated alternate</w:t>
      </w:r>
      <w:r w:rsidR="003E7C9E" w:rsidRPr="00AA4677">
        <w:rPr>
          <w:rFonts w:eastAsia="Times New Roman" w:cs="Times New Roman"/>
          <w:szCs w:val="24"/>
        </w:rPr>
        <w:t xml:space="preserve">, the alternate can serve during the primary </w:t>
      </w:r>
      <w:r w:rsidR="00EE7207" w:rsidRPr="00AA4677">
        <w:rPr>
          <w:rFonts w:eastAsia="Times New Roman" w:cs="Times New Roman"/>
          <w:szCs w:val="24"/>
        </w:rPr>
        <w:t>IRB</w:t>
      </w:r>
      <w:r w:rsidRPr="00AA4677">
        <w:rPr>
          <w:rFonts w:eastAsia="Times New Roman" w:cs="Times New Roman"/>
          <w:szCs w:val="24"/>
        </w:rPr>
        <w:t xml:space="preserve"> </w:t>
      </w:r>
      <w:r w:rsidR="003E7C9E" w:rsidRPr="00AA4677">
        <w:rPr>
          <w:rFonts w:eastAsia="Times New Roman" w:cs="Times New Roman"/>
          <w:szCs w:val="24"/>
        </w:rPr>
        <w:t>member’s absence</w:t>
      </w:r>
      <w:r w:rsidR="007A0FB2" w:rsidRPr="00AA4677">
        <w:rPr>
          <w:rFonts w:eastAsia="Times New Roman" w:cs="Times New Roman"/>
          <w:szCs w:val="24"/>
        </w:rPr>
        <w:t>.</w:t>
      </w:r>
    </w:p>
    <w:p w14:paraId="4F5BFE53" w14:textId="48C29357" w:rsidR="003E7C9E" w:rsidRPr="00AA4677" w:rsidRDefault="003E7C9E" w:rsidP="00696B35">
      <w:pPr>
        <w:pStyle w:val="Heading2"/>
      </w:pPr>
      <w:bookmarkStart w:id="49" w:name="_Toc192678164"/>
      <w:r w:rsidRPr="00AA4677">
        <w:lastRenderedPageBreak/>
        <w:t xml:space="preserve">2.13 Training/ Ongoing Education </w:t>
      </w:r>
      <w:r w:rsidR="00C60DBC" w:rsidRPr="00AA4677">
        <w:t>for</w:t>
      </w:r>
      <w:r w:rsidRPr="00AA4677">
        <w:t xml:space="preserve"> </w:t>
      </w:r>
      <w:r w:rsidR="00116C1D" w:rsidRPr="00AA4677">
        <w:t xml:space="preserve">the </w:t>
      </w:r>
      <w:r w:rsidR="00EE7207" w:rsidRPr="00AA4677">
        <w:t>IRB</w:t>
      </w:r>
      <w:r w:rsidR="00116C1D" w:rsidRPr="00AA4677">
        <w:t xml:space="preserve"> </w:t>
      </w:r>
      <w:r w:rsidRPr="00AA4677">
        <w:t>Chair and Members</w:t>
      </w:r>
      <w:r w:rsidR="00516F61" w:rsidRPr="00AA4677">
        <w:t xml:space="preserve"> and HRPP Staff</w:t>
      </w:r>
      <w:bookmarkEnd w:id="49"/>
    </w:p>
    <w:p w14:paraId="24838885" w14:textId="01D1AD52" w:rsidR="00887DA1" w:rsidRPr="00AA4677" w:rsidRDefault="003E7C9E" w:rsidP="003E7C9E">
      <w:pPr>
        <w:shd w:val="clear" w:color="auto" w:fill="FFFFFF"/>
        <w:spacing w:before="100" w:beforeAutospacing="1" w:after="100" w:afterAutospacing="1" w:line="240" w:lineRule="auto"/>
        <w:rPr>
          <w:rFonts w:eastAsia="Times New Roman" w:cs="Times New Roman"/>
          <w:b/>
          <w:bCs/>
          <w:szCs w:val="24"/>
        </w:rPr>
      </w:pPr>
      <w:r w:rsidRPr="00AA4677">
        <w:rPr>
          <w:rFonts w:eastAsia="Times New Roman" w:cs="Times New Roman"/>
          <w:szCs w:val="24"/>
        </w:rPr>
        <w:t xml:space="preserve">A vital component of a comprehensive human research protection program is an education program for </w:t>
      </w:r>
      <w:r w:rsidR="00EE7207" w:rsidRPr="00AA4677">
        <w:rPr>
          <w:rFonts w:eastAsia="Times New Roman" w:cs="Times New Roman"/>
          <w:szCs w:val="24"/>
        </w:rPr>
        <w:t>IRB</w:t>
      </w:r>
      <w:r w:rsidR="00516F61" w:rsidRPr="00AA4677">
        <w:rPr>
          <w:rFonts w:eastAsia="Times New Roman" w:cs="Times New Roman"/>
          <w:szCs w:val="24"/>
        </w:rPr>
        <w:t xml:space="preserve"> Chairs, </w:t>
      </w:r>
      <w:r w:rsidR="00EE7207" w:rsidRPr="00AA4677">
        <w:rPr>
          <w:rFonts w:eastAsia="Times New Roman" w:cs="Times New Roman"/>
          <w:szCs w:val="24"/>
        </w:rPr>
        <w:t>IRB</w:t>
      </w:r>
      <w:r w:rsidR="00941954" w:rsidRPr="00AA4677">
        <w:rPr>
          <w:rFonts w:eastAsia="Times New Roman" w:cs="Times New Roman"/>
          <w:szCs w:val="24"/>
        </w:rPr>
        <w:t xml:space="preserve"> </w:t>
      </w:r>
      <w:r w:rsidRPr="00AA4677">
        <w:rPr>
          <w:rFonts w:eastAsia="Times New Roman" w:cs="Times New Roman"/>
          <w:szCs w:val="24"/>
        </w:rPr>
        <w:t>members</w:t>
      </w:r>
      <w:r w:rsidR="00516F61" w:rsidRPr="00AA4677">
        <w:rPr>
          <w:rFonts w:eastAsia="Times New Roman" w:cs="Times New Roman"/>
          <w:szCs w:val="24"/>
        </w:rPr>
        <w:t xml:space="preserve"> and HRPP staff</w:t>
      </w:r>
      <w:r w:rsidRPr="00AA4677">
        <w:rPr>
          <w:rFonts w:eastAsia="Times New Roman" w:cs="Times New Roman"/>
          <w:szCs w:val="24"/>
        </w:rPr>
        <w:t xml:space="preserve">. </w:t>
      </w:r>
      <w:r w:rsidR="00573165" w:rsidRPr="00AA4677">
        <w:rPr>
          <w:rFonts w:eastAsia="Times New Roman" w:cs="Times New Roman"/>
          <w:szCs w:val="24"/>
        </w:rPr>
        <w:t xml:space="preserve"> The University</w:t>
      </w:r>
      <w:r w:rsidRPr="00AA4677">
        <w:rPr>
          <w:rFonts w:eastAsia="Times New Roman" w:cs="Times New Roman"/>
          <w:szCs w:val="24"/>
        </w:rPr>
        <w:t xml:space="preserve"> is committed to providing training and an on-going educational process for </w:t>
      </w:r>
      <w:r w:rsidR="00EE7207" w:rsidRPr="00AA4677">
        <w:rPr>
          <w:rFonts w:eastAsia="Times New Roman" w:cs="Times New Roman"/>
          <w:szCs w:val="24"/>
        </w:rPr>
        <w:t>IRB</w:t>
      </w:r>
      <w:r w:rsidR="00941954" w:rsidRPr="00AA4677">
        <w:rPr>
          <w:rFonts w:eastAsia="Times New Roman" w:cs="Times New Roman"/>
          <w:szCs w:val="24"/>
        </w:rPr>
        <w:t xml:space="preserve"> </w:t>
      </w:r>
      <w:r w:rsidRPr="00AA4677">
        <w:rPr>
          <w:rFonts w:eastAsia="Times New Roman" w:cs="Times New Roman"/>
          <w:szCs w:val="24"/>
        </w:rPr>
        <w:t xml:space="preserve">members and </w:t>
      </w:r>
      <w:r w:rsidR="00516F61" w:rsidRPr="00AA4677">
        <w:rPr>
          <w:rFonts w:eastAsia="Times New Roman" w:cs="Times New Roman"/>
          <w:szCs w:val="24"/>
        </w:rPr>
        <w:t>HRPP</w:t>
      </w:r>
      <w:r w:rsidR="00941954" w:rsidRPr="00AA4677">
        <w:rPr>
          <w:rFonts w:eastAsia="Times New Roman" w:cs="Times New Roman"/>
          <w:szCs w:val="24"/>
        </w:rPr>
        <w:t xml:space="preserve"> staff</w:t>
      </w:r>
      <w:r w:rsidRPr="00AA4677">
        <w:rPr>
          <w:rFonts w:eastAsia="Times New Roman" w:cs="Times New Roman"/>
          <w:szCs w:val="24"/>
        </w:rPr>
        <w:t xml:space="preserve"> related to ethical c</w:t>
      </w:r>
      <w:r w:rsidR="009279F2" w:rsidRPr="00AA4677">
        <w:rPr>
          <w:rFonts w:eastAsia="Times New Roman" w:cs="Times New Roman"/>
          <w:szCs w:val="24"/>
        </w:rPr>
        <w:t>oncerns,</w:t>
      </w:r>
      <w:r w:rsidRPr="00AA4677">
        <w:rPr>
          <w:rFonts w:eastAsia="Times New Roman" w:cs="Times New Roman"/>
          <w:szCs w:val="24"/>
        </w:rPr>
        <w:t xml:space="preserve"> regulatory and </w:t>
      </w:r>
      <w:r w:rsidR="00941954" w:rsidRPr="00AA4677">
        <w:rPr>
          <w:rFonts w:eastAsia="Times New Roman" w:cs="Times New Roman"/>
          <w:szCs w:val="24"/>
        </w:rPr>
        <w:t>University</w:t>
      </w:r>
      <w:r w:rsidRPr="00AA4677">
        <w:rPr>
          <w:rFonts w:eastAsia="Times New Roman" w:cs="Times New Roman"/>
          <w:szCs w:val="24"/>
        </w:rPr>
        <w:t xml:space="preserve"> requirements</w:t>
      </w:r>
      <w:r w:rsidR="009279F2" w:rsidRPr="00AA4677">
        <w:rPr>
          <w:rFonts w:eastAsia="Times New Roman" w:cs="Times New Roman"/>
          <w:szCs w:val="24"/>
        </w:rPr>
        <w:t>, and emergency preparedness</w:t>
      </w:r>
      <w:r w:rsidRPr="00AA4677">
        <w:rPr>
          <w:rFonts w:eastAsia="Times New Roman" w:cs="Times New Roman"/>
          <w:szCs w:val="24"/>
        </w:rPr>
        <w:t xml:space="preserve"> for the protection of human subjects.</w:t>
      </w:r>
      <w:r w:rsidR="00F40464" w:rsidRPr="00AA4677">
        <w:rPr>
          <w:rFonts w:eastAsia="Times New Roman" w:cs="Times New Roman"/>
          <w:szCs w:val="24"/>
        </w:rPr>
        <w:t> </w:t>
      </w:r>
    </w:p>
    <w:p w14:paraId="784EBE47" w14:textId="77777777" w:rsidR="00EF4BFB" w:rsidRPr="00AA4677" w:rsidRDefault="00EF4BFB" w:rsidP="00EF4BF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Training</w:t>
      </w:r>
    </w:p>
    <w:p w14:paraId="56039749" w14:textId="288BF103" w:rsidR="0092485C" w:rsidRPr="00AA4677" w:rsidRDefault="00EF4BFB" w:rsidP="0092485C">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New IRB members, including alternate members, will meet with the AVP-RC or designee for a formal orientation/training session prior to serving on the IRB. IRB Chairs are considered experienced IRB members and receive ongoing training at the monthly IRB Chair meeting. </w:t>
      </w:r>
      <w:r w:rsidR="0092485C" w:rsidRPr="00AA4677">
        <w:rPr>
          <w:rFonts w:eastAsia="Times New Roman" w:cs="Times New Roman"/>
          <w:szCs w:val="24"/>
        </w:rPr>
        <w:t>New IRB members will complete the Biomedical IRB member CITI Training.</w:t>
      </w:r>
    </w:p>
    <w:p w14:paraId="7FE69456" w14:textId="62CFB83D" w:rsidR="00EF4BFB" w:rsidRPr="00AA4677" w:rsidRDefault="0092485C" w:rsidP="00EF4BF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Following new IRB member in-person training, t</w:t>
      </w:r>
      <w:r w:rsidR="00EF4BFB" w:rsidRPr="00AA4677">
        <w:rPr>
          <w:rFonts w:eastAsia="Times New Roman" w:cs="Times New Roman"/>
          <w:szCs w:val="24"/>
        </w:rPr>
        <w:t xml:space="preserve">he </w:t>
      </w:r>
      <w:r w:rsidR="004D0DB1" w:rsidRPr="00AA4677">
        <w:rPr>
          <w:rFonts w:eastAsia="Times New Roman" w:cs="Times New Roman"/>
          <w:szCs w:val="24"/>
        </w:rPr>
        <w:t>new IRB member</w:t>
      </w:r>
      <w:r w:rsidR="00EF4BFB" w:rsidRPr="00AA4677">
        <w:rPr>
          <w:rFonts w:eastAsia="Times New Roman" w:cs="Times New Roman"/>
          <w:szCs w:val="24"/>
        </w:rPr>
        <w:t xml:space="preserve"> will be given:</w:t>
      </w:r>
    </w:p>
    <w:p w14:paraId="4BD5B2D5" w14:textId="57222B1E"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SBU Human Research Protection Program </w:t>
      </w:r>
      <w:r w:rsidR="0092485C" w:rsidRPr="00AA4677">
        <w:rPr>
          <w:rFonts w:eastAsia="Times New Roman" w:cs="Times New Roman"/>
          <w:szCs w:val="24"/>
        </w:rPr>
        <w:t>website</w:t>
      </w:r>
    </w:p>
    <w:p w14:paraId="603A7E80" w14:textId="4740E350"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Belmont Report </w:t>
      </w:r>
      <w:r w:rsidR="0092485C" w:rsidRPr="00AA4677">
        <w:rPr>
          <w:rFonts w:eastAsia="Times New Roman" w:cs="Times New Roman"/>
          <w:szCs w:val="24"/>
        </w:rPr>
        <w:t>(link)</w:t>
      </w:r>
    </w:p>
    <w:p w14:paraId="3F13EEA2" w14:textId="0F7CF50F"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Stony Brook University HRPP Standard Operating Procedures</w:t>
      </w:r>
      <w:r w:rsidR="0092485C" w:rsidRPr="00AA4677">
        <w:rPr>
          <w:rFonts w:eastAsia="Times New Roman" w:cs="Times New Roman"/>
          <w:szCs w:val="24"/>
        </w:rPr>
        <w:t xml:space="preserve"> (link)</w:t>
      </w:r>
    </w:p>
    <w:p w14:paraId="7AB69989" w14:textId="444C8A62"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Federal regulations relevant to IRBs</w:t>
      </w:r>
      <w:r w:rsidR="0092485C" w:rsidRPr="00AA4677">
        <w:rPr>
          <w:rFonts w:eastAsia="Times New Roman" w:cs="Times New Roman"/>
          <w:szCs w:val="24"/>
        </w:rPr>
        <w:t xml:space="preserve"> (link)</w:t>
      </w:r>
    </w:p>
    <w:p w14:paraId="4A2D110F" w14:textId="2C3865FF"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Reviewer worksheets and checklists</w:t>
      </w:r>
      <w:r w:rsidR="0092485C" w:rsidRPr="00AA4677">
        <w:rPr>
          <w:rFonts w:eastAsia="Times New Roman" w:cs="Times New Roman"/>
          <w:szCs w:val="24"/>
        </w:rPr>
        <w:t xml:space="preserve"> (link to myResearch IRB library)</w:t>
      </w:r>
    </w:p>
    <w:p w14:paraId="5EAF5CC3" w14:textId="249CA5B9"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Emergency Preparedness and Response Plan</w:t>
      </w:r>
      <w:r w:rsidR="0092485C" w:rsidRPr="00AA4677">
        <w:rPr>
          <w:rFonts w:eastAsia="Times New Roman" w:cs="Times New Roman"/>
          <w:szCs w:val="24"/>
        </w:rPr>
        <w:t xml:space="preserve"> (link)</w:t>
      </w:r>
    </w:p>
    <w:p w14:paraId="2B8B6150" w14:textId="77777777" w:rsidR="00EF4BFB" w:rsidRPr="00AA4677" w:rsidRDefault="00EF4BFB" w:rsidP="00EF4BF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New HRPP staff receive formal education and training as appropriate to the position by the supervisor. New HRPP staff will be given:</w:t>
      </w:r>
    </w:p>
    <w:p w14:paraId="1D211567" w14:textId="77777777"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Web links to the SBU Human Research Protection Program and SOPs</w:t>
      </w:r>
    </w:p>
    <w:p w14:paraId="193ED402" w14:textId="77777777"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Belmont Report</w:t>
      </w:r>
    </w:p>
    <w:p w14:paraId="1A57FE10" w14:textId="77777777"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Stony Brook University HRPP Standard Operating Procedures</w:t>
      </w:r>
    </w:p>
    <w:p w14:paraId="3CBA5B2B" w14:textId="77777777"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Federal regulations relevant to human subject protection. </w:t>
      </w:r>
    </w:p>
    <w:p w14:paraId="544852AB" w14:textId="77777777"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Reviewer worksheets and checklists</w:t>
      </w:r>
    </w:p>
    <w:p w14:paraId="75983FFC" w14:textId="77777777" w:rsidR="00EF4BFB" w:rsidRPr="00AA4677" w:rsidRDefault="00EF4BFB">
      <w:pPr>
        <w:numPr>
          <w:ilvl w:val="0"/>
          <w:numId w:val="19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Copy of the Emergency Preparedness and Response Plan</w:t>
      </w:r>
    </w:p>
    <w:p w14:paraId="6CDBACE4" w14:textId="77777777" w:rsidR="00EF4BFB" w:rsidRPr="00AA4677" w:rsidRDefault="00EF4BFB" w:rsidP="00EF4BF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Continuing Education</w:t>
      </w:r>
    </w:p>
    <w:p w14:paraId="42849AE4" w14:textId="77777777" w:rsidR="00EF4BFB" w:rsidRPr="00AA4677" w:rsidRDefault="00EF4BFB" w:rsidP="00EF4BF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To ensure that oversight of human research is ethically grounded and the decisions made by the IRB </w:t>
      </w:r>
      <w:proofErr w:type="gramStart"/>
      <w:r w:rsidRPr="00AA4677">
        <w:rPr>
          <w:rFonts w:eastAsia="Times New Roman" w:cs="Times New Roman"/>
          <w:szCs w:val="24"/>
        </w:rPr>
        <w:t>is</w:t>
      </w:r>
      <w:proofErr w:type="gramEnd"/>
      <w:r w:rsidRPr="00AA4677">
        <w:rPr>
          <w:rFonts w:eastAsia="Times New Roman" w:cs="Times New Roman"/>
          <w:szCs w:val="24"/>
        </w:rPr>
        <w:t xml:space="preserve"> consistent with current regulatory and policy requirements, training is continuous for IRB members and IRB Chairs throughout their service on the IRB by the Human Research Protection </w:t>
      </w:r>
      <w:r w:rsidRPr="00AA4677">
        <w:rPr>
          <w:rFonts w:eastAsia="Times New Roman" w:cs="Times New Roman"/>
          <w:szCs w:val="24"/>
        </w:rPr>
        <w:lastRenderedPageBreak/>
        <w:t>Program staff. If IRB members and IRB Chairs refuse to complete training requirements they are removed from the committee. Educational activities include, but are not limited to:</w:t>
      </w:r>
    </w:p>
    <w:p w14:paraId="7437049A" w14:textId="77777777" w:rsidR="00EF4BFB" w:rsidRPr="00AA4677" w:rsidRDefault="00EF4BFB">
      <w:pPr>
        <w:numPr>
          <w:ilvl w:val="0"/>
          <w:numId w:val="19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CITI IRB member training (to be completed every 3 years)</w:t>
      </w:r>
    </w:p>
    <w:p w14:paraId="7DB877BC" w14:textId="77777777" w:rsidR="00EF4BFB" w:rsidRPr="00AA4677" w:rsidRDefault="00EF4BFB">
      <w:pPr>
        <w:numPr>
          <w:ilvl w:val="0"/>
          <w:numId w:val="19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In-service training at IRB meetings (monthly</w:t>
      </w:r>
      <w:proofErr w:type="gramStart"/>
      <w:r w:rsidRPr="00AA4677">
        <w:rPr>
          <w:rFonts w:eastAsia="Times New Roman" w:cs="Times New Roman"/>
          <w:szCs w:val="24"/>
        </w:rPr>
        <w:t>);</w:t>
      </w:r>
      <w:proofErr w:type="gramEnd"/>
    </w:p>
    <w:p w14:paraId="28D667CD" w14:textId="77777777" w:rsidR="00EF4BFB" w:rsidRPr="00AA4677" w:rsidRDefault="00EF4BFB">
      <w:pPr>
        <w:numPr>
          <w:ilvl w:val="0"/>
          <w:numId w:val="197"/>
        </w:num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Webinars;</w:t>
      </w:r>
      <w:proofErr w:type="gramEnd"/>
    </w:p>
    <w:p w14:paraId="4458EABB" w14:textId="77777777" w:rsidR="00EF4BFB" w:rsidRPr="00AA4677" w:rsidRDefault="00EF4BFB">
      <w:pPr>
        <w:numPr>
          <w:ilvl w:val="0"/>
          <w:numId w:val="19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Copies of appropriate publications and </w:t>
      </w:r>
      <w:proofErr w:type="gramStart"/>
      <w:r w:rsidRPr="00AA4677">
        <w:rPr>
          <w:rFonts w:eastAsia="Times New Roman" w:cs="Times New Roman"/>
          <w:szCs w:val="24"/>
        </w:rPr>
        <w:t>articles;</w:t>
      </w:r>
      <w:proofErr w:type="gramEnd"/>
    </w:p>
    <w:p w14:paraId="2231D7CF" w14:textId="77777777" w:rsidR="00EF4BFB" w:rsidRPr="00AA4677" w:rsidRDefault="00EF4BFB">
      <w:pPr>
        <w:numPr>
          <w:ilvl w:val="0"/>
          <w:numId w:val="19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Identification and dissemination by the AVP-RC of new information that might </w:t>
      </w:r>
      <w:proofErr w:type="gramStart"/>
      <w:r w:rsidRPr="00AA4677">
        <w:rPr>
          <w:rFonts w:eastAsia="Times New Roman" w:cs="Times New Roman"/>
          <w:szCs w:val="24"/>
        </w:rPr>
        <w:t>have an effect on</w:t>
      </w:r>
      <w:proofErr w:type="gramEnd"/>
      <w:r w:rsidRPr="00AA4677">
        <w:rPr>
          <w:rFonts w:eastAsia="Times New Roman" w:cs="Times New Roman"/>
          <w:szCs w:val="24"/>
        </w:rPr>
        <w:t xml:space="preserve"> the human research protection program, including laws, regulations, policies, procedures, and emerging ethical and scientific issues is presented to IRB members via email, mail, or during IRB meetings. </w:t>
      </w:r>
    </w:p>
    <w:p w14:paraId="6D30EBCD" w14:textId="77777777" w:rsidR="00EF4BFB" w:rsidRPr="00AA4677" w:rsidRDefault="00EF4BFB" w:rsidP="00EF4BF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 Chairs receive a monthly training during the IRB Chair meeting on a variety of topics pertinent to human subject protection. If the Chair is not in attendance, the education and training is sent to the Chair via email.</w:t>
      </w:r>
    </w:p>
    <w:p w14:paraId="08D2FBE1" w14:textId="77777777" w:rsidR="00EF4BFB" w:rsidRPr="00AA4677" w:rsidRDefault="00EF4BFB" w:rsidP="00EF4BF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IO will provide support to send as many members of the IRB as are interested in attending the annual PRIM&amp;R conference. </w:t>
      </w:r>
    </w:p>
    <w:p w14:paraId="2115A980" w14:textId="77777777" w:rsidR="00EF4BFB" w:rsidRPr="00AA4677" w:rsidRDefault="00EF4BFB" w:rsidP="00EF4BFB">
      <w:pPr>
        <w:rPr>
          <w:rFonts w:ascii="Times New Roman" w:eastAsia="Times New Roman" w:hAnsi="Times New Roman" w:cs="Times New Roman"/>
          <w:szCs w:val="24"/>
        </w:rPr>
      </w:pPr>
      <w:r w:rsidRPr="00AA4677">
        <w:rPr>
          <w:rFonts w:eastAsia="Times New Roman" w:cs="Times New Roman"/>
          <w:szCs w:val="24"/>
        </w:rPr>
        <w:t xml:space="preserve">Initial training of staff is done through a mentorship program lasting several months that includes review of the following: </w:t>
      </w:r>
    </w:p>
    <w:p w14:paraId="57146745" w14:textId="77777777" w:rsidR="00EF4BFB" w:rsidRPr="00AA4677" w:rsidRDefault="00EF4BFB">
      <w:pPr>
        <w:numPr>
          <w:ilvl w:val="0"/>
          <w:numId w:val="328"/>
        </w:numPr>
        <w:shd w:val="clear" w:color="auto" w:fill="FFFFFF"/>
        <w:spacing w:before="100" w:beforeAutospacing="1" w:after="100" w:afterAutospacing="1" w:line="240" w:lineRule="auto"/>
        <w:ind w:left="360"/>
        <w:rPr>
          <w:rFonts w:ascii="Arial" w:eastAsia="Times New Roman" w:hAnsi="Arial" w:cs="Arial"/>
          <w:color w:val="222222"/>
          <w:szCs w:val="24"/>
        </w:rPr>
      </w:pPr>
      <w:r w:rsidRPr="00AA4677">
        <w:rPr>
          <w:rFonts w:ascii="Calibri" w:eastAsia="Times New Roman" w:hAnsi="Calibri" w:cs="Calibri"/>
          <w:color w:val="222222"/>
          <w:szCs w:val="24"/>
          <w:shd w:val="clear" w:color="auto" w:fill="FFFFFF"/>
        </w:rPr>
        <w:t xml:space="preserve">The Human Research Protection </w:t>
      </w:r>
      <w:proofErr w:type="gramStart"/>
      <w:r w:rsidRPr="00AA4677">
        <w:rPr>
          <w:rFonts w:ascii="Calibri" w:eastAsia="Times New Roman" w:hAnsi="Calibri" w:cs="Calibri"/>
          <w:color w:val="222222"/>
          <w:szCs w:val="24"/>
          <w:shd w:val="clear" w:color="auto" w:fill="FFFFFF"/>
        </w:rPr>
        <w:t>Program</w:t>
      </w:r>
      <w:proofErr w:type="gramEnd"/>
      <w:r w:rsidRPr="00AA4677">
        <w:rPr>
          <w:rFonts w:ascii="Calibri" w:eastAsia="Times New Roman" w:hAnsi="Calibri" w:cs="Calibri"/>
          <w:color w:val="222222"/>
          <w:szCs w:val="24"/>
          <w:shd w:val="clear" w:color="auto" w:fill="FFFFFF"/>
        </w:rPr>
        <w:t xml:space="preserve"> standard operating procedures, federal regulations, state laws and institutional policy.</w:t>
      </w:r>
    </w:p>
    <w:p w14:paraId="44CA9EC1" w14:textId="77777777" w:rsidR="00EF4BFB" w:rsidRPr="00AA4677" w:rsidRDefault="00EF4BFB">
      <w:pPr>
        <w:numPr>
          <w:ilvl w:val="0"/>
          <w:numId w:val="328"/>
        </w:numPr>
        <w:shd w:val="clear" w:color="auto" w:fill="FFFFFF"/>
        <w:spacing w:before="100" w:beforeAutospacing="1" w:after="100" w:afterAutospacing="1" w:line="240" w:lineRule="auto"/>
        <w:ind w:left="360"/>
        <w:rPr>
          <w:rFonts w:ascii="Arial" w:eastAsia="Times New Roman" w:hAnsi="Arial" w:cs="Arial"/>
          <w:color w:val="222222"/>
          <w:szCs w:val="24"/>
        </w:rPr>
      </w:pPr>
      <w:r w:rsidRPr="00AA4677">
        <w:rPr>
          <w:rFonts w:ascii="Calibri" w:eastAsia="Times New Roman" w:hAnsi="Calibri" w:cs="Calibri"/>
          <w:color w:val="222222"/>
          <w:szCs w:val="24"/>
          <w:shd w:val="clear" w:color="auto" w:fill="FFFFFF"/>
        </w:rPr>
        <w:t xml:space="preserve">The research forms </w:t>
      </w:r>
      <w:proofErr w:type="gramStart"/>
      <w:r w:rsidRPr="00AA4677">
        <w:rPr>
          <w:rFonts w:ascii="Calibri" w:eastAsia="Times New Roman" w:hAnsi="Calibri" w:cs="Calibri"/>
          <w:color w:val="222222"/>
          <w:szCs w:val="24"/>
          <w:shd w:val="clear" w:color="auto" w:fill="FFFFFF"/>
        </w:rPr>
        <w:t>used</w:t>
      </w:r>
      <w:proofErr w:type="gramEnd"/>
      <w:r w:rsidRPr="00AA4677">
        <w:rPr>
          <w:rFonts w:ascii="Calibri" w:eastAsia="Times New Roman" w:hAnsi="Calibri" w:cs="Calibri"/>
          <w:color w:val="222222"/>
          <w:szCs w:val="24"/>
          <w:shd w:val="clear" w:color="auto" w:fill="FFFFFF"/>
        </w:rPr>
        <w:t xml:space="preserve"> by the IRB staff and research community.</w:t>
      </w:r>
    </w:p>
    <w:p w14:paraId="2C39200A" w14:textId="77777777" w:rsidR="00EF4BFB" w:rsidRPr="00AA4677" w:rsidRDefault="00EF4BFB">
      <w:pPr>
        <w:numPr>
          <w:ilvl w:val="0"/>
          <w:numId w:val="328"/>
        </w:numPr>
        <w:shd w:val="clear" w:color="auto" w:fill="FFFFFF"/>
        <w:spacing w:before="100" w:beforeAutospacing="1" w:after="100" w:afterAutospacing="1" w:line="240" w:lineRule="auto"/>
        <w:ind w:left="360"/>
        <w:rPr>
          <w:rFonts w:ascii="Arial" w:eastAsia="Times New Roman" w:hAnsi="Arial" w:cs="Arial"/>
          <w:color w:val="222222"/>
          <w:szCs w:val="24"/>
        </w:rPr>
      </w:pPr>
      <w:r w:rsidRPr="00AA4677">
        <w:rPr>
          <w:rFonts w:ascii="Calibri" w:eastAsia="Times New Roman" w:hAnsi="Calibri" w:cs="Calibri"/>
          <w:color w:val="222222"/>
          <w:szCs w:val="24"/>
          <w:shd w:val="clear" w:color="auto" w:fill="FFFFFF"/>
        </w:rPr>
        <w:t>External resources relevant to the conduct of research (i.e. OHRP website).</w:t>
      </w:r>
    </w:p>
    <w:p w14:paraId="268EF5E1" w14:textId="77777777" w:rsidR="00EF4BFB" w:rsidRPr="00AA4677" w:rsidRDefault="00EF4BFB" w:rsidP="00EF4BF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IRB staff are also required to complete applicable modules of the CITI course in the Protection of Human Research Subjects initially and every 3 years.  IRB staff will be expected to attend at least one conference/webinar (e.g., PRIMR, etc.) annually. Information regarding incomplete or non-existent training will be included </w:t>
      </w:r>
      <w:proofErr w:type="gramStart"/>
      <w:r w:rsidRPr="00AA4677">
        <w:rPr>
          <w:rFonts w:eastAsia="Times New Roman" w:cs="Times New Roman"/>
          <w:szCs w:val="24"/>
        </w:rPr>
        <w:t>on</w:t>
      </w:r>
      <w:proofErr w:type="gramEnd"/>
      <w:r w:rsidRPr="00AA4677">
        <w:rPr>
          <w:rFonts w:eastAsia="Times New Roman" w:cs="Times New Roman"/>
          <w:szCs w:val="24"/>
        </w:rPr>
        <w:t xml:space="preserve"> the annual evaluation for all staff members as necessary.</w:t>
      </w:r>
    </w:p>
    <w:p w14:paraId="5B11042F" w14:textId="278ED73F" w:rsidR="003E7C9E" w:rsidRPr="00AA4677" w:rsidRDefault="003E7C9E" w:rsidP="00696B35">
      <w:pPr>
        <w:pStyle w:val="Heading2"/>
      </w:pPr>
      <w:bookmarkStart w:id="50" w:name="_Toc192678165"/>
      <w:r w:rsidRPr="00AA4677">
        <w:t xml:space="preserve">2.14 Liability Coverage for </w:t>
      </w:r>
      <w:r w:rsidR="00EE7207" w:rsidRPr="00AA4677">
        <w:t>IRB</w:t>
      </w:r>
      <w:r w:rsidRPr="00AA4677">
        <w:t xml:space="preserve"> Members</w:t>
      </w:r>
      <w:bookmarkEnd w:id="50"/>
    </w:p>
    <w:p w14:paraId="73DF202A" w14:textId="4B42BFEC" w:rsidR="003E7C9E" w:rsidRPr="00AA4677" w:rsidRDefault="00F40464"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3E7C9E" w:rsidRPr="00AA4677">
        <w:rPr>
          <w:rFonts w:eastAsia="Times New Roman" w:cs="Times New Roman"/>
          <w:szCs w:val="24"/>
        </w:rPr>
        <w:t xml:space="preserve">on-site </w:t>
      </w:r>
      <w:r w:rsidR="00EE7207" w:rsidRPr="00AA4677">
        <w:rPr>
          <w:rFonts w:eastAsia="Times New Roman" w:cs="Times New Roman"/>
          <w:szCs w:val="24"/>
        </w:rPr>
        <w:t>IRB</w:t>
      </w:r>
      <w:r w:rsidR="001F72B4" w:rsidRPr="00AA4677">
        <w:rPr>
          <w:rFonts w:eastAsia="Times New Roman" w:cs="Times New Roman"/>
          <w:szCs w:val="24"/>
        </w:rPr>
        <w:t xml:space="preserve"> </w:t>
      </w:r>
      <w:r w:rsidRPr="00AA4677">
        <w:rPr>
          <w:rFonts w:eastAsia="Times New Roman" w:cs="Times New Roman"/>
          <w:szCs w:val="24"/>
        </w:rPr>
        <w:t>is constituted by</w:t>
      </w:r>
      <w:r w:rsidR="003E7C9E" w:rsidRPr="00AA4677">
        <w:rPr>
          <w:rFonts w:eastAsia="Times New Roman" w:cs="Times New Roman"/>
          <w:szCs w:val="24"/>
        </w:rPr>
        <w:t xml:space="preserve"> the State University of New York (SUNY). NYS Public Officers</w:t>
      </w:r>
      <w:r w:rsidRPr="00AA4677">
        <w:rPr>
          <w:rFonts w:eastAsia="Times New Roman" w:cs="Times New Roman"/>
          <w:szCs w:val="24"/>
        </w:rPr>
        <w:t xml:space="preserve"> Law, section 17 provides that </w:t>
      </w:r>
      <w:r w:rsidR="003E7C9E" w:rsidRPr="00AA4677">
        <w:rPr>
          <w:rFonts w:eastAsia="Times New Roman" w:cs="Times New Roman"/>
          <w:szCs w:val="24"/>
        </w:rPr>
        <w:t xml:space="preserve">where the requirements of Public Officers Law section 17 are met, and contingent on a determination by the Attorney General of the State of New York, the state shall provide for the defense of state employees and officers in civil action or proceeding in any state or Federal court arising out of the any alleged act or omission which occurred or is said to have </w:t>
      </w:r>
      <w:r w:rsidR="003E7C9E" w:rsidRPr="00AA4677">
        <w:rPr>
          <w:rFonts w:eastAsia="Times New Roman" w:cs="Times New Roman"/>
          <w:szCs w:val="24"/>
        </w:rPr>
        <w:lastRenderedPageBreak/>
        <w:t>occurred while the state employee, or officer was acting within the scope of his/her public employment or duties carried out on behalf of the state.</w:t>
      </w:r>
    </w:p>
    <w:p w14:paraId="51E1EA30" w14:textId="2D4D8BAF" w:rsidR="003E7C9E" w:rsidRPr="00AA4677" w:rsidRDefault="003E7C9E" w:rsidP="00696B35">
      <w:pPr>
        <w:pStyle w:val="Heading2"/>
      </w:pPr>
      <w:bookmarkStart w:id="51" w:name="_Toc192678166"/>
      <w:r w:rsidRPr="00AA4677">
        <w:t xml:space="preserve">2.15 Review of </w:t>
      </w:r>
      <w:r w:rsidR="00EE7207" w:rsidRPr="00AA4677">
        <w:t>IRB</w:t>
      </w:r>
      <w:r w:rsidRPr="00AA4677">
        <w:t xml:space="preserve"> Member Performance</w:t>
      </w:r>
      <w:bookmarkEnd w:id="51"/>
    </w:p>
    <w:p w14:paraId="52AA74BD" w14:textId="77777777" w:rsidR="00575C27" w:rsidRPr="00AA4677" w:rsidRDefault="00575C27" w:rsidP="00EB67DE">
      <w:pPr>
        <w:shd w:val="clear" w:color="auto" w:fill="FFFFFF"/>
        <w:spacing w:after="0" w:line="240" w:lineRule="auto"/>
        <w:rPr>
          <w:rFonts w:eastAsia="Times New Roman" w:cs="Times New Roman"/>
          <w:szCs w:val="24"/>
        </w:rPr>
      </w:pPr>
    </w:p>
    <w:p w14:paraId="36205E6C" w14:textId="2FF7DB72" w:rsidR="007A0FB2" w:rsidRPr="00AA4677" w:rsidRDefault="007A0FB2" w:rsidP="00EB67DE">
      <w:pPr>
        <w:shd w:val="clear" w:color="auto" w:fill="FFFFFF"/>
        <w:spacing w:after="0" w:line="240" w:lineRule="auto"/>
        <w:rPr>
          <w:rFonts w:eastAsia="Times New Roman" w:cs="Times New Roman"/>
          <w:szCs w:val="24"/>
        </w:rPr>
      </w:pPr>
      <w:r w:rsidRPr="00AA4677">
        <w:rPr>
          <w:rFonts w:eastAsia="Times New Roman" w:cs="Times New Roman"/>
          <w:szCs w:val="24"/>
        </w:rPr>
        <w:t>Annually, the following will be conducted:</w:t>
      </w:r>
    </w:p>
    <w:p w14:paraId="48844A42" w14:textId="5051B15B" w:rsidR="00E13A82" w:rsidRPr="00AA4677" w:rsidRDefault="00E13A82">
      <w:pPr>
        <w:pStyle w:val="ListParagraph"/>
        <w:numPr>
          <w:ilvl w:val="0"/>
          <w:numId w:val="124"/>
        </w:numPr>
        <w:shd w:val="clear" w:color="auto" w:fill="FFFFFF"/>
        <w:spacing w:after="0" w:line="240" w:lineRule="auto"/>
        <w:rPr>
          <w:rFonts w:eastAsia="Times New Roman" w:cs="Times New Roman"/>
          <w:szCs w:val="24"/>
        </w:rPr>
      </w:pPr>
      <w:r w:rsidRPr="00AA4677">
        <w:rPr>
          <w:rFonts w:eastAsia="Times New Roman" w:cs="Times New Roman"/>
          <w:szCs w:val="24"/>
        </w:rPr>
        <w:t>The Chairs provide feedback on the members of their committee.</w:t>
      </w:r>
    </w:p>
    <w:p w14:paraId="5F29281E" w14:textId="4F69BF66" w:rsidR="00E13A82" w:rsidRPr="00AA4677" w:rsidRDefault="00E13A82">
      <w:pPr>
        <w:pStyle w:val="ListParagraph"/>
        <w:numPr>
          <w:ilvl w:val="0"/>
          <w:numId w:val="12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IRB Staff </w:t>
      </w:r>
      <w:r w:rsidR="00C01012" w:rsidRPr="00AA4677">
        <w:rPr>
          <w:rFonts w:eastAsia="Times New Roman" w:cs="Times New Roman"/>
          <w:szCs w:val="24"/>
        </w:rPr>
        <w:t xml:space="preserve">can </w:t>
      </w:r>
      <w:r w:rsidRPr="00AA4677">
        <w:rPr>
          <w:rFonts w:eastAsia="Times New Roman" w:cs="Times New Roman"/>
          <w:szCs w:val="24"/>
        </w:rPr>
        <w:t>provide feedback on the IRB members and Chairs.</w:t>
      </w:r>
    </w:p>
    <w:p w14:paraId="39FF6268" w14:textId="677663B9" w:rsidR="00087DEC" w:rsidRPr="00AA4677" w:rsidRDefault="00E13A82" w:rsidP="00E820CF">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IO </w:t>
      </w:r>
      <w:r w:rsidR="00087DEC" w:rsidRPr="00AA4677">
        <w:rPr>
          <w:rFonts w:eastAsia="Times New Roman" w:cs="Times New Roman"/>
          <w:szCs w:val="24"/>
        </w:rPr>
        <w:t xml:space="preserve">or </w:t>
      </w:r>
      <w:proofErr w:type="gramStart"/>
      <w:r w:rsidR="00087DEC" w:rsidRPr="00AA4677">
        <w:rPr>
          <w:rFonts w:eastAsia="Times New Roman" w:cs="Times New Roman"/>
          <w:szCs w:val="24"/>
        </w:rPr>
        <w:t>designee</w:t>
      </w:r>
      <w:proofErr w:type="gramEnd"/>
      <w:r w:rsidR="00087DEC" w:rsidRPr="00AA4677">
        <w:rPr>
          <w:rFonts w:eastAsia="Times New Roman" w:cs="Times New Roman"/>
          <w:szCs w:val="24"/>
        </w:rPr>
        <w:t xml:space="preserve"> </w:t>
      </w:r>
      <w:r w:rsidRPr="00AA4677">
        <w:rPr>
          <w:rFonts w:eastAsia="Times New Roman" w:cs="Times New Roman"/>
          <w:szCs w:val="24"/>
        </w:rPr>
        <w:t xml:space="preserve">takes the information above, along with attendance data, and writes an evaluation for each member and chair which is shared with them.  The correspondence </w:t>
      </w:r>
      <w:r w:rsidR="00087DEC" w:rsidRPr="00AA4677">
        <w:rPr>
          <w:rFonts w:eastAsia="Times New Roman" w:cs="Times New Roman"/>
          <w:szCs w:val="24"/>
        </w:rPr>
        <w:t xml:space="preserve">will either thank them for their continued </w:t>
      </w:r>
      <w:proofErr w:type="gramStart"/>
      <w:r w:rsidR="00087DEC" w:rsidRPr="00AA4677">
        <w:rPr>
          <w:rFonts w:eastAsia="Times New Roman" w:cs="Times New Roman"/>
          <w:szCs w:val="24"/>
        </w:rPr>
        <w:t>service, or</w:t>
      </w:r>
      <w:proofErr w:type="gramEnd"/>
      <w:r w:rsidR="00087DEC" w:rsidRPr="00AA4677">
        <w:rPr>
          <w:rFonts w:eastAsia="Times New Roman" w:cs="Times New Roman"/>
          <w:szCs w:val="24"/>
        </w:rPr>
        <w:t xml:space="preserve"> serve as notice that their services will not be necessary moving forward. </w:t>
      </w:r>
    </w:p>
    <w:p w14:paraId="60B40037" w14:textId="6C861DD5" w:rsidR="00087DEC" w:rsidRPr="00AA4677" w:rsidRDefault="00087DEC" w:rsidP="00E820CF">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 members who are not acting in accordance with the University m</w:t>
      </w:r>
      <w:r w:rsidR="004C3688" w:rsidRPr="00AA4677">
        <w:rPr>
          <w:rFonts w:eastAsia="Times New Roman" w:cs="Times New Roman"/>
          <w:szCs w:val="24"/>
        </w:rPr>
        <w:t>i</w:t>
      </w:r>
      <w:r w:rsidRPr="00AA4677">
        <w:rPr>
          <w:rFonts w:eastAsia="Times New Roman" w:cs="Times New Roman"/>
          <w:szCs w:val="24"/>
        </w:rPr>
        <w:t xml:space="preserve">ssion or its policies and procedures may be removed outside of the formal annual evaluation process. </w:t>
      </w:r>
    </w:p>
    <w:p w14:paraId="135F141F" w14:textId="21EEC5EA" w:rsidR="00E13A82" w:rsidRPr="00AA4677" w:rsidRDefault="00E13A82" w:rsidP="00E820CF">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IRB </w:t>
      </w:r>
      <w:proofErr w:type="gramStart"/>
      <w:r w:rsidR="00087DEC" w:rsidRPr="00AA4677">
        <w:rPr>
          <w:rFonts w:eastAsia="Times New Roman" w:cs="Times New Roman"/>
          <w:szCs w:val="24"/>
        </w:rPr>
        <w:t>members</w:t>
      </w:r>
      <w:proofErr w:type="gramEnd"/>
      <w:r w:rsidR="00087DEC" w:rsidRPr="00AA4677">
        <w:rPr>
          <w:rFonts w:eastAsia="Times New Roman" w:cs="Times New Roman"/>
          <w:szCs w:val="24"/>
        </w:rPr>
        <w:t xml:space="preserve"> who are also IRB </w:t>
      </w:r>
      <w:proofErr w:type="gramStart"/>
      <w:r w:rsidRPr="00AA4677">
        <w:rPr>
          <w:rFonts w:eastAsia="Times New Roman" w:cs="Times New Roman"/>
          <w:szCs w:val="24"/>
        </w:rPr>
        <w:t>staff</w:t>
      </w:r>
      <w:proofErr w:type="gramEnd"/>
      <w:r w:rsidRPr="00AA4677">
        <w:rPr>
          <w:rFonts w:eastAsia="Times New Roman" w:cs="Times New Roman"/>
          <w:szCs w:val="24"/>
        </w:rPr>
        <w:t xml:space="preserve"> </w:t>
      </w:r>
      <w:r w:rsidR="00087DEC" w:rsidRPr="00AA4677">
        <w:rPr>
          <w:rFonts w:eastAsia="Times New Roman" w:cs="Times New Roman"/>
          <w:szCs w:val="24"/>
        </w:rPr>
        <w:t xml:space="preserve">are annually </w:t>
      </w:r>
      <w:r w:rsidRPr="00AA4677">
        <w:rPr>
          <w:rFonts w:eastAsia="Times New Roman" w:cs="Times New Roman"/>
          <w:szCs w:val="24"/>
        </w:rPr>
        <w:t xml:space="preserve">evaluated by the </w:t>
      </w:r>
      <w:r w:rsidR="00C66572" w:rsidRPr="00AA4677">
        <w:rPr>
          <w:rFonts w:eastAsia="Times New Roman" w:cs="Times New Roman"/>
          <w:szCs w:val="24"/>
        </w:rPr>
        <w:t>A</w:t>
      </w:r>
      <w:r w:rsidR="00F40464" w:rsidRPr="00AA4677">
        <w:rPr>
          <w:rFonts w:eastAsia="Times New Roman" w:cs="Times New Roman"/>
          <w:szCs w:val="24"/>
        </w:rPr>
        <w:t>VP-RC</w:t>
      </w:r>
      <w:r w:rsidRPr="00AA4677">
        <w:rPr>
          <w:rFonts w:eastAsia="Times New Roman" w:cs="Times New Roman"/>
          <w:szCs w:val="24"/>
        </w:rPr>
        <w:t>.</w:t>
      </w:r>
    </w:p>
    <w:p w14:paraId="2E48853E" w14:textId="77777777" w:rsidR="003E7C9E" w:rsidRPr="00AA4677" w:rsidRDefault="003E7C9E" w:rsidP="00696B35">
      <w:pPr>
        <w:pStyle w:val="Heading2"/>
      </w:pPr>
      <w:bookmarkStart w:id="52" w:name="_Toc192678167"/>
      <w:r w:rsidRPr="00AA4677">
        <w:t>2.16 Reporting and Investigation of Allegations of Undue Influence</w:t>
      </w:r>
      <w:bookmarkEnd w:id="52"/>
    </w:p>
    <w:p w14:paraId="1E5692BD" w14:textId="7AA00C99" w:rsidR="00521940" w:rsidRPr="00AA4677" w:rsidRDefault="001F72B4" w:rsidP="00A347F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a</w:t>
      </w:r>
      <w:r w:rsidR="00E820CF" w:rsidRPr="00AA4677">
        <w:rPr>
          <w:rFonts w:eastAsia="Times New Roman" w:cs="Times New Roman"/>
          <w:szCs w:val="24"/>
        </w:rPr>
        <w:t>n</w:t>
      </w:r>
      <w:r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w:t>
      </w:r>
      <w:r w:rsidR="001A7DB0" w:rsidRPr="00AA4677">
        <w:rPr>
          <w:rFonts w:eastAsia="Times New Roman" w:cs="Times New Roman"/>
          <w:szCs w:val="24"/>
        </w:rPr>
        <w:t>C</w:t>
      </w:r>
      <w:r w:rsidR="003E7C9E" w:rsidRPr="00AA4677">
        <w:rPr>
          <w:rFonts w:eastAsia="Times New Roman" w:cs="Times New Roman"/>
          <w:szCs w:val="24"/>
        </w:rPr>
        <w:t xml:space="preserve">hair, member, or staff person feels unduly influenced by any party, they </w:t>
      </w:r>
      <w:r w:rsidR="00087DEC" w:rsidRPr="00AA4677">
        <w:rPr>
          <w:rFonts w:eastAsia="Times New Roman" w:cs="Times New Roman"/>
          <w:szCs w:val="24"/>
        </w:rPr>
        <w:t>are to</w:t>
      </w:r>
      <w:r w:rsidR="003E7C9E" w:rsidRPr="00AA4677">
        <w:rPr>
          <w:rFonts w:eastAsia="Times New Roman" w:cs="Times New Roman"/>
          <w:szCs w:val="24"/>
        </w:rPr>
        <w:t xml:space="preserve"> make a confidential report to the IO or </w:t>
      </w:r>
      <w:r w:rsidR="00C66572" w:rsidRPr="00AA4677">
        <w:rPr>
          <w:rFonts w:eastAsia="Times New Roman" w:cs="Times New Roman"/>
          <w:szCs w:val="24"/>
        </w:rPr>
        <w:t>AVP-RC</w:t>
      </w:r>
      <w:r w:rsidR="003E7C9E" w:rsidRPr="00AA4677">
        <w:rPr>
          <w:rFonts w:eastAsia="Times New Roman" w:cs="Times New Roman"/>
          <w:szCs w:val="24"/>
        </w:rPr>
        <w:t>, depending on the circumstances.  The official receiving the report will conduct a thorough investigation and corrective action will be taken to prevent additional occurrences.</w:t>
      </w:r>
    </w:p>
    <w:p w14:paraId="7AECA9F4" w14:textId="3E3BFC9B" w:rsidR="003E7C9E" w:rsidRPr="00AA4677" w:rsidRDefault="003E7C9E" w:rsidP="005920B2">
      <w:pPr>
        <w:pStyle w:val="Heading1"/>
      </w:pPr>
      <w:bookmarkStart w:id="53" w:name="_Toc192678168"/>
      <w:r w:rsidRPr="00AA4677">
        <w:t xml:space="preserve">3 </w:t>
      </w:r>
      <w:r w:rsidR="00EE7207" w:rsidRPr="00AA4677">
        <w:t>IRB</w:t>
      </w:r>
      <w:r w:rsidRPr="00AA4677">
        <w:t xml:space="preserve"> Review Process</w:t>
      </w:r>
      <w:bookmarkEnd w:id="53"/>
    </w:p>
    <w:p w14:paraId="6440ECB3" w14:textId="07F4E48F" w:rsidR="003E7C9E" w:rsidRPr="00AA4677" w:rsidRDefault="003E7C9E" w:rsidP="00696B35">
      <w:pPr>
        <w:pStyle w:val="Heading2"/>
      </w:pPr>
      <w:bookmarkStart w:id="54" w:name="_Toc192678169"/>
      <w:r w:rsidRPr="00AA4677">
        <w:t>3.1 Policy</w:t>
      </w:r>
      <w:bookmarkEnd w:id="54"/>
    </w:p>
    <w:p w14:paraId="18F274AE" w14:textId="1309E7D4"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All human subjects research c</w:t>
      </w:r>
      <w:r w:rsidR="00573165" w:rsidRPr="00AA4677">
        <w:rPr>
          <w:rFonts w:eastAsia="Times New Roman" w:cs="Times New Roman"/>
          <w:szCs w:val="24"/>
        </w:rPr>
        <w:t>onducted under the auspices of the University</w:t>
      </w:r>
      <w:r w:rsidRPr="00AA4677">
        <w:rPr>
          <w:rFonts w:eastAsia="Times New Roman" w:cs="Times New Roman"/>
          <w:szCs w:val="24"/>
        </w:rPr>
        <w:t xml:space="preserve"> must meet the criteria for one of the following methods for review:</w:t>
      </w:r>
    </w:p>
    <w:p w14:paraId="2872F9F9" w14:textId="77777777" w:rsidR="003E7C9E" w:rsidRPr="00AA4677" w:rsidRDefault="003E7C9E">
      <w:pPr>
        <w:numPr>
          <w:ilvl w:val="0"/>
          <w:numId w:val="19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Exempt</w:t>
      </w:r>
    </w:p>
    <w:p w14:paraId="5DEC993A" w14:textId="77777777" w:rsidR="003E7C9E" w:rsidRPr="00AA4677" w:rsidRDefault="003E7C9E">
      <w:pPr>
        <w:numPr>
          <w:ilvl w:val="0"/>
          <w:numId w:val="19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Expedited Review</w:t>
      </w:r>
    </w:p>
    <w:p w14:paraId="58BF22C1" w14:textId="77777777" w:rsidR="003E7C9E" w:rsidRPr="00AA4677" w:rsidRDefault="003E7C9E">
      <w:pPr>
        <w:numPr>
          <w:ilvl w:val="0"/>
          <w:numId w:val="19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Full Committee Review</w:t>
      </w:r>
    </w:p>
    <w:p w14:paraId="37A53A67" w14:textId="3BE7EAA6" w:rsidR="003E7C9E" w:rsidRPr="00AA4677" w:rsidRDefault="00C60DBC"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will ensure that the research meets all required ethical and regulatory criteria for initial and continuing review and any modifications of approved research.</w:t>
      </w:r>
    </w:p>
    <w:p w14:paraId="581E4AB8" w14:textId="030F4873" w:rsidR="00055CCD" w:rsidRPr="00AA4677" w:rsidRDefault="003E7C9E" w:rsidP="00F40464">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The following describe the procedures required for the review of research by the </w:t>
      </w:r>
      <w:r w:rsidR="00EE7207" w:rsidRPr="00AA4677">
        <w:rPr>
          <w:rFonts w:eastAsia="Times New Roman" w:cs="Times New Roman"/>
          <w:szCs w:val="24"/>
        </w:rPr>
        <w:t>IRB</w:t>
      </w:r>
      <w:r w:rsidR="00C60DBC" w:rsidRPr="00AA4677">
        <w:rPr>
          <w:rFonts w:eastAsia="Times New Roman" w:cs="Times New Roman"/>
          <w:szCs w:val="24"/>
        </w:rPr>
        <w:t>.</w:t>
      </w:r>
      <w:r w:rsidR="00F40464" w:rsidRPr="00AA4677">
        <w:rPr>
          <w:rFonts w:eastAsia="Times New Roman" w:cs="Times New Roman"/>
          <w:szCs w:val="24"/>
        </w:rPr>
        <w:t xml:space="preserve">  </w:t>
      </w:r>
    </w:p>
    <w:p w14:paraId="1935CADC" w14:textId="6E5CD2FA" w:rsidR="003E7C9E" w:rsidRPr="00AA4677" w:rsidRDefault="003E7C9E" w:rsidP="00696B35">
      <w:pPr>
        <w:pStyle w:val="Heading2"/>
      </w:pPr>
      <w:bookmarkStart w:id="55" w:name="_Toc192678170"/>
      <w:r w:rsidRPr="00AA4677">
        <w:t>3.2 Definitions</w:t>
      </w:r>
      <w:bookmarkEnd w:id="55"/>
    </w:p>
    <w:p w14:paraId="2A4FDE56" w14:textId="77777777" w:rsidR="00575C27" w:rsidRPr="00AA4677" w:rsidRDefault="00575C27" w:rsidP="00575C27">
      <w:pPr>
        <w:pStyle w:val="ObservationDoDDeptofDefense"/>
        <w:spacing w:before="0" w:after="0"/>
        <w:ind w:left="0"/>
        <w:rPr>
          <w:rFonts w:asciiTheme="minorHAnsi" w:hAnsiTheme="minorHAnsi" w:cstheme="minorHAnsi"/>
          <w:b/>
          <w:bCs/>
          <w:color w:val="auto"/>
          <w:sz w:val="24"/>
          <w:szCs w:val="24"/>
        </w:rPr>
      </w:pPr>
    </w:p>
    <w:p w14:paraId="7A478A27" w14:textId="465E4A29" w:rsidR="003E7C9E" w:rsidRPr="00AA4677" w:rsidRDefault="003E7C9E" w:rsidP="00575C27">
      <w:pPr>
        <w:pStyle w:val="ObservationDoDDeptofDefense"/>
        <w:spacing w:before="0" w:after="0"/>
        <w:ind w:left="0"/>
        <w:rPr>
          <w:rFonts w:asciiTheme="minorHAnsi" w:hAnsiTheme="minorHAnsi" w:cstheme="minorHAnsi"/>
          <w:color w:val="auto"/>
          <w:sz w:val="24"/>
        </w:rPr>
      </w:pPr>
      <w:r w:rsidRPr="00AA4677">
        <w:rPr>
          <w:rFonts w:asciiTheme="minorHAnsi" w:hAnsiTheme="minorHAnsi" w:cstheme="minorHAnsi"/>
          <w:b/>
          <w:bCs/>
          <w:color w:val="auto"/>
          <w:sz w:val="24"/>
          <w:szCs w:val="24"/>
        </w:rPr>
        <w:t>Minimal Risk</w:t>
      </w:r>
      <w:r w:rsidR="00542714" w:rsidRPr="00AA4677">
        <w:rPr>
          <w:rFonts w:asciiTheme="minorHAnsi" w:hAnsiTheme="minorHAnsi" w:cstheme="minorHAnsi"/>
          <w:b/>
          <w:bCs/>
          <w:color w:val="auto"/>
          <w:sz w:val="24"/>
          <w:szCs w:val="24"/>
        </w:rPr>
        <w:t>:</w:t>
      </w:r>
      <w:r w:rsidRPr="00AA4677">
        <w:rPr>
          <w:rFonts w:asciiTheme="minorHAnsi" w:hAnsiTheme="minorHAnsi" w:cstheme="minorHAnsi"/>
          <w:color w:val="auto"/>
          <w:sz w:val="24"/>
          <w:szCs w:val="24"/>
        </w:rPr>
        <w:t xml:space="preserve"> the probability and magnitude of harm or discomfort anticipated in the research are not greater in and of themselves than those ordinarily encountered in daily life or during the performance of routine physical or psychological examinations or tests.</w:t>
      </w:r>
      <w:r w:rsidR="00FD36CB" w:rsidRPr="00AA4677">
        <w:rPr>
          <w:rFonts w:asciiTheme="minorHAnsi" w:hAnsiTheme="minorHAnsi" w:cstheme="minorHAnsi"/>
          <w:color w:val="auto"/>
          <w:sz w:val="24"/>
          <w:szCs w:val="24"/>
        </w:rPr>
        <w:t xml:space="preserve"> </w:t>
      </w:r>
      <w:r w:rsidR="00E42797" w:rsidRPr="00AA4677">
        <w:rPr>
          <w:rFonts w:asciiTheme="minorHAnsi" w:hAnsiTheme="minorHAnsi" w:cstheme="minorHAnsi"/>
          <w:color w:val="auto"/>
          <w:sz w:val="24"/>
          <w:szCs w:val="24"/>
        </w:rPr>
        <w:t xml:space="preserve"> For Department of Defense research, </w:t>
      </w:r>
      <w:r w:rsidR="00E42797" w:rsidRPr="00AA4677">
        <w:rPr>
          <w:rFonts w:asciiTheme="minorHAnsi" w:hAnsiTheme="minorHAnsi" w:cstheme="minorHAnsi"/>
          <w:color w:val="auto"/>
          <w:sz w:val="24"/>
        </w:rPr>
        <w:t>m</w:t>
      </w:r>
      <w:r w:rsidR="00FD36CB" w:rsidRPr="00AA4677">
        <w:rPr>
          <w:rFonts w:asciiTheme="minorHAnsi" w:hAnsiTheme="minorHAnsi" w:cstheme="minorHAnsi"/>
          <w:color w:val="auto"/>
          <w:sz w:val="24"/>
        </w:rPr>
        <w:t>inimal risk based on the phrase “ordinarily encountered in daily life or during the performance of routine physical or physiological examination or tests” shall not be interpreted to include the inherent risks certain categories of human participants face in their everyday life.  For example, the risks imposed in research involving human participants focused on a special population should not be evaluated against the inherent risks encountered in their work environment (e.g., emergency responder, pilot, soldier in a combat zone) or having a medical condition (e.g., frequent medical tests or constant pain.)</w:t>
      </w:r>
    </w:p>
    <w:p w14:paraId="258BFBDF" w14:textId="648CD38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Minor Change</w:t>
      </w:r>
      <w:r w:rsidR="00542714" w:rsidRPr="00AA4677">
        <w:rPr>
          <w:rFonts w:eastAsia="Times New Roman" w:cs="Times New Roman"/>
          <w:b/>
          <w:bCs/>
          <w:szCs w:val="24"/>
        </w:rPr>
        <w:t>:</w:t>
      </w:r>
      <w:r w:rsidRPr="00AA4677">
        <w:rPr>
          <w:rFonts w:eastAsia="Times New Roman" w:cs="Times New Roman"/>
          <w:szCs w:val="24"/>
        </w:rPr>
        <w:t xml:space="preserve">  </w:t>
      </w:r>
      <w:r w:rsidR="0066054A" w:rsidRPr="00AA4677">
        <w:rPr>
          <w:rFonts w:eastAsia="Times New Roman" w:cs="Times New Roman"/>
          <w:szCs w:val="24"/>
        </w:rPr>
        <w:t xml:space="preserve">a </w:t>
      </w:r>
      <w:r w:rsidR="00542714" w:rsidRPr="00AA4677">
        <w:rPr>
          <w:rFonts w:eastAsia="Times New Roman" w:cs="Times New Roman"/>
          <w:szCs w:val="24"/>
        </w:rPr>
        <w:t>change</w:t>
      </w:r>
      <w:r w:rsidRPr="00AA4677">
        <w:rPr>
          <w:rFonts w:eastAsia="Times New Roman" w:cs="Times New Roman"/>
          <w:szCs w:val="24"/>
        </w:rPr>
        <w:t xml:space="preserve">, in the judgment of the </w:t>
      </w:r>
      <w:r w:rsidR="00EE7207" w:rsidRPr="00AA4677">
        <w:rPr>
          <w:rFonts w:eastAsia="Times New Roman" w:cs="Times New Roman"/>
          <w:szCs w:val="24"/>
        </w:rPr>
        <w:t>IRB</w:t>
      </w:r>
      <w:r w:rsidRPr="00AA4677">
        <w:rPr>
          <w:rFonts w:eastAsia="Times New Roman" w:cs="Times New Roman"/>
          <w:szCs w:val="24"/>
        </w:rPr>
        <w:t xml:space="preserve"> reviewer, </w:t>
      </w:r>
      <w:r w:rsidR="0066054A" w:rsidRPr="00AA4677">
        <w:rPr>
          <w:rFonts w:eastAsia="Times New Roman" w:cs="Times New Roman"/>
          <w:szCs w:val="24"/>
        </w:rPr>
        <w:t xml:space="preserve">which </w:t>
      </w:r>
      <w:r w:rsidRPr="00AA4677">
        <w:rPr>
          <w:rFonts w:eastAsia="Times New Roman" w:cs="Times New Roman"/>
          <w:szCs w:val="24"/>
        </w:rPr>
        <w:t>makes no substantial alteration in:</w:t>
      </w:r>
    </w:p>
    <w:p w14:paraId="064A5DAD" w14:textId="64DC5EC4" w:rsidR="003E7C9E" w:rsidRPr="00AA4677" w:rsidRDefault="00542714">
      <w:pPr>
        <w:numPr>
          <w:ilvl w:val="0"/>
          <w:numId w:val="20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Level</w:t>
      </w:r>
      <w:r w:rsidR="003E7C9E" w:rsidRPr="00AA4677">
        <w:rPr>
          <w:rFonts w:eastAsia="Times New Roman" w:cs="Times New Roman"/>
          <w:szCs w:val="24"/>
        </w:rPr>
        <w:t xml:space="preserve"> of risks to subjects</w:t>
      </w:r>
    </w:p>
    <w:p w14:paraId="6DF86A25" w14:textId="4C45F312" w:rsidR="003E7C9E" w:rsidRPr="00AA4677" w:rsidRDefault="00542714">
      <w:pPr>
        <w:numPr>
          <w:ilvl w:val="0"/>
          <w:numId w:val="20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w:t>
      </w:r>
      <w:r w:rsidR="003E7C9E" w:rsidRPr="00AA4677">
        <w:rPr>
          <w:rFonts w:eastAsia="Times New Roman" w:cs="Times New Roman"/>
          <w:szCs w:val="24"/>
        </w:rPr>
        <w:t>search design or methodology (adding procedures that are not eligible for ex</w:t>
      </w:r>
      <w:r w:rsidR="00F40464" w:rsidRPr="00AA4677">
        <w:rPr>
          <w:rFonts w:eastAsia="Times New Roman" w:cs="Times New Roman"/>
          <w:szCs w:val="24"/>
        </w:rPr>
        <w:t>pedited review</w:t>
      </w:r>
      <w:r w:rsidR="003E7C9E" w:rsidRPr="00AA4677">
        <w:rPr>
          <w:rFonts w:eastAsia="Times New Roman" w:cs="Times New Roman"/>
          <w:szCs w:val="24"/>
        </w:rPr>
        <w:t xml:space="preserve"> would not be considered a minor change)</w:t>
      </w:r>
    </w:p>
    <w:p w14:paraId="6E0D0566" w14:textId="655F2981" w:rsidR="003E7C9E" w:rsidRPr="00AA4677" w:rsidRDefault="00542714">
      <w:pPr>
        <w:numPr>
          <w:ilvl w:val="0"/>
          <w:numId w:val="20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N</w:t>
      </w:r>
      <w:r w:rsidR="003E7C9E" w:rsidRPr="00AA4677">
        <w:rPr>
          <w:rFonts w:eastAsia="Times New Roman" w:cs="Times New Roman"/>
          <w:szCs w:val="24"/>
        </w:rPr>
        <w:t>umber of subjects enrolled in the research</w:t>
      </w:r>
    </w:p>
    <w:p w14:paraId="049512EB" w14:textId="3068C6DE" w:rsidR="003E7C9E" w:rsidRPr="00AA4677" w:rsidRDefault="00542714">
      <w:pPr>
        <w:numPr>
          <w:ilvl w:val="0"/>
          <w:numId w:val="20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Q</w:t>
      </w:r>
      <w:r w:rsidR="003E7C9E" w:rsidRPr="00AA4677">
        <w:rPr>
          <w:rFonts w:eastAsia="Times New Roman" w:cs="Times New Roman"/>
          <w:szCs w:val="24"/>
        </w:rPr>
        <w:t>ualifications of the research team</w:t>
      </w:r>
    </w:p>
    <w:p w14:paraId="66037465" w14:textId="6AE1F37C" w:rsidR="003E7C9E" w:rsidRPr="00AA4677" w:rsidRDefault="00542714">
      <w:pPr>
        <w:numPr>
          <w:ilvl w:val="0"/>
          <w:numId w:val="20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w:t>
      </w:r>
      <w:r w:rsidR="003E7C9E" w:rsidRPr="00AA4677">
        <w:rPr>
          <w:rFonts w:eastAsia="Times New Roman" w:cs="Times New Roman"/>
          <w:szCs w:val="24"/>
        </w:rPr>
        <w:t>acilities available to support safe conduct of the research</w:t>
      </w:r>
    </w:p>
    <w:p w14:paraId="2D953B48" w14:textId="6E11AA0E" w:rsidR="003E7C9E" w:rsidRPr="00AA4677" w:rsidRDefault="00542714">
      <w:pPr>
        <w:numPr>
          <w:ilvl w:val="0"/>
          <w:numId w:val="20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w:t>
      </w:r>
      <w:r w:rsidR="003E7C9E" w:rsidRPr="00AA4677">
        <w:rPr>
          <w:rFonts w:eastAsia="Times New Roman" w:cs="Times New Roman"/>
          <w:szCs w:val="24"/>
        </w:rPr>
        <w:t xml:space="preserve">ny other factor which would warrant review of the proposed changes by the convened </w:t>
      </w:r>
      <w:r w:rsidR="00EE7207" w:rsidRPr="00AA4677">
        <w:rPr>
          <w:rFonts w:eastAsia="Times New Roman" w:cs="Times New Roman"/>
          <w:szCs w:val="24"/>
        </w:rPr>
        <w:t>IRB</w:t>
      </w:r>
    </w:p>
    <w:p w14:paraId="511004E8" w14:textId="7C95FD42"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Quorum</w:t>
      </w:r>
      <w:r w:rsidR="00542714" w:rsidRPr="00AA4677">
        <w:rPr>
          <w:rFonts w:eastAsia="Times New Roman" w:cs="Times New Roman"/>
          <w:b/>
          <w:bCs/>
          <w:szCs w:val="24"/>
        </w:rPr>
        <w:t xml:space="preserve">: </w:t>
      </w:r>
      <w:r w:rsidRPr="00AA4677">
        <w:rPr>
          <w:rFonts w:eastAsia="Times New Roman" w:cs="Times New Roman"/>
          <w:szCs w:val="24"/>
        </w:rPr>
        <w:t>consists of a simple majority of the voting membership, including at least one member whose primary concern is in a non-scientific area.  If research involving an FDA-regulated article is involved, a licensed physician must be included in the quorum.</w:t>
      </w:r>
    </w:p>
    <w:p w14:paraId="6E992A9F" w14:textId="24914124"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Suspension of </w:t>
      </w:r>
      <w:r w:rsidR="00EE7207" w:rsidRPr="00AA4677">
        <w:rPr>
          <w:rFonts w:eastAsia="Times New Roman" w:cs="Times New Roman"/>
          <w:b/>
          <w:bCs/>
          <w:szCs w:val="24"/>
        </w:rPr>
        <w:t>IRB</w:t>
      </w:r>
      <w:r w:rsidRPr="00AA4677">
        <w:rPr>
          <w:rFonts w:eastAsia="Times New Roman" w:cs="Times New Roman"/>
          <w:b/>
          <w:bCs/>
          <w:szCs w:val="24"/>
        </w:rPr>
        <w:t xml:space="preserve"> approval</w:t>
      </w:r>
      <w:r w:rsidR="00542714" w:rsidRPr="00AA4677">
        <w:rPr>
          <w:rFonts w:eastAsia="Times New Roman" w:cs="Times New Roman"/>
          <w:b/>
          <w:bCs/>
          <w:szCs w:val="24"/>
        </w:rPr>
        <w:t>:</w:t>
      </w:r>
      <w:r w:rsidRPr="00AA4677">
        <w:rPr>
          <w:rFonts w:eastAsia="Times New Roman" w:cs="Times New Roman"/>
          <w:szCs w:val="24"/>
        </w:rPr>
        <w:t xml:space="preserve"> a directive of the convened </w:t>
      </w:r>
      <w:r w:rsidR="00EE7207" w:rsidRPr="00AA4677">
        <w:rPr>
          <w:rFonts w:eastAsia="Times New Roman" w:cs="Times New Roman"/>
          <w:szCs w:val="24"/>
        </w:rPr>
        <w:t>IRB</w:t>
      </w:r>
      <w:r w:rsidRPr="00AA4677">
        <w:rPr>
          <w:rFonts w:eastAsia="Times New Roman" w:cs="Times New Roman"/>
          <w:szCs w:val="24"/>
        </w:rPr>
        <w:t xml:space="preserve"> or</w:t>
      </w:r>
      <w:r w:rsidR="00F40464" w:rsidRPr="00AA4677">
        <w:rPr>
          <w:rFonts w:eastAsia="Times New Roman" w:cs="Times New Roman"/>
          <w:szCs w:val="24"/>
        </w:rPr>
        <w:t xml:space="preserve"> other authorized </w:t>
      </w:r>
      <w:proofErr w:type="gramStart"/>
      <w:r w:rsidR="00F40464" w:rsidRPr="00AA4677">
        <w:rPr>
          <w:rFonts w:eastAsia="Times New Roman" w:cs="Times New Roman"/>
          <w:szCs w:val="24"/>
        </w:rPr>
        <w:t>individual</w:t>
      </w:r>
      <w:proofErr w:type="gramEnd"/>
      <w:r w:rsidRPr="00AA4677">
        <w:rPr>
          <w:rFonts w:eastAsia="Times New Roman" w:cs="Times New Roman"/>
          <w:szCs w:val="24"/>
        </w:rPr>
        <w:t xml:space="preserve"> to temporarily stop some or all previously approved research activities short.  Suspended protocols remain open and require continuing review.</w:t>
      </w:r>
    </w:p>
    <w:p w14:paraId="0504F6A6" w14:textId="739F4532"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Termination of </w:t>
      </w:r>
      <w:r w:rsidR="00EE7207" w:rsidRPr="00AA4677">
        <w:rPr>
          <w:rFonts w:eastAsia="Times New Roman" w:cs="Times New Roman"/>
          <w:b/>
          <w:bCs/>
          <w:szCs w:val="24"/>
        </w:rPr>
        <w:t>IRB</w:t>
      </w:r>
      <w:r w:rsidRPr="00AA4677">
        <w:rPr>
          <w:rFonts w:eastAsia="Times New Roman" w:cs="Times New Roman"/>
          <w:b/>
          <w:bCs/>
          <w:szCs w:val="24"/>
        </w:rPr>
        <w:t xml:space="preserve"> approval</w:t>
      </w:r>
      <w:r w:rsidR="00542714" w:rsidRPr="00AA4677">
        <w:rPr>
          <w:rFonts w:eastAsia="Times New Roman" w:cs="Times New Roman"/>
          <w:b/>
          <w:bCs/>
          <w:szCs w:val="24"/>
        </w:rPr>
        <w:t>:</w:t>
      </w:r>
      <w:r w:rsidRPr="00AA4677">
        <w:rPr>
          <w:rFonts w:eastAsia="Times New Roman" w:cs="Times New Roman"/>
          <w:szCs w:val="24"/>
        </w:rPr>
        <w:t xml:space="preserve"> a directive of the convened </w:t>
      </w:r>
      <w:r w:rsidR="00EE7207" w:rsidRPr="00AA4677">
        <w:rPr>
          <w:rFonts w:eastAsia="Times New Roman" w:cs="Times New Roman"/>
          <w:szCs w:val="24"/>
        </w:rPr>
        <w:t>IRB</w:t>
      </w:r>
      <w:r w:rsidRPr="00AA4677">
        <w:rPr>
          <w:rFonts w:eastAsia="Times New Roman" w:cs="Times New Roman"/>
          <w:szCs w:val="24"/>
        </w:rPr>
        <w:t xml:space="preserve"> to stop permanently all activities in a previously approved research protocol. Terminated protocols are considered closed and no longer require continuing review.</w:t>
      </w:r>
    </w:p>
    <w:p w14:paraId="2A76EC89" w14:textId="42FD87B7" w:rsidR="003E7C9E" w:rsidRPr="00AA4677" w:rsidRDefault="003E7C9E" w:rsidP="00696B35">
      <w:pPr>
        <w:pStyle w:val="Heading2"/>
      </w:pPr>
      <w:bookmarkStart w:id="56" w:name="_Toc192678171"/>
      <w:r w:rsidRPr="00AA4677">
        <w:lastRenderedPageBreak/>
        <w:t xml:space="preserve">3.3 </w:t>
      </w:r>
      <w:r w:rsidR="00DC5138" w:rsidRPr="00AA4677">
        <w:t>Electronic Management System</w:t>
      </w:r>
      <w:bookmarkEnd w:id="56"/>
    </w:p>
    <w:p w14:paraId="3D9B667A" w14:textId="14F91F45" w:rsidR="00055CCD" w:rsidRPr="00AA4677" w:rsidRDefault="00542714" w:rsidP="00F40464">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w:t>
      </w:r>
      <w:r w:rsidR="003E7C9E" w:rsidRPr="00AA4677">
        <w:rPr>
          <w:rFonts w:eastAsia="Times New Roman" w:cs="Times New Roman"/>
          <w:szCs w:val="24"/>
        </w:rPr>
        <w:t xml:space="preserve"> University uses </w:t>
      </w:r>
      <w:r w:rsidR="00B050E5" w:rsidRPr="00AA4677">
        <w:rPr>
          <w:rFonts w:eastAsia="Times New Roman" w:cs="Times New Roman"/>
          <w:szCs w:val="24"/>
        </w:rPr>
        <w:t xml:space="preserve">an </w:t>
      </w:r>
      <w:r w:rsidR="00DC5138" w:rsidRPr="00AA4677">
        <w:rPr>
          <w:rFonts w:eastAsia="Times New Roman" w:cs="Times New Roman"/>
          <w:szCs w:val="24"/>
        </w:rPr>
        <w:t>electronic management system</w:t>
      </w:r>
      <w:r w:rsidR="0082450C" w:rsidRPr="00AA4677">
        <w:rPr>
          <w:rFonts w:eastAsia="Times New Roman" w:cs="Times New Roman"/>
          <w:szCs w:val="24"/>
        </w:rPr>
        <w:t xml:space="preserve"> for </w:t>
      </w:r>
      <w:r w:rsidR="003E7C9E" w:rsidRPr="00AA4677">
        <w:rPr>
          <w:rFonts w:eastAsia="Times New Roman" w:cs="Times New Roman"/>
          <w:szCs w:val="24"/>
        </w:rPr>
        <w:t>administr</w:t>
      </w:r>
      <w:r w:rsidR="00C60DBC" w:rsidRPr="00AA4677">
        <w:rPr>
          <w:rFonts w:eastAsia="Times New Roman" w:cs="Times New Roman"/>
          <w:szCs w:val="24"/>
        </w:rPr>
        <w:t>ation and management of its IRB</w:t>
      </w:r>
      <w:r w:rsidR="003E7C9E" w:rsidRPr="00AA4677">
        <w:rPr>
          <w:rFonts w:eastAsia="Times New Roman" w:cs="Times New Roman"/>
          <w:szCs w:val="24"/>
        </w:rPr>
        <w:t>s</w:t>
      </w:r>
      <w:r w:rsidR="00C60DBC" w:rsidRPr="00AA4677">
        <w:rPr>
          <w:rFonts w:eastAsia="Times New Roman" w:cs="Times New Roman"/>
          <w:szCs w:val="24"/>
        </w:rPr>
        <w:t>.</w:t>
      </w:r>
      <w:r w:rsidR="003E7C9E" w:rsidRPr="00AA4677">
        <w:rPr>
          <w:rFonts w:eastAsia="Times New Roman" w:cs="Times New Roman"/>
          <w:szCs w:val="24"/>
        </w:rPr>
        <w:t xml:space="preserve"> </w:t>
      </w:r>
      <w:r w:rsidR="00B050E5" w:rsidRPr="00AA4677">
        <w:rPr>
          <w:rFonts w:eastAsia="Times New Roman" w:cs="Times New Roman"/>
          <w:szCs w:val="24"/>
        </w:rPr>
        <w:t xml:space="preserve">This system </w:t>
      </w:r>
      <w:r w:rsidR="003E7C9E" w:rsidRPr="00AA4677">
        <w:rPr>
          <w:rFonts w:eastAsia="Times New Roman" w:cs="Times New Roman"/>
          <w:szCs w:val="24"/>
        </w:rPr>
        <w:t>provides electronic management of protocols and documents; on-line submissions; web-based protocol sharing and collaboration; automatic notifications; the furnishing of electronic signatures; event tracking; and other important electronic features</w:t>
      </w:r>
      <w:r w:rsidR="00161CC8" w:rsidRPr="00AA4677">
        <w:rPr>
          <w:rFonts w:eastAsia="Times New Roman" w:cs="Times New Roman"/>
          <w:szCs w:val="24"/>
        </w:rPr>
        <w:t>. The system tracks all open studies, even if ongoing review by an IRB is not required</w:t>
      </w:r>
      <w:r w:rsidR="003E7C9E" w:rsidRPr="00AA4677">
        <w:rPr>
          <w:rFonts w:eastAsia="Times New Roman" w:cs="Times New Roman"/>
          <w:szCs w:val="24"/>
        </w:rPr>
        <w:t>.</w:t>
      </w:r>
      <w:r w:rsidRPr="00AA4677">
        <w:rPr>
          <w:rFonts w:eastAsia="Times New Roman" w:cs="Times New Roman"/>
          <w:szCs w:val="24"/>
        </w:rPr>
        <w:t xml:space="preserve"> </w:t>
      </w:r>
      <w:r w:rsidR="003E7C9E" w:rsidRPr="00AA4677">
        <w:rPr>
          <w:rFonts w:eastAsia="Times New Roman" w:cs="Times New Roman"/>
          <w:szCs w:val="24"/>
        </w:rPr>
        <w:t> </w:t>
      </w:r>
      <w:r w:rsidRPr="00AA4677">
        <w:rPr>
          <w:rFonts w:eastAsia="Times New Roman" w:cs="Times New Roman"/>
          <w:szCs w:val="24"/>
        </w:rPr>
        <w:t>The University began requiring electronic protocol submissions e</w:t>
      </w:r>
      <w:r w:rsidR="003E7C9E" w:rsidRPr="00AA4677">
        <w:rPr>
          <w:rFonts w:eastAsia="Times New Roman" w:cs="Times New Roman"/>
          <w:szCs w:val="24"/>
        </w:rPr>
        <w:t>ffective December 2007</w:t>
      </w:r>
      <w:r w:rsidRPr="00AA4677">
        <w:rPr>
          <w:rFonts w:eastAsia="Times New Roman" w:cs="Times New Roman"/>
          <w:szCs w:val="24"/>
        </w:rPr>
        <w:t xml:space="preserve">. </w:t>
      </w:r>
      <w:r w:rsidR="003E7C9E" w:rsidRPr="00AA4677">
        <w:rPr>
          <w:rFonts w:eastAsia="Times New Roman" w:cs="Times New Roman"/>
          <w:szCs w:val="24"/>
        </w:rPr>
        <w:t xml:space="preserve"> All protocols</w:t>
      </w:r>
      <w:r w:rsidRPr="00AA4677">
        <w:rPr>
          <w:rFonts w:eastAsia="Times New Roman" w:cs="Times New Roman"/>
          <w:szCs w:val="24"/>
        </w:rPr>
        <w:t xml:space="preserve">, </w:t>
      </w:r>
      <w:r w:rsidR="003E7C9E" w:rsidRPr="00AA4677">
        <w:rPr>
          <w:rFonts w:eastAsia="Times New Roman" w:cs="Times New Roman"/>
          <w:szCs w:val="24"/>
        </w:rPr>
        <w:t>including revisions and renewals</w:t>
      </w:r>
      <w:r w:rsidRPr="00AA4677">
        <w:rPr>
          <w:rFonts w:eastAsia="Times New Roman" w:cs="Times New Roman"/>
          <w:szCs w:val="24"/>
        </w:rPr>
        <w:t>,</w:t>
      </w:r>
      <w:r w:rsidR="003E7C9E" w:rsidRPr="00AA4677">
        <w:rPr>
          <w:rFonts w:eastAsia="Times New Roman" w:cs="Times New Roman"/>
          <w:szCs w:val="24"/>
        </w:rPr>
        <w:t xml:space="preserve"> must be submitted electronically via </w:t>
      </w:r>
      <w:r w:rsidR="00B050E5" w:rsidRPr="00AA4677">
        <w:rPr>
          <w:rFonts w:eastAsia="Times New Roman" w:cs="Times New Roman"/>
          <w:szCs w:val="24"/>
        </w:rPr>
        <w:t xml:space="preserve">the </w:t>
      </w:r>
      <w:r w:rsidR="00DC5138" w:rsidRPr="00AA4677">
        <w:rPr>
          <w:rFonts w:eastAsia="Times New Roman" w:cs="Times New Roman"/>
          <w:szCs w:val="24"/>
        </w:rPr>
        <w:t>electronic management system</w:t>
      </w:r>
      <w:r w:rsidR="003E7C9E" w:rsidRPr="00AA4677">
        <w:rPr>
          <w:rFonts w:eastAsia="Times New Roman" w:cs="Times New Roman"/>
          <w:szCs w:val="24"/>
        </w:rPr>
        <w:t xml:space="preserve">, and all review decision notifications are issued electronically via </w:t>
      </w:r>
      <w:r w:rsidR="00B050E5" w:rsidRPr="00AA4677">
        <w:rPr>
          <w:rFonts w:eastAsia="Times New Roman" w:cs="Times New Roman"/>
          <w:szCs w:val="24"/>
        </w:rPr>
        <w:t xml:space="preserve">the </w:t>
      </w:r>
      <w:r w:rsidR="00DC5138" w:rsidRPr="00AA4677">
        <w:rPr>
          <w:rFonts w:eastAsia="Times New Roman" w:cs="Times New Roman"/>
          <w:szCs w:val="24"/>
        </w:rPr>
        <w:t>electronic management system</w:t>
      </w:r>
      <w:r w:rsidR="00B050E5" w:rsidRPr="00AA4677">
        <w:rPr>
          <w:rFonts w:eastAsia="Times New Roman" w:cs="Times New Roman"/>
          <w:szCs w:val="24"/>
        </w:rPr>
        <w:t xml:space="preserve">.  </w:t>
      </w:r>
      <w:r w:rsidR="003E7C9E" w:rsidRPr="00AA4677">
        <w:rPr>
          <w:rFonts w:eastAsia="Times New Roman" w:cs="Times New Roman"/>
          <w:szCs w:val="24"/>
        </w:rPr>
        <w:t xml:space="preserve">Instructions for the use of </w:t>
      </w:r>
      <w:r w:rsidR="00B050E5" w:rsidRPr="00AA4677">
        <w:rPr>
          <w:rFonts w:eastAsia="Times New Roman" w:cs="Times New Roman"/>
          <w:szCs w:val="24"/>
        </w:rPr>
        <w:t xml:space="preserve">this system are located on the ORC website.  </w:t>
      </w:r>
    </w:p>
    <w:p w14:paraId="585E4650" w14:textId="5D093F14" w:rsidR="003E7C9E" w:rsidRPr="00AA4677" w:rsidRDefault="003E7C9E" w:rsidP="00696B35">
      <w:pPr>
        <w:pStyle w:val="Heading2"/>
      </w:pPr>
      <w:bookmarkStart w:id="57" w:name="_Toc192678172"/>
      <w:r w:rsidRPr="00AA4677">
        <w:t>3.4 Human Subjects Research Determination</w:t>
      </w:r>
      <w:r w:rsidR="005A48F3" w:rsidRPr="00AA4677">
        <w:t>s</w:t>
      </w:r>
      <w:bookmarkEnd w:id="57"/>
    </w:p>
    <w:p w14:paraId="7DEDFD80" w14:textId="742C0812" w:rsidR="007B4C5F" w:rsidRPr="00AA4677" w:rsidRDefault="007B4C5F"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Some </w:t>
      </w:r>
      <w:r w:rsidR="007F55B4" w:rsidRPr="00AA4677">
        <w:rPr>
          <w:rFonts w:eastAsia="Times New Roman" w:cs="Times New Roman"/>
          <w:szCs w:val="24"/>
        </w:rPr>
        <w:t xml:space="preserve">University </w:t>
      </w:r>
      <w:r w:rsidRPr="00AA4677">
        <w:rPr>
          <w:rFonts w:eastAsia="Times New Roman" w:cs="Times New Roman"/>
          <w:szCs w:val="24"/>
        </w:rPr>
        <w:t>activities involve people (e.g., academic classroom activities, hospital quality assurance/quality improvement [QA/QI]</w:t>
      </w:r>
      <w:r w:rsidR="001547EE" w:rsidRPr="00AA4677">
        <w:rPr>
          <w:rFonts w:eastAsia="Times New Roman" w:cs="Times New Roman"/>
          <w:szCs w:val="24"/>
        </w:rPr>
        <w:t>,</w:t>
      </w:r>
      <w:r w:rsidRPr="00AA4677">
        <w:rPr>
          <w:rFonts w:eastAsia="Times New Roman" w:cs="Times New Roman"/>
          <w:szCs w:val="24"/>
        </w:rPr>
        <w:t xml:space="preserve"> etc.) but that does not mean that it falls unde</w:t>
      </w:r>
      <w:r w:rsidR="00F40464" w:rsidRPr="00AA4677">
        <w:rPr>
          <w:rFonts w:eastAsia="Times New Roman" w:cs="Times New Roman"/>
          <w:szCs w:val="24"/>
        </w:rPr>
        <w:t>r the category of human subject</w:t>
      </w:r>
      <w:r w:rsidRPr="00AA4677">
        <w:rPr>
          <w:rFonts w:eastAsia="Times New Roman" w:cs="Times New Roman"/>
          <w:szCs w:val="24"/>
        </w:rPr>
        <w:t xml:space="preserve"> research. </w:t>
      </w:r>
    </w:p>
    <w:p w14:paraId="59025FB5" w14:textId="1B9CB4B3"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13084">
        <w:rPr>
          <w:rFonts w:eastAsia="Times New Roman" w:cs="Times New Roman"/>
          <w:szCs w:val="24"/>
        </w:rPr>
        <w:t xml:space="preserve">The responsibility for </w:t>
      </w:r>
      <w:r w:rsidR="00386AEE" w:rsidRPr="00A13084">
        <w:rPr>
          <w:rFonts w:eastAsia="Times New Roman" w:cs="Times New Roman"/>
          <w:szCs w:val="24"/>
        </w:rPr>
        <w:t>a</w:t>
      </w:r>
      <w:r w:rsidRPr="00A13084">
        <w:rPr>
          <w:rFonts w:eastAsia="Times New Roman" w:cs="Times New Roman"/>
          <w:szCs w:val="24"/>
        </w:rPr>
        <w:t xml:space="preserve"> determination as to whether an activity constitutes human subjects research rests with the </w:t>
      </w:r>
      <w:r w:rsidR="00386AEE" w:rsidRPr="00A13084">
        <w:rPr>
          <w:rFonts w:eastAsia="Times New Roman" w:cs="Times New Roman"/>
          <w:szCs w:val="24"/>
        </w:rPr>
        <w:t>Office of Research Compliance</w:t>
      </w:r>
      <w:r w:rsidRPr="00A13084">
        <w:rPr>
          <w:rFonts w:eastAsia="Times New Roman" w:cs="Times New Roman"/>
          <w:szCs w:val="24"/>
        </w:rPr>
        <w:t>.  The</w:t>
      </w:r>
      <w:r w:rsidR="00386AEE" w:rsidRPr="00A13084">
        <w:rPr>
          <w:rFonts w:eastAsia="Times New Roman" w:cs="Times New Roman"/>
          <w:szCs w:val="24"/>
        </w:rPr>
        <w:t xml:space="preserve"> Office of Research Compliance</w:t>
      </w:r>
      <w:r w:rsidRPr="00A13084">
        <w:rPr>
          <w:rFonts w:eastAsia="Times New Roman" w:cs="Times New Roman"/>
          <w:szCs w:val="24"/>
        </w:rPr>
        <w:t xml:space="preserve"> make</w:t>
      </w:r>
      <w:r w:rsidR="00386AEE" w:rsidRPr="00A13084">
        <w:rPr>
          <w:rFonts w:eastAsia="Times New Roman" w:cs="Times New Roman"/>
          <w:szCs w:val="24"/>
        </w:rPr>
        <w:t>s</w:t>
      </w:r>
      <w:r w:rsidRPr="00A13084">
        <w:rPr>
          <w:rFonts w:eastAsia="Times New Roman" w:cs="Times New Roman"/>
          <w:szCs w:val="24"/>
        </w:rPr>
        <w:t xml:space="preserve"> this determination based on the </w:t>
      </w:r>
      <w:r w:rsidR="006B18FE" w:rsidRPr="00A13084">
        <w:rPr>
          <w:rFonts w:eastAsia="Times New Roman" w:cs="Times New Roman"/>
          <w:szCs w:val="24"/>
        </w:rPr>
        <w:t xml:space="preserve">regulatory </w:t>
      </w:r>
      <w:r w:rsidRPr="00A13084">
        <w:rPr>
          <w:rFonts w:eastAsia="Times New Roman" w:cs="Times New Roman"/>
          <w:szCs w:val="24"/>
        </w:rPr>
        <w:t>definitions of “human subjec</w:t>
      </w:r>
      <w:r w:rsidR="001C1E58" w:rsidRPr="00A13084">
        <w:rPr>
          <w:rFonts w:eastAsia="Times New Roman" w:cs="Times New Roman"/>
          <w:szCs w:val="24"/>
        </w:rPr>
        <w:t>t” and “research”</w:t>
      </w:r>
      <w:r w:rsidRPr="00A13084">
        <w:rPr>
          <w:rFonts w:eastAsia="Times New Roman" w:cs="Times New Roman"/>
          <w:szCs w:val="24"/>
        </w:rPr>
        <w:t xml:space="preserve">.  </w:t>
      </w:r>
      <w:r w:rsidR="00386AEE" w:rsidRPr="00A13084">
        <w:rPr>
          <w:rFonts w:eastAsia="Times New Roman" w:cs="Times New Roman"/>
          <w:szCs w:val="24"/>
        </w:rPr>
        <w:t>I</w:t>
      </w:r>
      <w:r w:rsidRPr="00A13084">
        <w:rPr>
          <w:rFonts w:eastAsia="Times New Roman" w:cs="Times New Roman"/>
          <w:szCs w:val="24"/>
        </w:rPr>
        <w:t>nvestigators</w:t>
      </w:r>
      <w:r w:rsidR="00386AEE" w:rsidRPr="00A13084">
        <w:rPr>
          <w:rFonts w:eastAsia="Times New Roman" w:cs="Times New Roman"/>
          <w:szCs w:val="24"/>
        </w:rPr>
        <w:t xml:space="preserve"> must</w:t>
      </w:r>
      <w:r w:rsidRPr="00A13084">
        <w:rPr>
          <w:rFonts w:eastAsia="Times New Roman" w:cs="Times New Roman"/>
          <w:szCs w:val="24"/>
        </w:rPr>
        <w:t xml:space="preserve"> request confirmation that an activity does not constitute human subjects research from the ORC</w:t>
      </w:r>
      <w:r w:rsidR="00386AEE" w:rsidRPr="00A13084">
        <w:rPr>
          <w:rFonts w:eastAsia="Times New Roman" w:cs="Times New Roman"/>
          <w:szCs w:val="24"/>
        </w:rPr>
        <w:t xml:space="preserve"> by </w:t>
      </w:r>
      <w:proofErr w:type="gramStart"/>
      <w:r w:rsidR="00386AEE" w:rsidRPr="00A13084">
        <w:rPr>
          <w:rFonts w:eastAsia="Times New Roman" w:cs="Times New Roman"/>
          <w:szCs w:val="24"/>
        </w:rPr>
        <w:t>submitting an application</w:t>
      </w:r>
      <w:proofErr w:type="gramEnd"/>
      <w:r w:rsidR="00386AEE" w:rsidRPr="00A13084">
        <w:rPr>
          <w:rFonts w:eastAsia="Times New Roman" w:cs="Times New Roman"/>
          <w:szCs w:val="24"/>
        </w:rPr>
        <w:t xml:space="preserve"> in the myResearch IRB electronic management system</w:t>
      </w:r>
      <w:r w:rsidRPr="00A13084">
        <w:rPr>
          <w:rFonts w:eastAsia="Times New Roman" w:cs="Times New Roman"/>
          <w:szCs w:val="24"/>
        </w:rPr>
        <w:t>.  All requests must include sufficient documentation of the activity to support the determination.</w:t>
      </w:r>
      <w:r w:rsidRPr="00AA4677">
        <w:rPr>
          <w:rFonts w:eastAsia="Times New Roman" w:cs="Times New Roman"/>
          <w:szCs w:val="24"/>
        </w:rPr>
        <w:t xml:space="preserve">   </w:t>
      </w:r>
    </w:p>
    <w:p w14:paraId="0D844FD5" w14:textId="12007BE9" w:rsidR="0079746C" w:rsidRPr="00AA4677" w:rsidRDefault="00C95B68" w:rsidP="007E0F1F">
      <w:pPr>
        <w:shd w:val="clear" w:color="auto" w:fill="FFFFFF"/>
        <w:spacing w:before="100" w:beforeAutospacing="1" w:after="100" w:afterAutospacing="1" w:line="240" w:lineRule="auto"/>
        <w:ind w:right="10"/>
        <w:rPr>
          <w:rFonts w:eastAsia="Times New Roman" w:cs="Times New Roman"/>
          <w:szCs w:val="24"/>
        </w:rPr>
      </w:pPr>
      <w:r w:rsidRPr="00AA4677">
        <w:rPr>
          <w:b/>
        </w:rPr>
        <w:t>NOTE</w:t>
      </w:r>
      <w:r w:rsidR="0079746C" w:rsidRPr="00AA4677">
        <w:rPr>
          <w:b/>
        </w:rPr>
        <w:t>:</w:t>
      </w:r>
      <w:r w:rsidR="0079746C" w:rsidRPr="00AA4677">
        <w:t xml:space="preserve"> With the implementation of the revised Common Rule, the requirement of the Newborn Screening Saves Lives Reauthorization Act of 2014 that </w:t>
      </w:r>
      <w:proofErr w:type="gramStart"/>
      <w:r w:rsidR="0079746C" w:rsidRPr="00AA4677">
        <w:t>federally-funded</w:t>
      </w:r>
      <w:proofErr w:type="gramEnd"/>
      <w:r w:rsidR="0079746C" w:rsidRPr="00AA4677">
        <w:t xml:space="preserve"> "research on newborn dried blood spots shall be considered research ca</w:t>
      </w:r>
      <w:r w:rsidR="007E0F1F" w:rsidRPr="00AA4677">
        <w:t xml:space="preserve">rried out on human subjects" is </w:t>
      </w:r>
      <w:r w:rsidR="0079746C" w:rsidRPr="00AA4677">
        <w:t>eliminated.  Whether such research involves human subjects shall now be considered using the same standards as are used for other research involving human biospecimens (e.g., whether the identity of subjects may be readily ascertained, whether the specimens are coded and who has access to the key, whether the research involves the evaluation of the safety or effectiveness of an FDA-regulated device, etc.).</w:t>
      </w:r>
    </w:p>
    <w:p w14:paraId="4B1E99F7" w14:textId="3FC6AA8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 response to investigator requests, determinations that an activity does not constitute human subjects resea</w:t>
      </w:r>
      <w:r w:rsidR="00F40464" w:rsidRPr="00AA4677">
        <w:rPr>
          <w:rFonts w:eastAsia="Times New Roman" w:cs="Times New Roman"/>
          <w:szCs w:val="24"/>
        </w:rPr>
        <w:t xml:space="preserve">rch will </w:t>
      </w:r>
      <w:r w:rsidR="00950BCA" w:rsidRPr="00AA4677">
        <w:rPr>
          <w:rFonts w:eastAsia="Times New Roman" w:cs="Times New Roman"/>
          <w:szCs w:val="24"/>
        </w:rPr>
        <w:t xml:space="preserve">be </w:t>
      </w:r>
      <w:r w:rsidR="00F40464" w:rsidRPr="00AA4677">
        <w:rPr>
          <w:rFonts w:eastAsia="Times New Roman" w:cs="Times New Roman"/>
          <w:szCs w:val="24"/>
        </w:rPr>
        <w:t xml:space="preserve">documented </w:t>
      </w:r>
      <w:r w:rsidRPr="00AA4677">
        <w:rPr>
          <w:rFonts w:eastAsia="Times New Roman" w:cs="Times New Roman"/>
          <w:szCs w:val="24"/>
        </w:rPr>
        <w:t>using the</w:t>
      </w:r>
      <w:r w:rsidR="00542714" w:rsidRPr="00AA4677">
        <w:rPr>
          <w:rFonts w:eastAsia="Times New Roman" w:cs="Times New Roman"/>
          <w:szCs w:val="24"/>
        </w:rPr>
        <w:t xml:space="preserve"> </w:t>
      </w:r>
      <w:r w:rsidRPr="00AA4677">
        <w:rPr>
          <w:rFonts w:eastAsia="Times New Roman" w:cs="Times New Roman"/>
          <w:b/>
          <w:bCs/>
          <w:szCs w:val="24"/>
        </w:rPr>
        <w:t xml:space="preserve">Human Subjects </w:t>
      </w:r>
      <w:r w:rsidR="001C1E58" w:rsidRPr="00AA4677">
        <w:rPr>
          <w:rFonts w:eastAsia="Times New Roman" w:cs="Times New Roman"/>
          <w:b/>
          <w:bCs/>
          <w:szCs w:val="24"/>
        </w:rPr>
        <w:t>Research Determination form</w:t>
      </w:r>
      <w:r w:rsidRPr="00AA4677">
        <w:rPr>
          <w:rFonts w:eastAsia="Times New Roman" w:cs="Times New Roman"/>
          <w:szCs w:val="24"/>
        </w:rPr>
        <w:t xml:space="preserve">. For activities determined to constitute human subjects research, the investigator will be </w:t>
      </w:r>
      <w:r w:rsidR="00950BCA" w:rsidRPr="00AA4677">
        <w:rPr>
          <w:rFonts w:eastAsia="Times New Roman" w:cs="Times New Roman"/>
          <w:szCs w:val="24"/>
        </w:rPr>
        <w:t xml:space="preserve">notified </w:t>
      </w:r>
      <w:r w:rsidR="00950BCA" w:rsidRPr="00AA4677">
        <w:rPr>
          <w:rFonts w:eastAsia="Times New Roman" w:cs="Times New Roman"/>
          <w:szCs w:val="24"/>
        </w:rPr>
        <w:lastRenderedPageBreak/>
        <w:t xml:space="preserve">by the </w:t>
      </w:r>
      <w:proofErr w:type="spellStart"/>
      <w:r w:rsidR="00950BCA" w:rsidRPr="00AA4677">
        <w:rPr>
          <w:rFonts w:eastAsia="Times New Roman" w:cs="Times New Roman"/>
          <w:szCs w:val="24"/>
        </w:rPr>
        <w:t>the</w:t>
      </w:r>
      <w:proofErr w:type="spellEnd"/>
      <w:r w:rsidR="00950BCA" w:rsidRPr="00AA4677">
        <w:rPr>
          <w:rFonts w:eastAsia="Times New Roman" w:cs="Times New Roman"/>
          <w:szCs w:val="24"/>
        </w:rPr>
        <w:t xml:space="preserve"> HRPP and </w:t>
      </w:r>
      <w:r w:rsidRPr="00AA4677">
        <w:rPr>
          <w:rFonts w:eastAsia="Times New Roman" w:cs="Times New Roman"/>
          <w:szCs w:val="24"/>
        </w:rPr>
        <w:t xml:space="preserve">instructed to </w:t>
      </w:r>
      <w:r w:rsidR="00F40464" w:rsidRPr="00AA4677">
        <w:rPr>
          <w:rFonts w:eastAsia="Times New Roman" w:cs="Times New Roman"/>
          <w:szCs w:val="24"/>
        </w:rPr>
        <w:t>begin</w:t>
      </w:r>
      <w:r w:rsidRPr="00AA4677">
        <w:rPr>
          <w:rFonts w:eastAsia="Times New Roman" w:cs="Times New Roman"/>
          <w:szCs w:val="24"/>
        </w:rPr>
        <w:t xml:space="preserve"> with the exemption or IRB application process, as applicable. </w:t>
      </w:r>
    </w:p>
    <w:p w14:paraId="71358E22" w14:textId="47190C6D" w:rsidR="007B4C5F" w:rsidRPr="00AA4677" w:rsidRDefault="00C95B68" w:rsidP="003E7C9E">
      <w:pPr>
        <w:shd w:val="clear" w:color="auto" w:fill="FFFFFF"/>
        <w:spacing w:before="100" w:beforeAutospacing="1" w:after="100" w:afterAutospacing="1" w:line="240" w:lineRule="auto"/>
        <w:rPr>
          <w:rFonts w:eastAsia="Times New Roman" w:cs="Times New Roman"/>
          <w:i/>
          <w:szCs w:val="24"/>
        </w:rPr>
      </w:pPr>
      <w:r w:rsidRPr="00AA4677">
        <w:rPr>
          <w:rFonts w:eastAsia="Times New Roman" w:cs="Times New Roman"/>
          <w:b/>
          <w:i/>
          <w:szCs w:val="24"/>
        </w:rPr>
        <w:t>NOTE</w:t>
      </w:r>
      <w:r w:rsidR="007B4C5F" w:rsidRPr="00AA4677">
        <w:rPr>
          <w:rFonts w:eastAsia="Times New Roman" w:cs="Times New Roman"/>
          <w:b/>
          <w:i/>
          <w:szCs w:val="24"/>
        </w:rPr>
        <w:t>:</w:t>
      </w:r>
      <w:r w:rsidR="007B4C5F" w:rsidRPr="00AA4677">
        <w:rPr>
          <w:rFonts w:eastAsia="Times New Roman" w:cs="Times New Roman"/>
          <w:i/>
          <w:szCs w:val="24"/>
        </w:rPr>
        <w:t xml:space="preserve"> The University has a policy regarding the distinction between QA/QI initiatives and r</w:t>
      </w:r>
      <w:r w:rsidR="00F40464" w:rsidRPr="00AA4677">
        <w:rPr>
          <w:rFonts w:eastAsia="Times New Roman" w:cs="Times New Roman"/>
          <w:i/>
          <w:szCs w:val="24"/>
        </w:rPr>
        <w:t>esearch activities. The section on</w:t>
      </w:r>
      <w:r w:rsidR="007B4C5F" w:rsidRPr="00AA4677">
        <w:rPr>
          <w:rFonts w:eastAsia="Times New Roman" w:cs="Times New Roman"/>
          <w:i/>
          <w:szCs w:val="24"/>
        </w:rPr>
        <w:t xml:space="preserve"> </w:t>
      </w:r>
      <w:r w:rsidR="007B4C5F" w:rsidRPr="00AA4677">
        <w:rPr>
          <w:rFonts w:eastAsia="Times New Roman" w:cs="Times New Roman"/>
          <w:b/>
          <w:i/>
          <w:szCs w:val="24"/>
        </w:rPr>
        <w:t>“Quality Assurance/Quality Improvement (QA/QI) Activities vs. Research Activities”</w:t>
      </w:r>
      <w:r w:rsidR="007B4C5F" w:rsidRPr="00AA4677">
        <w:rPr>
          <w:rFonts w:eastAsia="Times New Roman" w:cs="Times New Roman"/>
          <w:i/>
          <w:szCs w:val="24"/>
        </w:rPr>
        <w:t xml:space="preserve"> should be reviewed for details. </w:t>
      </w:r>
    </w:p>
    <w:p w14:paraId="1FE4F004" w14:textId="1E417E9C" w:rsidR="00D20D39" w:rsidRPr="00AA4677" w:rsidRDefault="00D20D39" w:rsidP="003E7C9E">
      <w:pPr>
        <w:shd w:val="clear" w:color="auto" w:fill="FFFFFF"/>
        <w:spacing w:before="100" w:beforeAutospacing="1" w:after="100" w:afterAutospacing="1" w:line="240" w:lineRule="auto"/>
        <w:rPr>
          <w:rFonts w:eastAsia="Times New Roman" w:cs="Times New Roman"/>
          <w:b/>
          <w:szCs w:val="24"/>
        </w:rPr>
      </w:pPr>
      <w:r w:rsidRPr="00AA4677">
        <w:rPr>
          <w:rFonts w:eastAsia="Times New Roman" w:cs="Times New Roman"/>
          <w:b/>
          <w:szCs w:val="24"/>
        </w:rPr>
        <w:t xml:space="preserve">3.4.1 Case </w:t>
      </w:r>
      <w:r w:rsidR="001547EE" w:rsidRPr="00AA4677">
        <w:rPr>
          <w:rFonts w:eastAsia="Times New Roman" w:cs="Times New Roman"/>
          <w:b/>
          <w:szCs w:val="24"/>
        </w:rPr>
        <w:t>S</w:t>
      </w:r>
      <w:r w:rsidRPr="00AA4677">
        <w:rPr>
          <w:rFonts w:eastAsia="Times New Roman" w:cs="Times New Roman"/>
          <w:b/>
          <w:szCs w:val="24"/>
        </w:rPr>
        <w:t>tudies/Series</w:t>
      </w:r>
    </w:p>
    <w:p w14:paraId="79AE20D7" w14:textId="77777777" w:rsidR="00D20D39" w:rsidRPr="00AA4677" w:rsidRDefault="00D20D39" w:rsidP="00D20D39">
      <w:pPr>
        <w:rPr>
          <w:rFonts w:cstheme="minorHAnsi"/>
        </w:rPr>
      </w:pPr>
      <w:r w:rsidRPr="00AA4677">
        <w:rPr>
          <w:rFonts w:cstheme="minorHAnsi"/>
        </w:rPr>
        <w:t xml:space="preserve">A case study/series is an analysis of up to 3 clinical cases and usually examines a condition, treatment, presentation, or outcome. If the analysis involves more than 3 cases it would need to be reviewed by the Human Research Protection Program and an application would need to be completed in the electronic management system myResearch. </w:t>
      </w:r>
    </w:p>
    <w:p w14:paraId="282EDA08" w14:textId="77777777" w:rsidR="00D20D39" w:rsidRPr="00AA4677" w:rsidRDefault="00D20D39" w:rsidP="00D20D39">
      <w:pPr>
        <w:rPr>
          <w:rFonts w:cstheme="minorHAnsi"/>
        </w:rPr>
      </w:pPr>
      <w:r w:rsidRPr="00AA4677">
        <w:rPr>
          <w:rFonts w:cstheme="minorHAnsi"/>
        </w:rPr>
        <w:t xml:space="preserve">A case study/series is not meant to draw broad conclusions about a population and does not meet the DHHS definition of research which is “a systematic investigation, including research development, testing and evaluation, designed to develop or contribute to generalizable knowledge.” </w:t>
      </w:r>
    </w:p>
    <w:p w14:paraId="286F3D8C" w14:textId="77854187" w:rsidR="00D20D39" w:rsidRPr="00AA4677" w:rsidRDefault="00D20D39" w:rsidP="00D20D39">
      <w:pPr>
        <w:rPr>
          <w:rFonts w:cstheme="minorHAnsi"/>
        </w:rPr>
      </w:pPr>
      <w:r w:rsidRPr="00AA4677">
        <w:rPr>
          <w:rFonts w:cstheme="minorHAnsi"/>
        </w:rPr>
        <w:t xml:space="preserve">Although the use of Protected Health Information for a case study/series does not require IRB review, the Health Insurance Portability and Accountability Act (HIPAA) requires written authorization for certain uses and disclosures of a patient’s Protected Health Information. This requires that the patient sign an Authorization Agreement. </w:t>
      </w:r>
      <w:proofErr w:type="gramStart"/>
      <w:r w:rsidRPr="00AA4677">
        <w:rPr>
          <w:rFonts w:cstheme="minorHAnsi"/>
        </w:rPr>
        <w:t>Or,</w:t>
      </w:r>
      <w:proofErr w:type="gramEnd"/>
      <w:r w:rsidRPr="00AA4677">
        <w:rPr>
          <w:rFonts w:cstheme="minorHAnsi"/>
        </w:rPr>
        <w:t xml:space="preserve"> the parent or legally authorized representative (if the patient is deceased or lacks capacity) must sign for the use of the patient’s information in the article. </w:t>
      </w:r>
      <w:r w:rsidRPr="00A13084">
        <w:rPr>
          <w:rFonts w:cstheme="minorHAnsi"/>
        </w:rPr>
        <w:t>Otherwise,</w:t>
      </w:r>
      <w:r w:rsidR="00C46F32">
        <w:rPr>
          <w:rFonts w:cstheme="minorHAnsi"/>
        </w:rPr>
        <w:t xml:space="preserve"> if there are three or greater cases,</w:t>
      </w:r>
      <w:r w:rsidRPr="00A13084">
        <w:rPr>
          <w:rFonts w:cstheme="minorHAnsi"/>
        </w:rPr>
        <w:t xml:space="preserve"> the Stony Brook University </w:t>
      </w:r>
      <w:r w:rsidR="00AB652E" w:rsidRPr="00A13084">
        <w:rPr>
          <w:rFonts w:cstheme="minorHAnsi"/>
        </w:rPr>
        <w:t xml:space="preserve">could waive HIPAA Authorization through an </w:t>
      </w:r>
      <w:r w:rsidR="00AB652E" w:rsidRPr="00A13084">
        <w:rPr>
          <w:rFonts w:cstheme="minorHAnsi"/>
          <w:b/>
        </w:rPr>
        <w:t xml:space="preserve">expedite review procedure by the IRB Chair or an experienced Chair-designated member of the IRB </w:t>
      </w:r>
      <w:r w:rsidR="00291CF6" w:rsidRPr="00A13084">
        <w:rPr>
          <w:rFonts w:cstheme="minorHAnsi"/>
        </w:rPr>
        <w:t>or</w:t>
      </w:r>
      <w:r w:rsidR="00AB652E" w:rsidRPr="00A13084">
        <w:rPr>
          <w:rFonts w:cstheme="minorHAnsi"/>
        </w:rPr>
        <w:t xml:space="preserve"> the</w:t>
      </w:r>
      <w:r w:rsidR="00291CF6" w:rsidRPr="00A13084">
        <w:rPr>
          <w:rFonts w:cstheme="minorHAnsi"/>
        </w:rPr>
        <w:t xml:space="preserve"> IRB</w:t>
      </w:r>
      <w:r w:rsidRPr="00A13084">
        <w:rPr>
          <w:rFonts w:cstheme="minorHAnsi"/>
        </w:rPr>
        <w:t xml:space="preserve"> would need to waive the requirement for HIPAA Authorization.</w:t>
      </w:r>
    </w:p>
    <w:p w14:paraId="4E98F921" w14:textId="77777777" w:rsidR="00D20D39" w:rsidRPr="00AA4677" w:rsidRDefault="00D20D39" w:rsidP="00D20D39">
      <w:pPr>
        <w:rPr>
          <w:rFonts w:cstheme="minorHAnsi"/>
        </w:rPr>
      </w:pPr>
      <w:r w:rsidRPr="00AA4677">
        <w:rPr>
          <w:rFonts w:cstheme="minorHAnsi"/>
        </w:rPr>
        <w:t xml:space="preserve">An Authorization Agreement may not be required if the patient information is not identifiable. This would include that no photographs of the patient </w:t>
      </w:r>
      <w:proofErr w:type="gramStart"/>
      <w:r w:rsidRPr="00AA4677">
        <w:rPr>
          <w:rFonts w:cstheme="minorHAnsi"/>
        </w:rPr>
        <w:t>be</w:t>
      </w:r>
      <w:proofErr w:type="gramEnd"/>
      <w:r w:rsidRPr="00AA4677">
        <w:rPr>
          <w:rFonts w:cstheme="minorHAnsi"/>
        </w:rPr>
        <w:t xml:space="preserve"> disclosed and that there not be any identifiable patient features (i.e., tattoos, unusual scar or birthmark). Additionally, the information in the case study should not be so unique as to be identifiable to the patient’s family or others known to the patient.</w:t>
      </w:r>
    </w:p>
    <w:p w14:paraId="5773D9AE" w14:textId="7BBB9EC5" w:rsidR="00675799" w:rsidRPr="00414B5A" w:rsidRDefault="00C95B68" w:rsidP="00675799">
      <w:r w:rsidRPr="00AA4677">
        <w:rPr>
          <w:rFonts w:cstheme="minorHAnsi"/>
          <w:b/>
        </w:rPr>
        <w:t>NOTE:</w:t>
      </w:r>
      <w:r w:rsidRPr="00AA4677">
        <w:rPr>
          <w:rFonts w:cstheme="minorHAnsi"/>
        </w:rPr>
        <w:t xml:space="preserve"> </w:t>
      </w:r>
      <w:r w:rsidR="00D20D39" w:rsidRPr="00AA4677">
        <w:rPr>
          <w:rFonts w:cstheme="minorHAnsi"/>
        </w:rPr>
        <w:t xml:space="preserve">Some journals now require a letter or other form of acknowledgement from the Institutional Review Board prior to the submission of a case study/series to a journal. Please click on the memo on the website at </w:t>
      </w:r>
      <w:hyperlink r:id="rId16" w:history="1">
        <w:r w:rsidR="00414B5A" w:rsidRPr="00C0052D">
          <w:rPr>
            <w:rStyle w:val="Hyperlink"/>
          </w:rPr>
          <w:t>https://www.stonybrook.edu/commcms/research-</w:t>
        </w:r>
        <w:r w:rsidR="00414B5A" w:rsidRPr="00C0052D">
          <w:rPr>
            <w:rStyle w:val="Hyperlink"/>
          </w:rPr>
          <w:lastRenderedPageBreak/>
          <w:t>compliance/Human-Subjects/sops</w:t>
        </w:r>
      </w:hyperlink>
      <w:r w:rsidR="00414B5A">
        <w:t xml:space="preserve">. </w:t>
      </w:r>
      <w:r w:rsidR="00D20D39" w:rsidRPr="00AA4677">
        <w:rPr>
          <w:rFonts w:cstheme="minorHAnsi"/>
        </w:rPr>
        <w:t xml:space="preserve">This memo may then be sent to the journal confirming the Stony Brook University policy. </w:t>
      </w:r>
      <w:bookmarkStart w:id="58" w:name="_Hlk160541883"/>
    </w:p>
    <w:p w14:paraId="16ED8FFC" w14:textId="77777777" w:rsidR="00575C27" w:rsidRPr="00AA4677" w:rsidRDefault="00575C27" w:rsidP="00675799">
      <w:pPr>
        <w:rPr>
          <w:b/>
          <w:bCs/>
        </w:rPr>
      </w:pPr>
    </w:p>
    <w:p w14:paraId="74D75BF0" w14:textId="5511621B" w:rsidR="001547EE" w:rsidRPr="00AA4677" w:rsidRDefault="00B17D0F" w:rsidP="00675799">
      <w:pPr>
        <w:rPr>
          <w:b/>
          <w:bCs/>
        </w:rPr>
      </w:pPr>
      <w:r w:rsidRPr="00AA4677">
        <w:rPr>
          <w:b/>
          <w:bCs/>
        </w:rPr>
        <w:t xml:space="preserve">3.4.2 </w:t>
      </w:r>
      <w:r w:rsidR="001547EE" w:rsidRPr="00AA4677">
        <w:rPr>
          <w:b/>
          <w:bCs/>
        </w:rPr>
        <w:t>Program Evaluation</w:t>
      </w:r>
    </w:p>
    <w:p w14:paraId="25A703F9" w14:textId="4EEC7EB6" w:rsidR="001217FF" w:rsidRPr="00AA4677" w:rsidRDefault="001547EE" w:rsidP="00F97863">
      <w:r w:rsidRPr="00AA4677">
        <w:t>Program evaluation is defined as “the systematic collection of information about the activities, characteristics, and outcomes of programs to make judgments about the program, i</w:t>
      </w:r>
      <w:r w:rsidR="00F67ED3" w:rsidRPr="00AA4677">
        <w:t>m</w:t>
      </w:r>
      <w:r w:rsidRPr="00AA4677">
        <w:t>prove program effectiveness, and/or inform decision</w:t>
      </w:r>
      <w:r w:rsidR="00C20690" w:rsidRPr="00AA4677">
        <w:t>s</w:t>
      </w:r>
      <w:r w:rsidRPr="00AA4677">
        <w:t xml:space="preserve"> about future program development. What distinguishes program evaluation from research is that they serve different purposes.</w:t>
      </w:r>
      <w:r w:rsidR="00F67ED3" w:rsidRPr="00AA4677">
        <w:t xml:space="preserve"> While research seeks to </w:t>
      </w:r>
      <w:r w:rsidR="00F67ED3" w:rsidRPr="00AA4677">
        <w:rPr>
          <w:i/>
          <w:iCs/>
        </w:rPr>
        <w:t>prove</w:t>
      </w:r>
      <w:r w:rsidR="00F67ED3" w:rsidRPr="00AA4677">
        <w:t xml:space="preserve">; evaluation seeks to </w:t>
      </w:r>
      <w:r w:rsidR="00F67ED3" w:rsidRPr="00AA4677">
        <w:rPr>
          <w:i/>
          <w:iCs/>
        </w:rPr>
        <w:t>improve</w:t>
      </w:r>
      <w:r w:rsidR="00F67ED3" w:rsidRPr="00AA4677">
        <w:t>.</w:t>
      </w:r>
      <w:r w:rsidR="00F87ABD" w:rsidRPr="00AA4677">
        <w:t>” (Center for Disease Control, Office of Policy, Performance, and Evaluation)</w:t>
      </w:r>
      <w:r w:rsidR="001217FF" w:rsidRPr="00AA4677">
        <w:t xml:space="preserve"> Individuals can assess the value and impact of the program when they ask questions, consult partners, make assessments, and obtain feedback. The information collected is then used to improve the program.</w:t>
      </w:r>
    </w:p>
    <w:p w14:paraId="66B5C78A" w14:textId="6100323A" w:rsidR="00B17D0F" w:rsidRPr="00AA4677" w:rsidRDefault="001217FF" w:rsidP="00675799">
      <w:pPr>
        <w:rPr>
          <w:b/>
          <w:bCs/>
        </w:rPr>
      </w:pPr>
      <w:r w:rsidRPr="00AA4677">
        <w:rPr>
          <w:b/>
          <w:bCs/>
        </w:rPr>
        <w:t>3.4.</w:t>
      </w:r>
      <w:r w:rsidR="00B17D0F" w:rsidRPr="00AA4677">
        <w:rPr>
          <w:b/>
          <w:bCs/>
        </w:rPr>
        <w:t>3</w:t>
      </w:r>
      <w:r w:rsidRPr="00AA4677">
        <w:rPr>
          <w:b/>
          <w:bCs/>
        </w:rPr>
        <w:t xml:space="preserve"> Classroom Activities</w:t>
      </w:r>
    </w:p>
    <w:p w14:paraId="464E5F83" w14:textId="01DF75C3" w:rsidR="00B17D0F" w:rsidRPr="00AA4677" w:rsidRDefault="00B17D0F" w:rsidP="00F97863">
      <w:r w:rsidRPr="00AA4677">
        <w:t>College classes ask students to perform certain activities for course requirements. To meet the definition of research according to federal guidelines, the project m</w:t>
      </w:r>
      <w:r w:rsidR="00316A5A" w:rsidRPr="00AA4677">
        <w:t xml:space="preserve">ust </w:t>
      </w:r>
      <w:r w:rsidRPr="00AA4677">
        <w:t xml:space="preserve">be for the purpose of developing or contributing to </w:t>
      </w:r>
      <w:proofErr w:type="gramStart"/>
      <w:r w:rsidRPr="00AA4677">
        <w:t>generalizable</w:t>
      </w:r>
      <w:proofErr w:type="gramEnd"/>
      <w:r w:rsidRPr="00AA4677">
        <w:t xml:space="preserve"> knowledge. Most classroom projects are not done for the purpose of contributin</w:t>
      </w:r>
      <w:r w:rsidR="00316A5A" w:rsidRPr="00AA4677">
        <w:t>g</w:t>
      </w:r>
      <w:r w:rsidRPr="00AA4677">
        <w:t xml:space="preserve"> to generalizable knowledge but to teach the student about research methods. Information gathered from classroom projects or coursework is then reviewed by fellow classmates and instructors</w:t>
      </w:r>
      <w:r w:rsidR="00316A5A" w:rsidRPr="00AA4677">
        <w:t xml:space="preserve"> rather than published as a journal article.</w:t>
      </w:r>
      <w:bookmarkEnd w:id="58"/>
    </w:p>
    <w:p w14:paraId="70057231" w14:textId="04EEF709" w:rsidR="003E7C9E" w:rsidRPr="00AA4677" w:rsidRDefault="003E7C9E" w:rsidP="00696B35">
      <w:pPr>
        <w:pStyle w:val="Heading2"/>
      </w:pPr>
      <w:bookmarkStart w:id="59" w:name="_Toc192678173"/>
      <w:r w:rsidRPr="00AA4677">
        <w:t>3.5 Exempt Studies</w:t>
      </w:r>
      <w:bookmarkEnd w:id="59"/>
    </w:p>
    <w:p w14:paraId="3CFCB442" w14:textId="52298D98" w:rsidR="00872F97" w:rsidRPr="00AA4677" w:rsidRDefault="00E70735" w:rsidP="00872F97">
      <w:pPr>
        <w:shd w:val="clear" w:color="auto" w:fill="FFFFFF"/>
        <w:spacing w:before="100" w:beforeAutospacing="1" w:after="100" w:afterAutospacing="1" w:line="240" w:lineRule="auto"/>
        <w:rPr>
          <w:rFonts w:eastAsia="Times New Roman" w:cs="Times New Roman"/>
          <w:szCs w:val="24"/>
        </w:rPr>
      </w:pPr>
      <w:r w:rsidRPr="00AA4677">
        <w:t>All research using human subjects must be approved by SBU. Although certain categories of human subject research are exempt from IRB oversight, the determination of exempt status at SBU must be made by ORC Staff</w:t>
      </w:r>
      <w:r w:rsidR="00872F97" w:rsidRPr="00AA4677">
        <w:t>. These individuals are not involved in the proposed research and must not have any apparent conflict of interest</w:t>
      </w:r>
      <w:r w:rsidRPr="00AA4677">
        <w:t xml:space="preserve">.  </w:t>
      </w:r>
      <w:r w:rsidR="00872F97" w:rsidRPr="00AA4677">
        <w:rPr>
          <w:rFonts w:eastAsia="Times New Roman" w:cs="Times New Roman"/>
          <w:szCs w:val="24"/>
        </w:rPr>
        <w:t>Reviewers will use the</w:t>
      </w:r>
      <w:r w:rsidR="00872F97" w:rsidRPr="00AA4677">
        <w:rPr>
          <w:rFonts w:eastAsia="Times New Roman" w:cs="Times New Roman"/>
          <w:b/>
          <w:bCs/>
          <w:szCs w:val="24"/>
        </w:rPr>
        <w:t> Reviewer Exemption Determination Checklist </w:t>
      </w:r>
      <w:r w:rsidR="00872F97" w:rsidRPr="00AA4677">
        <w:rPr>
          <w:rFonts w:eastAsia="Times New Roman" w:cs="Times New Roman"/>
          <w:szCs w:val="24"/>
        </w:rPr>
        <w:t>to determine and document whether the protocol meets the exemption criteria</w:t>
      </w:r>
      <w:r w:rsidR="008A1BBF" w:rsidRPr="00AA4677">
        <w:rPr>
          <w:rFonts w:eastAsia="Times New Roman" w:cs="Times New Roman"/>
          <w:szCs w:val="24"/>
        </w:rPr>
        <w:t>.</w:t>
      </w:r>
    </w:p>
    <w:p w14:paraId="5B8AD72A" w14:textId="1100E9A7" w:rsidR="00E70735" w:rsidRPr="00AA4677" w:rsidRDefault="00E70735" w:rsidP="00872F97">
      <w:r w:rsidRPr="00AA4677">
        <w:t xml:space="preserve">SBU may also choose to accept an exempt determination made by an external IRB; SBU will consider such requests on a </w:t>
      </w:r>
      <w:proofErr w:type="gramStart"/>
      <w:r w:rsidRPr="00AA4677">
        <w:t>case by case</w:t>
      </w:r>
      <w:proofErr w:type="gramEnd"/>
      <w:r w:rsidRPr="00AA4677">
        <w:t xml:space="preserve"> basis.  </w:t>
      </w:r>
    </w:p>
    <w:p w14:paraId="039320AC" w14:textId="360E7E01" w:rsidR="00E53070" w:rsidRPr="00AA4677" w:rsidRDefault="00E70735" w:rsidP="00E70735">
      <w:pPr>
        <w:shd w:val="clear" w:color="auto" w:fill="FFFFFF"/>
        <w:spacing w:before="100" w:beforeAutospacing="1" w:after="100" w:afterAutospacing="1" w:line="240" w:lineRule="auto"/>
      </w:pPr>
      <w:r w:rsidRPr="00AA4677">
        <w:t xml:space="preserve">Unless otherwise required by law or by Federal department or agency heads, exempt studies are exempt from the requirements of the </w:t>
      </w:r>
      <w:hyperlink r:id="rId17" w:history="1">
        <w:r w:rsidRPr="00AA4677">
          <w:rPr>
            <w:rStyle w:val="Hyperlink"/>
            <w:b/>
            <w:bCs/>
            <w:color w:val="auto"/>
            <w:u w:val="none"/>
          </w:rPr>
          <w:t>Common Rule</w:t>
        </w:r>
      </w:hyperlink>
      <w:r w:rsidRPr="00AA4677">
        <w:t xml:space="preserve"> (i.e., IRB approval and full research consent are not required) other than as specified within the regulations (e.g., the conditions that permit </w:t>
      </w:r>
      <w:r w:rsidRPr="00AA4677">
        <w:lastRenderedPageBreak/>
        <w:t xml:space="preserve">exemption, and when limited IRB review is required).  </w:t>
      </w:r>
      <w:r w:rsidRPr="00AA4677">
        <w:rPr>
          <w:b/>
          <w:bCs/>
        </w:rPr>
        <w:t>Exempt research</w:t>
      </w:r>
      <w:r w:rsidR="001D11EE" w:rsidRPr="00AA4677">
        <w:rPr>
          <w:b/>
          <w:bCs/>
        </w:rPr>
        <w:t xml:space="preserve"> (including limited review)</w:t>
      </w:r>
      <w:r w:rsidRPr="00AA4677">
        <w:rPr>
          <w:b/>
          <w:bCs/>
        </w:rPr>
        <w:t xml:space="preserve"> is not exempt from ethical considerations,</w:t>
      </w:r>
      <w:r w:rsidRPr="00AA4677">
        <w:t xml:space="preserve"> such as honoring the principles described in the </w:t>
      </w:r>
      <w:hyperlink r:id="rId18" w:history="1">
        <w:r w:rsidRPr="00AA4677">
          <w:rPr>
            <w:rStyle w:val="Hyperlink"/>
            <w:b/>
            <w:bCs/>
            <w:color w:val="auto"/>
            <w:u w:val="none"/>
          </w:rPr>
          <w:t>Belmont Report</w:t>
        </w:r>
      </w:hyperlink>
      <w:r w:rsidRPr="00AA4677">
        <w:rPr>
          <w:b/>
          <w:bCs/>
        </w:rPr>
        <w:t>.</w:t>
      </w:r>
      <w:r w:rsidRPr="00AA4677">
        <w:t xml:space="preserve"> The </w:t>
      </w:r>
      <w:proofErr w:type="gramStart"/>
      <w:r w:rsidRPr="00AA4677">
        <w:t>individual/s</w:t>
      </w:r>
      <w:proofErr w:type="gramEnd"/>
      <w:r w:rsidRPr="00AA4677">
        <w:t xml:space="preserve"> making the determination of exemption will determine whether to require additional </w:t>
      </w:r>
      <w:proofErr w:type="gramStart"/>
      <w:r w:rsidRPr="00AA4677">
        <w:t>protections</w:t>
      </w:r>
      <w:proofErr w:type="gramEnd"/>
      <w:r w:rsidRPr="00AA4677">
        <w:t xml:space="preserve"> for subjects in keeping with ethical principles (e.g., requiring disclosure/consent, etc.).</w:t>
      </w:r>
    </w:p>
    <w:p w14:paraId="465256FE" w14:textId="31DF3C75" w:rsidR="00055CCD" w:rsidRPr="00AA4677" w:rsidRDefault="003E7C9E" w:rsidP="00C94FA5">
      <w:pPr>
        <w:shd w:val="clear" w:color="auto" w:fill="FFFFFF"/>
        <w:spacing w:after="0" w:line="240" w:lineRule="auto"/>
        <w:rPr>
          <w:rFonts w:eastAsia="Times New Roman" w:cs="Times New Roman"/>
          <w:szCs w:val="24"/>
        </w:rPr>
      </w:pPr>
      <w:r w:rsidRPr="00AA4677">
        <w:rPr>
          <w:rFonts w:eastAsia="Times New Roman" w:cs="Times New Roman"/>
          <w:szCs w:val="24"/>
        </w:rPr>
        <w:t>The exe</w:t>
      </w:r>
      <w:r w:rsidR="00F56C14" w:rsidRPr="00AA4677">
        <w:rPr>
          <w:rFonts w:eastAsia="Times New Roman" w:cs="Times New Roman"/>
          <w:szCs w:val="24"/>
        </w:rPr>
        <w:t>mption is valid for the life of the project</w:t>
      </w:r>
      <w:r w:rsidRPr="00AA4677">
        <w:rPr>
          <w:rFonts w:eastAsia="Times New Roman" w:cs="Times New Roman"/>
          <w:szCs w:val="24"/>
        </w:rPr>
        <w:t xml:space="preserve"> or when the project changes in any way (therefore requiring amendment) whichever comes first</w:t>
      </w:r>
      <w:r w:rsidR="00465B6F" w:rsidRPr="00AA4677">
        <w:rPr>
          <w:rFonts w:eastAsia="Times New Roman" w:cs="Times New Roman"/>
          <w:szCs w:val="24"/>
        </w:rPr>
        <w:t xml:space="preserve">. </w:t>
      </w:r>
      <w:r w:rsidRPr="00AA4677">
        <w:rPr>
          <w:rFonts w:eastAsia="Times New Roman" w:cs="Times New Roman"/>
          <w:szCs w:val="24"/>
        </w:rPr>
        <w:t>Investigators must communicate to ORC any changes proposed during the conduct of the activity so that it may be reviewed to determine if the exemption still applies. Decisions regarding</w:t>
      </w:r>
      <w:r w:rsidR="00F36795" w:rsidRPr="00AA4677">
        <w:rPr>
          <w:rFonts w:eastAsia="Times New Roman" w:cs="Times New Roman"/>
          <w:szCs w:val="24"/>
        </w:rPr>
        <w:t xml:space="preserve"> the</w:t>
      </w:r>
      <w:r w:rsidRPr="00AA4677">
        <w:rPr>
          <w:rFonts w:eastAsia="Times New Roman" w:cs="Times New Roman"/>
          <w:szCs w:val="24"/>
        </w:rPr>
        <w:t xml:space="preserve"> exemption determination will be provided in writing to the investigator. Documentation will include the specific category/categories justifying the exemption.</w:t>
      </w:r>
      <w:r w:rsidR="00F40464" w:rsidRPr="00AA4677">
        <w:rPr>
          <w:rFonts w:eastAsia="Times New Roman" w:cs="Times New Roman"/>
          <w:szCs w:val="24"/>
        </w:rPr>
        <w:t> </w:t>
      </w:r>
      <w:r w:rsidR="008A1BBF" w:rsidRPr="00AA4677">
        <w:rPr>
          <w:rFonts w:eastAsia="Times New Roman" w:cs="Times New Roman"/>
          <w:szCs w:val="24"/>
        </w:rPr>
        <w:t xml:space="preserve">Consent obtained for an exempt research study will contain the following information: </w:t>
      </w:r>
    </w:p>
    <w:p w14:paraId="39F0D77B" w14:textId="5DFD0AFA" w:rsidR="008A1BBF" w:rsidRPr="00AA4677" w:rsidRDefault="008A1BBF">
      <w:pPr>
        <w:pStyle w:val="ListParagraph"/>
        <w:numPr>
          <w:ilvl w:val="0"/>
          <w:numId w:val="219"/>
        </w:numPr>
        <w:shd w:val="clear" w:color="auto" w:fill="FFFFFF"/>
        <w:spacing w:after="0" w:line="240" w:lineRule="auto"/>
        <w:ind w:left="360"/>
        <w:rPr>
          <w:rFonts w:eastAsia="Times New Roman" w:cs="Times New Roman"/>
          <w:szCs w:val="24"/>
        </w:rPr>
      </w:pPr>
      <w:bookmarkStart w:id="60" w:name="_Hlk130459445"/>
      <w:r w:rsidRPr="00AA4677">
        <w:rPr>
          <w:rFonts w:eastAsia="Times New Roman" w:cs="Times New Roman"/>
          <w:szCs w:val="24"/>
        </w:rPr>
        <w:t>T</w:t>
      </w:r>
      <w:r w:rsidR="006476FA" w:rsidRPr="00AA4677">
        <w:rPr>
          <w:rFonts w:eastAsia="Times New Roman" w:cs="Times New Roman"/>
          <w:szCs w:val="24"/>
        </w:rPr>
        <w:t>he activity involves rese</w:t>
      </w:r>
      <w:r w:rsidRPr="00AA4677">
        <w:rPr>
          <w:rFonts w:eastAsia="Times New Roman" w:cs="Times New Roman"/>
          <w:szCs w:val="24"/>
        </w:rPr>
        <w:t>a</w:t>
      </w:r>
      <w:r w:rsidR="006476FA" w:rsidRPr="00AA4677">
        <w:rPr>
          <w:rFonts w:eastAsia="Times New Roman" w:cs="Times New Roman"/>
          <w:szCs w:val="24"/>
        </w:rPr>
        <w:t>r</w:t>
      </w:r>
      <w:r w:rsidRPr="00AA4677">
        <w:rPr>
          <w:rFonts w:eastAsia="Times New Roman" w:cs="Times New Roman"/>
          <w:szCs w:val="24"/>
        </w:rPr>
        <w:t>ch</w:t>
      </w:r>
    </w:p>
    <w:p w14:paraId="3A8B3378" w14:textId="447486E4" w:rsidR="008A1BBF" w:rsidRPr="00AA4677" w:rsidRDefault="008A1BBF">
      <w:pPr>
        <w:pStyle w:val="ListParagraph"/>
        <w:numPr>
          <w:ilvl w:val="0"/>
          <w:numId w:val="219"/>
        </w:numPr>
        <w:shd w:val="clear" w:color="auto" w:fill="FFFFFF"/>
        <w:spacing w:after="0" w:line="240" w:lineRule="auto"/>
        <w:ind w:left="360"/>
        <w:rPr>
          <w:rFonts w:eastAsia="Times New Roman" w:cs="Times New Roman"/>
          <w:szCs w:val="24"/>
        </w:rPr>
      </w:pPr>
      <w:r w:rsidRPr="00AA4677">
        <w:rPr>
          <w:rFonts w:eastAsia="Times New Roman" w:cs="Times New Roman"/>
          <w:szCs w:val="24"/>
        </w:rPr>
        <w:t>Description of the procedures</w:t>
      </w:r>
      <w:r w:rsidR="00862619" w:rsidRPr="00AA4677">
        <w:rPr>
          <w:rFonts w:eastAsia="Times New Roman" w:cs="Times New Roman"/>
          <w:szCs w:val="24"/>
        </w:rPr>
        <w:t xml:space="preserve"> and amount of time spent </w:t>
      </w:r>
      <w:proofErr w:type="gramStart"/>
      <w:r w:rsidR="00862619" w:rsidRPr="00AA4677">
        <w:rPr>
          <w:rFonts w:eastAsia="Times New Roman" w:cs="Times New Roman"/>
          <w:szCs w:val="24"/>
        </w:rPr>
        <w:t>in</w:t>
      </w:r>
      <w:proofErr w:type="gramEnd"/>
      <w:r w:rsidR="00862619" w:rsidRPr="00AA4677">
        <w:rPr>
          <w:rFonts w:eastAsia="Times New Roman" w:cs="Times New Roman"/>
          <w:szCs w:val="24"/>
        </w:rPr>
        <w:t xml:space="preserve"> the study</w:t>
      </w:r>
    </w:p>
    <w:p w14:paraId="0074C339" w14:textId="4567C506" w:rsidR="008A1BBF" w:rsidRPr="00AA4677" w:rsidRDefault="008A1BBF">
      <w:pPr>
        <w:pStyle w:val="ListParagraph"/>
        <w:numPr>
          <w:ilvl w:val="0"/>
          <w:numId w:val="219"/>
        </w:numPr>
        <w:shd w:val="clear" w:color="auto" w:fill="FFFFFF"/>
        <w:spacing w:after="0" w:line="240" w:lineRule="auto"/>
        <w:ind w:left="360"/>
        <w:rPr>
          <w:rFonts w:eastAsia="Times New Roman" w:cs="Times New Roman"/>
          <w:szCs w:val="24"/>
        </w:rPr>
      </w:pPr>
      <w:r w:rsidRPr="00AA4677">
        <w:rPr>
          <w:rFonts w:eastAsia="Times New Roman" w:cs="Times New Roman"/>
          <w:szCs w:val="24"/>
        </w:rPr>
        <w:t>Participation is voluntary</w:t>
      </w:r>
    </w:p>
    <w:p w14:paraId="38FE5C1C" w14:textId="5E6D853C" w:rsidR="00862619" w:rsidRPr="00AA4677" w:rsidRDefault="00862619">
      <w:pPr>
        <w:pStyle w:val="ListParagraph"/>
        <w:numPr>
          <w:ilvl w:val="0"/>
          <w:numId w:val="219"/>
        </w:numPr>
        <w:shd w:val="clear" w:color="auto" w:fill="FFFFFF"/>
        <w:spacing w:after="0" w:line="240" w:lineRule="auto"/>
        <w:ind w:left="360"/>
        <w:rPr>
          <w:rFonts w:eastAsia="Times New Roman" w:cs="Times New Roman"/>
          <w:szCs w:val="24"/>
        </w:rPr>
      </w:pPr>
      <w:r w:rsidRPr="00AA4677">
        <w:rPr>
          <w:rFonts w:eastAsia="Times New Roman" w:cs="Times New Roman"/>
          <w:szCs w:val="24"/>
        </w:rPr>
        <w:t>Payment (if applicable)</w:t>
      </w:r>
    </w:p>
    <w:p w14:paraId="3F4CC29F" w14:textId="5447D18A" w:rsidR="008A1BBF" w:rsidRPr="00AA4677" w:rsidRDefault="008A1BBF">
      <w:pPr>
        <w:pStyle w:val="ListParagraph"/>
        <w:numPr>
          <w:ilvl w:val="0"/>
          <w:numId w:val="219"/>
        </w:numPr>
        <w:shd w:val="clear" w:color="auto" w:fill="FFFFFF"/>
        <w:spacing w:after="0" w:line="240" w:lineRule="auto"/>
        <w:ind w:left="360"/>
        <w:rPr>
          <w:rFonts w:eastAsia="Times New Roman" w:cs="Times New Roman"/>
          <w:szCs w:val="24"/>
        </w:rPr>
      </w:pPr>
      <w:r w:rsidRPr="00AA4677">
        <w:rPr>
          <w:rFonts w:eastAsia="Times New Roman" w:cs="Times New Roman"/>
          <w:szCs w:val="24"/>
        </w:rPr>
        <w:t>Name and contact information for the researcher</w:t>
      </w:r>
    </w:p>
    <w:p w14:paraId="4D59AD0E" w14:textId="6EBA3116" w:rsidR="008A1BBF" w:rsidRPr="00AA4677" w:rsidRDefault="008A1BBF">
      <w:pPr>
        <w:pStyle w:val="ListParagraph"/>
        <w:numPr>
          <w:ilvl w:val="0"/>
          <w:numId w:val="219"/>
        </w:numPr>
        <w:shd w:val="clear" w:color="auto" w:fill="FFFFFF"/>
        <w:spacing w:after="0" w:line="240" w:lineRule="auto"/>
        <w:ind w:left="360"/>
        <w:rPr>
          <w:rFonts w:eastAsia="Times New Roman" w:cs="Times New Roman"/>
          <w:szCs w:val="24"/>
        </w:rPr>
      </w:pPr>
      <w:r w:rsidRPr="00AA4677">
        <w:rPr>
          <w:rFonts w:eastAsia="Times New Roman" w:cs="Times New Roman"/>
          <w:szCs w:val="24"/>
        </w:rPr>
        <w:t>Adequate provisions are in place to maintain the privacy interests of the pa</w:t>
      </w:r>
      <w:r w:rsidR="006476FA" w:rsidRPr="00AA4677">
        <w:rPr>
          <w:rFonts w:eastAsia="Times New Roman" w:cs="Times New Roman"/>
          <w:szCs w:val="24"/>
        </w:rPr>
        <w:t>r</w:t>
      </w:r>
      <w:r w:rsidRPr="00AA4677">
        <w:rPr>
          <w:rFonts w:eastAsia="Times New Roman" w:cs="Times New Roman"/>
          <w:szCs w:val="24"/>
        </w:rPr>
        <w:t>ticipant</w:t>
      </w:r>
      <w:r w:rsidR="00862619" w:rsidRPr="00AA4677">
        <w:rPr>
          <w:rFonts w:eastAsia="Times New Roman" w:cs="Times New Roman"/>
          <w:szCs w:val="24"/>
        </w:rPr>
        <w:t xml:space="preserve"> and the confidentiality of the data</w:t>
      </w:r>
    </w:p>
    <w:p w14:paraId="6F3D2C8F" w14:textId="322E87C7" w:rsidR="00862619" w:rsidRPr="00AA4677" w:rsidRDefault="00862619">
      <w:pPr>
        <w:pStyle w:val="ListParagraph"/>
        <w:numPr>
          <w:ilvl w:val="0"/>
          <w:numId w:val="219"/>
        </w:numPr>
        <w:shd w:val="clear" w:color="auto" w:fill="FFFFFF"/>
        <w:spacing w:after="0" w:line="240" w:lineRule="auto"/>
        <w:ind w:left="360"/>
        <w:rPr>
          <w:rFonts w:eastAsia="Times New Roman" w:cs="Times New Roman"/>
          <w:szCs w:val="24"/>
        </w:rPr>
      </w:pPr>
      <w:r w:rsidRPr="00AA4677">
        <w:rPr>
          <w:rFonts w:eastAsia="Times New Roman" w:cs="Times New Roman"/>
          <w:szCs w:val="24"/>
        </w:rPr>
        <w:t>Who to call for complaints, questions, or concerns</w:t>
      </w:r>
    </w:p>
    <w:bookmarkEnd w:id="60"/>
    <w:p w14:paraId="1D133FEB" w14:textId="33264D2A" w:rsidR="003E7C9E" w:rsidRPr="00AA4677" w:rsidRDefault="003E7C9E" w:rsidP="00C57C98">
      <w:pPr>
        <w:pStyle w:val="Heading3"/>
      </w:pPr>
      <w:r w:rsidRPr="00AA4677">
        <w:t>3.5.1 Limitations on Research Subjects:</w:t>
      </w:r>
    </w:p>
    <w:p w14:paraId="0687CEF9" w14:textId="7777777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Vulnerable Populations:</w:t>
      </w:r>
    </w:p>
    <w:p w14:paraId="231BED91" w14:textId="016A17E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Children:</w:t>
      </w:r>
      <w:r w:rsidRPr="00AA4677">
        <w:rPr>
          <w:rFonts w:eastAsia="Times New Roman" w:cs="Times New Roman"/>
          <w:szCs w:val="24"/>
        </w:rPr>
        <w:t> </w:t>
      </w:r>
      <w:r w:rsidR="00872F97" w:rsidRPr="00AA4677">
        <w:rPr>
          <w:rFonts w:eastAsia="Times New Roman" w:cs="Times New Roman"/>
          <w:szCs w:val="24"/>
        </w:rPr>
        <w:t xml:space="preserve">Exemption #2(i) and (ii) for research involving survey or interview procedures or observations of public behavior does NOT apply to research in children, except for research involving observations of public behavior when the investigator does not participate in the activities being observed. Exemption #2(iii), where identifiable information is obtained and the IRB conducts a limited IRB review, </w:t>
      </w:r>
      <w:r w:rsidR="00F56C14" w:rsidRPr="00AA4677">
        <w:rPr>
          <w:rFonts w:eastAsia="Times New Roman" w:cs="Times New Roman"/>
          <w:szCs w:val="24"/>
        </w:rPr>
        <w:t>is NOT applicable to research with</w:t>
      </w:r>
      <w:r w:rsidR="00872F97" w:rsidRPr="00AA4677">
        <w:rPr>
          <w:rFonts w:eastAsia="Times New Roman" w:cs="Times New Roman"/>
          <w:szCs w:val="24"/>
        </w:rPr>
        <w:t xml:space="preserve"> children. Exemption #3 does NOT apply to research involving children. [45 CFR 46.104(b)(3)]</w:t>
      </w:r>
    </w:p>
    <w:p w14:paraId="0175959E" w14:textId="7937DE8C" w:rsidR="003E7C9E" w:rsidRPr="00AA4677" w:rsidRDefault="003E7C9E" w:rsidP="00F56C14">
      <w:r w:rsidRPr="00AA4677">
        <w:rPr>
          <w:rFonts w:eastAsia="Times New Roman" w:cs="Times New Roman"/>
          <w:b/>
          <w:bCs/>
          <w:szCs w:val="24"/>
        </w:rPr>
        <w:t>Prisoners:</w:t>
      </w:r>
      <w:r w:rsidRPr="00AA4677">
        <w:rPr>
          <w:rFonts w:eastAsia="Times New Roman" w:cs="Times New Roman"/>
          <w:szCs w:val="24"/>
        </w:rPr>
        <w:t> </w:t>
      </w:r>
      <w:r w:rsidR="00872F97" w:rsidRPr="00AA4677">
        <w:t>Exemptions do not apply except for research aimed at involving a broader subject population that only incidentally includes prisoners. [45 CFR 46.104(b)(2)]</w:t>
      </w:r>
    </w:p>
    <w:p w14:paraId="16F97BE2" w14:textId="683EF3EE" w:rsidR="003E7C9E" w:rsidRPr="00AA4677" w:rsidRDefault="003E7C9E" w:rsidP="00C57C98">
      <w:pPr>
        <w:pStyle w:val="Heading3"/>
      </w:pPr>
      <w:r w:rsidRPr="00AA4677">
        <w:lastRenderedPageBreak/>
        <w:t>3.5.2 Categories of Exempt Research</w:t>
      </w:r>
    </w:p>
    <w:p w14:paraId="72BB4B68" w14:textId="062A5D9F" w:rsidR="000B0AAD" w:rsidRPr="00AA4677" w:rsidRDefault="003E7C9E" w:rsidP="00812B9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With the above exceptions</w:t>
      </w:r>
      <w:r w:rsidR="00F4254D" w:rsidRPr="00AA4677">
        <w:rPr>
          <w:rFonts w:eastAsia="Times New Roman" w:cs="Times New Roman"/>
          <w:szCs w:val="24"/>
        </w:rPr>
        <w:t xml:space="preserve"> </w:t>
      </w:r>
      <w:r w:rsidR="00F4254D" w:rsidRPr="00AA4677">
        <w:t xml:space="preserve">and any other limitations or restrictions due to applicable law, regulation, or agency policy, research activities </w:t>
      </w:r>
      <w:r w:rsidRPr="00AA4677">
        <w:rPr>
          <w:rFonts w:eastAsia="Times New Roman" w:cs="Times New Roman"/>
          <w:szCs w:val="24"/>
        </w:rPr>
        <w:t>not regulated by the FDA (see Section 3.5.3 for FDA Exemptions)</w:t>
      </w:r>
      <w:r w:rsidR="00635398" w:rsidRPr="00AA4677">
        <w:rPr>
          <w:rFonts w:eastAsia="Times New Roman" w:cs="Times New Roman"/>
          <w:szCs w:val="24"/>
        </w:rPr>
        <w:t>,</w:t>
      </w:r>
      <w:r w:rsidRPr="00AA4677">
        <w:rPr>
          <w:rFonts w:eastAsia="Times New Roman" w:cs="Times New Roman"/>
          <w:szCs w:val="24"/>
        </w:rPr>
        <w:t xml:space="preserve"> </w:t>
      </w:r>
      <w:r w:rsidR="00F4254D" w:rsidRPr="00AA4677">
        <w:rPr>
          <w:rFonts w:eastAsia="Times New Roman" w:cs="Times New Roman"/>
          <w:szCs w:val="24"/>
        </w:rPr>
        <w:t xml:space="preserve">in which the </w:t>
      </w:r>
      <w:r w:rsidRPr="00AA4677">
        <w:rPr>
          <w:rFonts w:eastAsia="Times New Roman" w:cs="Times New Roman"/>
          <w:szCs w:val="24"/>
        </w:rPr>
        <w:t xml:space="preserve">only involvement of human subjects </w:t>
      </w:r>
      <w:proofErr w:type="gramStart"/>
      <w:r w:rsidR="00F4254D" w:rsidRPr="00AA4677">
        <w:rPr>
          <w:rFonts w:eastAsia="Times New Roman" w:cs="Times New Roman"/>
          <w:szCs w:val="24"/>
        </w:rPr>
        <w:t>are</w:t>
      </w:r>
      <w:proofErr w:type="gramEnd"/>
      <w:r w:rsidR="00F4254D" w:rsidRPr="00AA4677">
        <w:rPr>
          <w:rFonts w:eastAsia="Times New Roman" w:cs="Times New Roman"/>
          <w:szCs w:val="24"/>
        </w:rPr>
        <w:t xml:space="preserve"> determined to be in on</w:t>
      </w:r>
      <w:r w:rsidR="006E4AA9" w:rsidRPr="00AA4677">
        <w:rPr>
          <w:rFonts w:eastAsia="Times New Roman" w:cs="Times New Roman"/>
          <w:szCs w:val="24"/>
        </w:rPr>
        <w:t>e</w:t>
      </w:r>
      <w:r w:rsidR="00F4254D" w:rsidRPr="00AA4677">
        <w:rPr>
          <w:rFonts w:eastAsia="Times New Roman" w:cs="Times New Roman"/>
          <w:szCs w:val="24"/>
        </w:rPr>
        <w:t xml:space="preserve"> or more of the following cate</w:t>
      </w:r>
      <w:r w:rsidRPr="00AA4677">
        <w:rPr>
          <w:rFonts w:eastAsia="Times New Roman" w:cs="Times New Roman"/>
          <w:szCs w:val="24"/>
        </w:rPr>
        <w:t>gories</w:t>
      </w:r>
      <w:r w:rsidR="00F4254D" w:rsidRPr="00AA4677">
        <w:rPr>
          <w:rFonts w:eastAsia="Times New Roman" w:cs="Times New Roman"/>
          <w:szCs w:val="24"/>
        </w:rPr>
        <w:t xml:space="preserve"> may be determined to be </w:t>
      </w:r>
      <w:r w:rsidRPr="00AA4677">
        <w:rPr>
          <w:rFonts w:eastAsia="Times New Roman" w:cs="Times New Roman"/>
          <w:szCs w:val="24"/>
        </w:rPr>
        <w:t>exempt</w:t>
      </w:r>
      <w:r w:rsidR="003445E3" w:rsidRPr="00AA4677">
        <w:rPr>
          <w:rFonts w:eastAsia="Times New Roman" w:cs="Times New Roman"/>
          <w:szCs w:val="24"/>
        </w:rPr>
        <w:t>:</w:t>
      </w:r>
    </w:p>
    <w:p w14:paraId="64FE4648" w14:textId="7956DD61" w:rsidR="003E7C9E" w:rsidRPr="00AA4677" w:rsidRDefault="002876EC" w:rsidP="002876EC">
      <w:pPr>
        <w:pStyle w:val="ListParagraph"/>
        <w:shd w:val="clear" w:color="auto" w:fill="FFFFFF"/>
        <w:spacing w:before="100" w:beforeAutospacing="1" w:after="100" w:afterAutospacing="1" w:line="240" w:lineRule="auto"/>
        <w:ind w:left="360"/>
        <w:rPr>
          <w:rFonts w:eastAsia="Times New Roman" w:cs="Times New Roman"/>
          <w:i/>
          <w:iCs/>
          <w:szCs w:val="24"/>
        </w:rPr>
      </w:pPr>
      <w:r w:rsidRPr="00AA4677">
        <w:rPr>
          <w:rFonts w:eastAsia="Times New Roman" w:cs="Times New Roman"/>
          <w:i/>
          <w:iCs/>
          <w:szCs w:val="24"/>
        </w:rPr>
        <w:t xml:space="preserve">NOTE: </w:t>
      </w:r>
      <w:r w:rsidR="003E7C9E" w:rsidRPr="00AA4677">
        <w:rPr>
          <w:rFonts w:eastAsia="Times New Roman" w:cs="Times New Roman"/>
          <w:i/>
          <w:iCs/>
          <w:szCs w:val="24"/>
        </w:rPr>
        <w:t xml:space="preserve">See also </w:t>
      </w:r>
      <w:r w:rsidR="00F56C14" w:rsidRPr="00AA4677">
        <w:rPr>
          <w:rFonts w:eastAsia="Times New Roman" w:cs="Times New Roman"/>
          <w:i/>
          <w:iCs/>
          <w:szCs w:val="24"/>
        </w:rPr>
        <w:t>Special Topics Section</w:t>
      </w:r>
      <w:r w:rsidR="003E7C9E" w:rsidRPr="00AA4677">
        <w:rPr>
          <w:rFonts w:eastAsia="Times New Roman" w:cs="Times New Roman"/>
          <w:b/>
          <w:i/>
          <w:iCs/>
          <w:szCs w:val="24"/>
        </w:rPr>
        <w:t xml:space="preserve"> (Data/Tissue Registries/Banks) </w:t>
      </w:r>
      <w:r w:rsidR="00F56C14" w:rsidRPr="00AA4677">
        <w:rPr>
          <w:rFonts w:eastAsia="Times New Roman" w:cs="Times New Roman"/>
          <w:i/>
          <w:iCs/>
          <w:szCs w:val="24"/>
        </w:rPr>
        <w:t>and</w:t>
      </w:r>
      <w:r w:rsidR="003E7C9E" w:rsidRPr="00AA4677">
        <w:rPr>
          <w:rFonts w:eastAsia="Times New Roman" w:cs="Times New Roman"/>
          <w:b/>
          <w:i/>
          <w:iCs/>
          <w:szCs w:val="24"/>
        </w:rPr>
        <w:t xml:space="preserve"> (Guidance on Research (only) Involving Coded Private Information or Biological Specimens) </w:t>
      </w:r>
      <w:r w:rsidR="003E7C9E" w:rsidRPr="00AA4677">
        <w:rPr>
          <w:rFonts w:eastAsia="Times New Roman" w:cs="Times New Roman"/>
          <w:i/>
          <w:iCs/>
          <w:szCs w:val="24"/>
        </w:rPr>
        <w:t>for information that may be relevant to the activity in question.</w:t>
      </w:r>
    </w:p>
    <w:p w14:paraId="030C36F9" w14:textId="1D506E06" w:rsidR="00EA5967" w:rsidRPr="00AA4677" w:rsidRDefault="00EA5967">
      <w:pPr>
        <w:pStyle w:val="ListParagraph"/>
        <w:numPr>
          <w:ilvl w:val="0"/>
          <w:numId w:val="144"/>
        </w:numPr>
        <w:shd w:val="clear" w:color="auto" w:fill="FFFFFF"/>
        <w:spacing w:before="100" w:beforeAutospacing="1" w:after="100" w:afterAutospacing="1" w:line="240" w:lineRule="auto"/>
        <w:ind w:left="360"/>
        <w:rPr>
          <w:rFonts w:eastAsia="Times New Roman" w:cs="Times New Roman"/>
          <w:i/>
          <w:iCs/>
          <w:szCs w:val="24"/>
        </w:rPr>
      </w:pPr>
      <w:r w:rsidRPr="00AA4677">
        <w:rPr>
          <w:rFonts w:eastAsia="Times New Roman" w:cs="Times New Roman"/>
          <w:i/>
          <w:iCs/>
          <w:szCs w:val="24"/>
        </w:rPr>
        <w:t xml:space="preserve">SBU </w:t>
      </w:r>
      <w:r w:rsidR="00465B6F" w:rsidRPr="00AA4677">
        <w:rPr>
          <w:rFonts w:eastAsia="Times New Roman" w:cs="Times New Roman"/>
          <w:i/>
          <w:iCs/>
          <w:szCs w:val="24"/>
        </w:rPr>
        <w:t xml:space="preserve">at this time </w:t>
      </w:r>
      <w:r w:rsidRPr="00AA4677">
        <w:rPr>
          <w:rFonts w:eastAsia="Times New Roman" w:cs="Times New Roman"/>
          <w:i/>
          <w:iCs/>
          <w:szCs w:val="24"/>
        </w:rPr>
        <w:t xml:space="preserve">has </w:t>
      </w:r>
      <w:r w:rsidRPr="00AA4677">
        <w:rPr>
          <w:rFonts w:eastAsia="Times New Roman" w:cs="Times New Roman"/>
          <w:b/>
          <w:i/>
          <w:iCs/>
          <w:szCs w:val="24"/>
        </w:rPr>
        <w:t>not</w:t>
      </w:r>
      <w:r w:rsidRPr="00AA4677">
        <w:rPr>
          <w:rFonts w:eastAsia="Times New Roman" w:cs="Times New Roman"/>
          <w:i/>
          <w:iCs/>
          <w:szCs w:val="24"/>
        </w:rPr>
        <w:t xml:space="preserve"> adopted</w:t>
      </w:r>
      <w:r w:rsidR="00465B6F" w:rsidRPr="00AA4677">
        <w:rPr>
          <w:rFonts w:eastAsia="Times New Roman" w:cs="Times New Roman"/>
          <w:i/>
          <w:iCs/>
          <w:szCs w:val="24"/>
        </w:rPr>
        <w:t xml:space="preserve"> Broad Consent and therefore cannot accept applications for exempt categories  </w:t>
      </w:r>
      <w:r w:rsidRPr="00AA4677">
        <w:rPr>
          <w:rFonts w:eastAsia="Times New Roman" w:cs="Times New Roman"/>
          <w:i/>
          <w:iCs/>
          <w:szCs w:val="24"/>
        </w:rPr>
        <w:t xml:space="preserve">reviewed </w:t>
      </w:r>
      <w:r w:rsidR="00465B6F" w:rsidRPr="00AA4677">
        <w:rPr>
          <w:rFonts w:eastAsia="Times New Roman" w:cs="Times New Roman"/>
          <w:i/>
          <w:iCs/>
          <w:szCs w:val="24"/>
        </w:rPr>
        <w:t>under</w:t>
      </w:r>
      <w:r w:rsidR="00B35B82" w:rsidRPr="00AA4677">
        <w:rPr>
          <w:rFonts w:eastAsia="Times New Roman" w:cs="Times New Roman"/>
          <w:i/>
          <w:iCs/>
          <w:szCs w:val="24"/>
        </w:rPr>
        <w:t xml:space="preserve"> 45 CFR 46.104 (d)(7) and (8)</w:t>
      </w:r>
      <w:r w:rsidRPr="00AA4677">
        <w:rPr>
          <w:rFonts w:eastAsia="Times New Roman" w:cs="Times New Roman"/>
          <w:i/>
          <w:iCs/>
          <w:szCs w:val="24"/>
        </w:rPr>
        <w:t>.</w:t>
      </w:r>
    </w:p>
    <w:p w14:paraId="10625FF7" w14:textId="644BE77F" w:rsidR="00EA5967" w:rsidRPr="00AA4677" w:rsidRDefault="00EA5967">
      <w:pPr>
        <w:pStyle w:val="ListParagraph"/>
        <w:numPr>
          <w:ilvl w:val="0"/>
          <w:numId w:val="139"/>
        </w:numPr>
        <w:contextualSpacing w:val="0"/>
      </w:pPr>
      <w:r w:rsidRPr="00AA4677">
        <w:t>Research, conducted in established or commonly accepted educational settings</w:t>
      </w:r>
      <w:proofErr w:type="gramStart"/>
      <w:r w:rsidRPr="00AA4677">
        <w:t xml:space="preserve">, </w:t>
      </w:r>
      <w:r w:rsidR="00F56C14" w:rsidRPr="00AA4677">
        <w:rPr>
          <w:i/>
          <w:iCs/>
        </w:rPr>
        <w:t>which</w:t>
      </w:r>
      <w:proofErr w:type="gramEnd"/>
      <w:r w:rsidR="00F56C14" w:rsidRPr="00AA4677">
        <w:rPr>
          <w:i/>
          <w:iCs/>
        </w:rPr>
        <w:t xml:space="preserve"> </w:t>
      </w:r>
      <w:r w:rsidRPr="00AA4677">
        <w:rPr>
          <w:iCs/>
        </w:rPr>
        <w:t xml:space="preserve">specifically involves normal educational practices that are not likely to adversely impact students’ opportunity to learn required educational content or the assessment of educators who provide instruction. </w:t>
      </w:r>
      <w:r w:rsidRPr="00AA4677">
        <w:t>This includes most research on regular and special education instructional strategies, and research on the effectiveness of or the comparison among instructional techniques, curricula, or classroom management methods.</w:t>
      </w:r>
    </w:p>
    <w:p w14:paraId="29083364" w14:textId="77777777" w:rsidR="00EA5967" w:rsidRPr="00AA4677" w:rsidRDefault="00EA5967">
      <w:pPr>
        <w:pStyle w:val="ListParagraph"/>
        <w:numPr>
          <w:ilvl w:val="0"/>
          <w:numId w:val="139"/>
        </w:numPr>
        <w:contextualSpacing w:val="0"/>
      </w:pPr>
      <w:r w:rsidRPr="00AA4677">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14:paraId="3AA840B2" w14:textId="77777777" w:rsidR="00EA5967" w:rsidRPr="00AA4677" w:rsidRDefault="00EA5967">
      <w:pPr>
        <w:pStyle w:val="ListParagraph"/>
        <w:numPr>
          <w:ilvl w:val="1"/>
          <w:numId w:val="140"/>
        </w:numPr>
        <w:ind w:left="1170" w:hanging="270"/>
      </w:pPr>
      <w:r w:rsidRPr="00AA4677">
        <w:t xml:space="preserve">The information obtained is recorded by the investigator in such a manner that the identity of the human subjects cannot readily be ascertained, directly or through identifiers linked to the </w:t>
      </w:r>
      <w:proofErr w:type="gramStart"/>
      <w:r w:rsidRPr="00AA4677">
        <w:t>subjects;</w:t>
      </w:r>
      <w:proofErr w:type="gramEnd"/>
    </w:p>
    <w:p w14:paraId="63C6BD6F" w14:textId="77777777" w:rsidR="00EA5967" w:rsidRPr="00AA4677" w:rsidRDefault="00EA5967">
      <w:pPr>
        <w:pStyle w:val="ListParagraph"/>
        <w:numPr>
          <w:ilvl w:val="1"/>
          <w:numId w:val="140"/>
        </w:numPr>
        <w:ind w:left="1170" w:hanging="270"/>
      </w:pPr>
      <w:r w:rsidRPr="00AA4677">
        <w:t>Any disclosure of the human subjects’ responses outside the research would not reasonably place the subjects at risk of criminal or civil liability or be damaging to the subjects’ financial standing, employability, educational advancement, or reputation; or</w:t>
      </w:r>
    </w:p>
    <w:p w14:paraId="5A5E442F" w14:textId="0CEF809E" w:rsidR="00EA5967" w:rsidRPr="00AA4677" w:rsidRDefault="00EA5967">
      <w:pPr>
        <w:pStyle w:val="ListParagraph"/>
        <w:numPr>
          <w:ilvl w:val="1"/>
          <w:numId w:val="140"/>
        </w:numPr>
        <w:ind w:left="1170" w:hanging="270"/>
        <w:contextualSpacing w:val="0"/>
      </w:pPr>
      <w:r w:rsidRPr="00AA4677">
        <w:t xml:space="preserve">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r w:rsidR="00B72AC3" w:rsidRPr="00AA4677">
        <w:t>45 CFR 46</w:t>
      </w:r>
      <w:r w:rsidRPr="00AA4677">
        <w:t xml:space="preserve">.111(a)(7): </w:t>
      </w:r>
      <w:r w:rsidRPr="00AA4677">
        <w:rPr>
          <w:i/>
        </w:rPr>
        <w:t>When appropriate, there are adequate provisions to protect the privacy of subjects and to maintain the confidentiality of data</w:t>
      </w:r>
      <w:r w:rsidRPr="00AA4677">
        <w:t>.</w:t>
      </w:r>
    </w:p>
    <w:p w14:paraId="6D6A9863" w14:textId="08D96E1D" w:rsidR="00EA5967" w:rsidRPr="00AA4677" w:rsidRDefault="00C244BE">
      <w:pPr>
        <w:pStyle w:val="ListParagraph"/>
        <w:numPr>
          <w:ilvl w:val="0"/>
          <w:numId w:val="139"/>
        </w:numPr>
        <w:spacing w:before="240"/>
        <w:contextualSpacing w:val="0"/>
      </w:pPr>
      <w:r w:rsidRPr="00AA4677">
        <w:t>(</w:t>
      </w:r>
      <w:proofErr w:type="spellStart"/>
      <w:r w:rsidRPr="00AA4677">
        <w:t>i</w:t>
      </w:r>
      <w:proofErr w:type="spellEnd"/>
      <w:r w:rsidRPr="00AA4677">
        <w:t xml:space="preserve">) </w:t>
      </w:r>
      <w:r w:rsidR="00EA5967" w:rsidRPr="00AA4677">
        <w:t>Research involving benign behavioral interventions</w:t>
      </w:r>
      <w:r w:rsidRPr="00AA4677">
        <w:t xml:space="preserve"> (See additional information below)</w:t>
      </w:r>
      <w:r w:rsidR="00EA5967" w:rsidRPr="00AA4677">
        <w:t xml:space="preserve"> in conjunction with the collection of information from an adult subject through verbal or </w:t>
      </w:r>
      <w:r w:rsidR="00EA5967" w:rsidRPr="00AA4677">
        <w:lastRenderedPageBreak/>
        <w:t>written responses (including data entry) or audiovisual recording if the subject prospectively agrees to the intervention and information collection and at least one of the following criteria is met:</w:t>
      </w:r>
    </w:p>
    <w:p w14:paraId="2D64FB96" w14:textId="3CF15F84" w:rsidR="00EA5967" w:rsidRPr="00AA4677" w:rsidRDefault="00EA5967">
      <w:pPr>
        <w:pStyle w:val="ListParagraph"/>
        <w:numPr>
          <w:ilvl w:val="2"/>
          <w:numId w:val="196"/>
        </w:numPr>
        <w:tabs>
          <w:tab w:val="left" w:pos="810"/>
        </w:tabs>
        <w:ind w:left="1170" w:hanging="270"/>
      </w:pPr>
      <w:r w:rsidRPr="00AA4677">
        <w:t xml:space="preserve">The information obtained is recorded by the investigator in such a manner that the identity of the human subjects cannot readily be ascertained, directly or through identifiers linked to the </w:t>
      </w:r>
      <w:proofErr w:type="gramStart"/>
      <w:r w:rsidRPr="00AA4677">
        <w:t>subjects;</w:t>
      </w:r>
      <w:proofErr w:type="gramEnd"/>
    </w:p>
    <w:p w14:paraId="16147972" w14:textId="77777777" w:rsidR="00EA5967" w:rsidRPr="00AA4677" w:rsidRDefault="00EA5967">
      <w:pPr>
        <w:pStyle w:val="ListParagraph"/>
        <w:numPr>
          <w:ilvl w:val="2"/>
          <w:numId w:val="196"/>
        </w:numPr>
        <w:tabs>
          <w:tab w:val="left" w:pos="810"/>
        </w:tabs>
        <w:ind w:left="1170" w:hanging="270"/>
      </w:pPr>
      <w:r w:rsidRPr="00AA4677">
        <w:t>Any disclosure of the human subjects’ responses outside the research would not reasonably place the subjects at risk of criminal or civil liability or be damaging to the subjects’ financial standing, employability, educational advancement, or reputation; or</w:t>
      </w:r>
    </w:p>
    <w:p w14:paraId="149A29C1" w14:textId="58266F69" w:rsidR="00112012" w:rsidRPr="00AA4677" w:rsidRDefault="00EA5967">
      <w:pPr>
        <w:pStyle w:val="ListParagraph"/>
        <w:numPr>
          <w:ilvl w:val="2"/>
          <w:numId w:val="196"/>
        </w:numPr>
        <w:tabs>
          <w:tab w:val="left" w:pos="810"/>
        </w:tabs>
        <w:ind w:left="1170" w:hanging="270"/>
      </w:pPr>
      <w:r w:rsidRPr="00AA4677">
        <w:t>The information obtained is recorded by the investigator in such a manner that the identity of the human subjects can readily be ascertained, directly or through identifiers linked to the subjects, and an IRB conducts a limited IRB review to make the determination required by</w:t>
      </w:r>
      <w:r w:rsidR="00B72AC3" w:rsidRPr="00AA4677">
        <w:t xml:space="preserve"> 45 CFR 46</w:t>
      </w:r>
      <w:r w:rsidRPr="00AA4677">
        <w:t xml:space="preserve">.111(a)(7): </w:t>
      </w:r>
      <w:r w:rsidRPr="00AA4677">
        <w:rPr>
          <w:i/>
        </w:rPr>
        <w:t>When appropriate, there are adequate provisions to protect the privacy of subjects and to maintain the confidentiality of data</w:t>
      </w:r>
      <w:r w:rsidRPr="00AA4677">
        <w:t>.</w:t>
      </w:r>
    </w:p>
    <w:p w14:paraId="260849F5" w14:textId="6372DD2F" w:rsidR="00112012" w:rsidRPr="00AA4677" w:rsidRDefault="00112012" w:rsidP="0062045E">
      <w:pPr>
        <w:ind w:left="720"/>
      </w:pPr>
      <w:r w:rsidRPr="00AA4677">
        <w:t xml:space="preserve">(ii) For the purpose of this provision, benign behavioral interventions are </w:t>
      </w:r>
      <w:proofErr w:type="gramStart"/>
      <w:r w:rsidRPr="00AA4677">
        <w:t>brief in duration</w:t>
      </w:r>
      <w:proofErr w:type="gramEnd"/>
      <w:r w:rsidRPr="00AA4677">
        <w:t>,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1D6FD614" w14:textId="3616A17D" w:rsidR="00C244BE" w:rsidRPr="00AA4677" w:rsidRDefault="00C244BE" w:rsidP="0062045E">
      <w:pPr>
        <w:ind w:left="720"/>
      </w:pPr>
      <w:r w:rsidRPr="00AA4677">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0A1BAD63" w14:textId="77777777" w:rsidR="00EA5967" w:rsidRPr="00AA4677" w:rsidRDefault="00EA5967">
      <w:pPr>
        <w:pStyle w:val="ListParagraph"/>
        <w:numPr>
          <w:ilvl w:val="0"/>
          <w:numId w:val="139"/>
        </w:numPr>
        <w:contextualSpacing w:val="0"/>
      </w:pPr>
      <w:r w:rsidRPr="00AA4677">
        <w:t xml:space="preserve">Secondary research for which consent is not required: Secondary research </w:t>
      </w:r>
      <w:proofErr w:type="gramStart"/>
      <w:r w:rsidRPr="00AA4677">
        <w:t>uses of</w:t>
      </w:r>
      <w:proofErr w:type="gramEnd"/>
      <w:r w:rsidRPr="00AA4677">
        <w:t xml:space="preserve"> identifiable private information or identifiable biospecimens, if at least one of the following criteria is met:</w:t>
      </w:r>
    </w:p>
    <w:p w14:paraId="62D7770B" w14:textId="77777777" w:rsidR="00EA5967" w:rsidRPr="00AA4677" w:rsidRDefault="00EA5967">
      <w:pPr>
        <w:pStyle w:val="ListParagraph"/>
        <w:numPr>
          <w:ilvl w:val="0"/>
          <w:numId w:val="142"/>
        </w:numPr>
        <w:ind w:left="1260"/>
      </w:pPr>
      <w:r w:rsidRPr="00AA4677">
        <w:t xml:space="preserve">The identifiable private information or identifiable biospecimens are publicly </w:t>
      </w:r>
      <w:proofErr w:type="gramStart"/>
      <w:r w:rsidRPr="00AA4677">
        <w:t>available;</w:t>
      </w:r>
      <w:proofErr w:type="gramEnd"/>
    </w:p>
    <w:p w14:paraId="7EFED728" w14:textId="77777777" w:rsidR="00EA5967" w:rsidRPr="00AA4677" w:rsidRDefault="00EA5967">
      <w:pPr>
        <w:pStyle w:val="ListParagraph"/>
        <w:numPr>
          <w:ilvl w:val="0"/>
          <w:numId w:val="142"/>
        </w:numPr>
        <w:ind w:left="1260"/>
      </w:pPr>
      <w:r w:rsidRPr="00AA4677">
        <w:t xml:space="preserve">Information, which may include information about biospecimens, is recorded by the investigator in such a manner that the identity of the human subjects cannot readily </w:t>
      </w:r>
      <w:r w:rsidRPr="00AA4677">
        <w:lastRenderedPageBreak/>
        <w:t xml:space="preserve">be ascertained directly or through identifiers linked to the subjects, the investigator does not contact the subjects, and the investigator will not re-identify </w:t>
      </w:r>
      <w:proofErr w:type="gramStart"/>
      <w:r w:rsidRPr="00AA4677">
        <w:t>subjects;</w:t>
      </w:r>
      <w:proofErr w:type="gramEnd"/>
    </w:p>
    <w:p w14:paraId="11910488" w14:textId="77777777" w:rsidR="00EA5967" w:rsidRPr="00AA4677" w:rsidRDefault="00EA5967">
      <w:pPr>
        <w:pStyle w:val="ListParagraph"/>
        <w:numPr>
          <w:ilvl w:val="0"/>
          <w:numId w:val="142"/>
        </w:numPr>
        <w:ind w:left="1260"/>
      </w:pPr>
      <w:r w:rsidRPr="00AA4677">
        <w:t>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14:paraId="03679792" w14:textId="2BF2AAF5" w:rsidR="00EA5967" w:rsidRPr="00AA4677" w:rsidRDefault="00EA5967">
      <w:pPr>
        <w:pStyle w:val="ListParagraph"/>
        <w:numPr>
          <w:ilvl w:val="0"/>
          <w:numId w:val="142"/>
        </w:numPr>
        <w:ind w:left="1260"/>
        <w:contextualSpacing w:val="0"/>
      </w:pPr>
      <w:r w:rsidRPr="00AA4677">
        <w:rPr>
          <w:iCs/>
        </w:rPr>
        <w:t xml:space="preserve">The research is conducted by, or on behalf of, a Federal department or agency using government-generated or government-collected information obtained for </w:t>
      </w:r>
      <w:proofErr w:type="spellStart"/>
      <w:r w:rsidRPr="00AA4677">
        <w:rPr>
          <w:iCs/>
        </w:rPr>
        <w:t>nonresearch</w:t>
      </w:r>
      <w:proofErr w:type="spellEnd"/>
      <w:r w:rsidRPr="00AA4677">
        <w:rPr>
          <w:iCs/>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179546DB" w14:textId="5E9DBD9A" w:rsidR="002606F0" w:rsidRPr="00AA4677" w:rsidRDefault="002606F0" w:rsidP="00C95B68">
      <w:pPr>
        <w:pStyle w:val="NoSpacing"/>
        <w:rPr>
          <w:rFonts w:asciiTheme="minorHAnsi" w:hAnsiTheme="minorHAnsi" w:cstheme="minorHAnsi"/>
          <w:bCs/>
          <w:color w:val="auto"/>
        </w:rPr>
      </w:pPr>
      <w:r w:rsidRPr="00AA4677">
        <w:rPr>
          <w:rFonts w:asciiTheme="minorHAnsi" w:hAnsiTheme="minorHAnsi" w:cstheme="minorHAnsi"/>
          <w:bCs/>
          <w:color w:val="auto"/>
        </w:rPr>
        <w:t>NOTE: This exemption permits the secondary research use of identifiable private information or identifiable biospecimens obtained from subjects who are prisoners, if the research is not designed in a way that seeks to recruit prisoners as a population but rather only incidentally (i.e., not intentionally) includes prisoners</w:t>
      </w:r>
      <w:r w:rsidR="00281FF2" w:rsidRPr="00AA4677">
        <w:rPr>
          <w:rFonts w:asciiTheme="minorHAnsi" w:hAnsiTheme="minorHAnsi" w:cstheme="minorHAnsi"/>
          <w:bCs/>
          <w:color w:val="auto"/>
        </w:rPr>
        <w:t>.</w:t>
      </w:r>
    </w:p>
    <w:p w14:paraId="44164502" w14:textId="77777777" w:rsidR="00B72AC3" w:rsidRPr="00AA4677" w:rsidRDefault="00B72AC3" w:rsidP="00B72AC3">
      <w:pPr>
        <w:pStyle w:val="NoSpacing"/>
        <w:ind w:left="720"/>
        <w:rPr>
          <w:rFonts w:asciiTheme="minorHAnsi" w:hAnsiTheme="minorHAnsi" w:cstheme="minorHAnsi"/>
          <w:bCs/>
          <w:color w:val="auto"/>
          <w:sz w:val="22"/>
          <w:szCs w:val="20"/>
        </w:rPr>
      </w:pPr>
    </w:p>
    <w:p w14:paraId="382E7E6D" w14:textId="77777777" w:rsidR="00EA5967" w:rsidRPr="00AA4677" w:rsidRDefault="00EA5967">
      <w:pPr>
        <w:pStyle w:val="ListParagraph"/>
        <w:numPr>
          <w:ilvl w:val="0"/>
          <w:numId w:val="139"/>
        </w:numPr>
      </w:pPr>
      <w:r w:rsidRPr="00AA4677">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6AB4F2E3" w14:textId="77777777" w:rsidR="00EA5967" w:rsidRPr="00AA4677" w:rsidRDefault="00EA5967">
      <w:pPr>
        <w:pStyle w:val="ListParagraph"/>
        <w:numPr>
          <w:ilvl w:val="0"/>
          <w:numId w:val="141"/>
        </w:numPr>
        <w:ind w:left="1170" w:hanging="270"/>
        <w:contextualSpacing w:val="0"/>
      </w:pPr>
      <w:r w:rsidRPr="00AA4677">
        <w:t xml:space="preserve">Each Federal department or agency conducting or supporting the research and demonstration projects must establish, on a publicly accessible Federal website or in such other manner as the department or agency head may determine, a list of the </w:t>
      </w:r>
      <w:r w:rsidRPr="00AA4677">
        <w:lastRenderedPageBreak/>
        <w:t>research and demonstration projects that the Federal department or agency conducts or supports under this provision. The research or demonstration project must be published on this list prior to commencing the research involving human subjects.</w:t>
      </w:r>
    </w:p>
    <w:p w14:paraId="3AD6DFC2" w14:textId="77777777" w:rsidR="00EA5967" w:rsidRPr="00AA4677" w:rsidRDefault="00EA5967">
      <w:pPr>
        <w:pStyle w:val="ListParagraph"/>
        <w:numPr>
          <w:ilvl w:val="0"/>
          <w:numId w:val="139"/>
        </w:numPr>
        <w:contextualSpacing w:val="0"/>
      </w:pPr>
      <w:r w:rsidRPr="00AA4677">
        <w:t>Taste and food quality evaluation and consumer acceptance studies:</w:t>
      </w:r>
    </w:p>
    <w:p w14:paraId="6052E187" w14:textId="77777777" w:rsidR="00EA5967" w:rsidRPr="00AA4677" w:rsidRDefault="00EA5967">
      <w:pPr>
        <w:pStyle w:val="ListParagraph"/>
        <w:numPr>
          <w:ilvl w:val="0"/>
          <w:numId w:val="143"/>
        </w:numPr>
        <w:ind w:left="1170" w:hanging="270"/>
      </w:pPr>
      <w:r w:rsidRPr="00AA4677">
        <w:t>If wholesome foods without additives are consumed, or</w:t>
      </w:r>
    </w:p>
    <w:p w14:paraId="66A2DFE4" w14:textId="77777777" w:rsidR="00EA5967" w:rsidRPr="00AA4677" w:rsidRDefault="00EA5967">
      <w:pPr>
        <w:pStyle w:val="ListParagraph"/>
        <w:numPr>
          <w:ilvl w:val="0"/>
          <w:numId w:val="143"/>
        </w:numPr>
        <w:ind w:left="1170" w:hanging="270"/>
        <w:contextualSpacing w:val="0"/>
      </w:pPr>
      <w:r w:rsidRPr="00AA4677">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4BCC4CEF" w14:textId="1E55297A" w:rsidR="003E7C9E" w:rsidRPr="00AA4677" w:rsidRDefault="00EA7ABF" w:rsidP="00C57C98">
      <w:pPr>
        <w:pStyle w:val="Heading3"/>
      </w:pPr>
      <w:r w:rsidRPr="00AA4677">
        <w:t>3.5.3 </w:t>
      </w:r>
      <w:r w:rsidR="003E7C9E" w:rsidRPr="00AA4677">
        <w:t>F</w:t>
      </w:r>
      <w:r w:rsidR="0066054A" w:rsidRPr="00AA4677">
        <w:t xml:space="preserve">ood and </w:t>
      </w:r>
      <w:r w:rsidR="003E7C9E" w:rsidRPr="00AA4677">
        <w:t>D</w:t>
      </w:r>
      <w:r w:rsidR="0066054A" w:rsidRPr="00AA4677">
        <w:t xml:space="preserve">rug </w:t>
      </w:r>
      <w:r w:rsidR="003E7C9E" w:rsidRPr="00AA4677">
        <w:t>A</w:t>
      </w:r>
      <w:r w:rsidR="0066054A" w:rsidRPr="00AA4677">
        <w:t>dministration (FDA)</w:t>
      </w:r>
      <w:r w:rsidR="003E7C9E" w:rsidRPr="00AA4677">
        <w:t xml:space="preserve"> Exemptions</w:t>
      </w:r>
    </w:p>
    <w:p w14:paraId="77B05AAB" w14:textId="373C960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Cs/>
          <w:szCs w:val="24"/>
        </w:rPr>
        <w:t xml:space="preserve">The following categories of clinical investigations are exempt from the requirements of prior </w:t>
      </w:r>
      <w:r w:rsidR="00EE7207" w:rsidRPr="00AA4677">
        <w:rPr>
          <w:rFonts w:eastAsia="Times New Roman" w:cs="Times New Roman"/>
          <w:bCs/>
          <w:szCs w:val="24"/>
        </w:rPr>
        <w:t>IRB</w:t>
      </w:r>
      <w:r w:rsidRPr="00AA4677">
        <w:rPr>
          <w:rFonts w:eastAsia="Times New Roman" w:cs="Times New Roman"/>
          <w:bCs/>
          <w:szCs w:val="24"/>
        </w:rPr>
        <w:t xml:space="preserve"> review:</w:t>
      </w:r>
    </w:p>
    <w:p w14:paraId="22313B86" w14:textId="199AEC3B" w:rsidR="00E22BFC" w:rsidRPr="00AA4677" w:rsidRDefault="003E7C9E">
      <w:pPr>
        <w:pStyle w:val="ListParagraph"/>
        <w:numPr>
          <w:ilvl w:val="0"/>
          <w:numId w:val="8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Emergency use of a test article, provided that such emergency use is reported to </w:t>
      </w:r>
      <w:r w:rsidR="00C60DBC"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within 5 working days. Any subsequent use of the test article at the </w:t>
      </w:r>
      <w:r w:rsidR="0066054A" w:rsidRPr="00AA4677">
        <w:rPr>
          <w:rFonts w:eastAsia="Times New Roman" w:cs="Times New Roman"/>
          <w:szCs w:val="24"/>
        </w:rPr>
        <w:t>University</w:t>
      </w:r>
      <w:r w:rsidRPr="00AA4677">
        <w:rPr>
          <w:rFonts w:eastAsia="Times New Roman" w:cs="Times New Roman"/>
          <w:szCs w:val="24"/>
        </w:rPr>
        <w:t xml:space="preserve"> is subject to </w:t>
      </w:r>
      <w:r w:rsidR="00EE7207" w:rsidRPr="00AA4677">
        <w:rPr>
          <w:rFonts w:eastAsia="Times New Roman" w:cs="Times New Roman"/>
          <w:szCs w:val="24"/>
        </w:rPr>
        <w:t>IRB</w:t>
      </w:r>
      <w:r w:rsidRPr="00AA4677">
        <w:rPr>
          <w:rFonts w:eastAsia="Times New Roman" w:cs="Times New Roman"/>
          <w:szCs w:val="24"/>
        </w:rPr>
        <w:t xml:space="preserve"> review. [21 CFR 56.104(c)]</w:t>
      </w:r>
    </w:p>
    <w:p w14:paraId="43934DE7" w14:textId="476267F7" w:rsidR="003E7C9E" w:rsidRPr="00AA4677" w:rsidRDefault="003E7C9E" w:rsidP="00C95B68">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i/>
          <w:szCs w:val="24"/>
        </w:rPr>
        <w:t>Note:</w:t>
      </w:r>
      <w:r w:rsidRPr="00AA4677">
        <w:rPr>
          <w:rFonts w:eastAsia="Times New Roman" w:cs="Times New Roman"/>
          <w:bCs/>
          <w:i/>
          <w:szCs w:val="24"/>
        </w:rPr>
        <w:t xml:space="preserve"> </w:t>
      </w:r>
      <w:r w:rsidR="00B91380" w:rsidRPr="00AA4677">
        <w:rPr>
          <w:rFonts w:eastAsia="Times New Roman" w:cs="Times New Roman"/>
          <w:bCs/>
          <w:i/>
          <w:szCs w:val="24"/>
        </w:rPr>
        <w:t>See s</w:t>
      </w:r>
      <w:r w:rsidR="003311A4" w:rsidRPr="00AA4677">
        <w:rPr>
          <w:rFonts w:eastAsia="Times New Roman" w:cs="Times New Roman"/>
          <w:bCs/>
          <w:i/>
          <w:szCs w:val="24"/>
        </w:rPr>
        <w:t>ection 7.2</w:t>
      </w:r>
      <w:r w:rsidR="003445E3" w:rsidRPr="00AA4677">
        <w:rPr>
          <w:rFonts w:eastAsia="Times New Roman" w:cs="Times New Roman"/>
          <w:bCs/>
          <w:i/>
          <w:szCs w:val="24"/>
        </w:rPr>
        <w:t xml:space="preserve"> </w:t>
      </w:r>
      <w:r w:rsidR="005C2A03" w:rsidRPr="00AA4677">
        <w:rPr>
          <w:rFonts w:eastAsia="Times New Roman" w:cs="Times New Roman"/>
          <w:b/>
          <w:bCs/>
          <w:i/>
          <w:szCs w:val="24"/>
        </w:rPr>
        <w:t>(FDA Exemptions</w:t>
      </w:r>
      <w:r w:rsidR="003445E3" w:rsidRPr="00AA4677">
        <w:rPr>
          <w:rFonts w:eastAsia="Times New Roman" w:cs="Times New Roman"/>
          <w:b/>
          <w:bCs/>
          <w:i/>
          <w:szCs w:val="24"/>
        </w:rPr>
        <w:t>)</w:t>
      </w:r>
      <w:r w:rsidR="003445E3" w:rsidRPr="00AA4677">
        <w:rPr>
          <w:rFonts w:eastAsia="Times New Roman" w:cs="Times New Roman"/>
          <w:bCs/>
          <w:i/>
          <w:szCs w:val="24"/>
        </w:rPr>
        <w:t xml:space="preserve"> </w:t>
      </w:r>
      <w:r w:rsidRPr="00AA4677">
        <w:rPr>
          <w:rFonts w:eastAsia="Times New Roman" w:cs="Times New Roman"/>
          <w:bCs/>
          <w:i/>
          <w:szCs w:val="24"/>
        </w:rPr>
        <w:t>for a detailed discussion of this exemption.</w:t>
      </w:r>
    </w:p>
    <w:p w14:paraId="05207375" w14:textId="7B4E459C" w:rsidR="003E7C9E" w:rsidRPr="00AA4677" w:rsidRDefault="003E7C9E">
      <w:pPr>
        <w:pStyle w:val="ListParagraph"/>
        <w:numPr>
          <w:ilvl w:val="0"/>
          <w:numId w:val="8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Taste and food quality evaluations and consumer acceptance studies, if wholesome foods without additives are consumed or if a food is consumed that contains a food ingredient at or below the level and for a use found to be safe, or agricultural, chemical, or environmental contaminant at or below the level found to be safe, by the </w:t>
      </w:r>
      <w:r w:rsidR="0066054A" w:rsidRPr="00AA4677">
        <w:rPr>
          <w:rFonts w:eastAsia="Times New Roman" w:cs="Times New Roman"/>
          <w:szCs w:val="24"/>
        </w:rPr>
        <w:t>FDA</w:t>
      </w:r>
      <w:r w:rsidRPr="00AA4677">
        <w:rPr>
          <w:rFonts w:eastAsia="Times New Roman" w:cs="Times New Roman"/>
          <w:szCs w:val="24"/>
        </w:rPr>
        <w:t xml:space="preserve"> or approved by the</w:t>
      </w:r>
      <w:r w:rsidR="0066054A" w:rsidRPr="00AA4677">
        <w:rPr>
          <w:rFonts w:eastAsia="Times New Roman" w:cs="Times New Roman"/>
          <w:szCs w:val="24"/>
        </w:rPr>
        <w:t xml:space="preserve"> EPA</w:t>
      </w:r>
      <w:r w:rsidRPr="00AA4677">
        <w:rPr>
          <w:rFonts w:eastAsia="Times New Roman" w:cs="Times New Roman"/>
          <w:szCs w:val="24"/>
        </w:rPr>
        <w:t xml:space="preserve"> or the </w:t>
      </w:r>
      <w:r w:rsidR="00E22BFC" w:rsidRPr="00AA4677">
        <w:rPr>
          <w:rFonts w:eastAsia="Times New Roman" w:cs="Times New Roman"/>
          <w:szCs w:val="24"/>
        </w:rPr>
        <w:t xml:space="preserve">FSIS </w:t>
      </w:r>
      <w:r w:rsidRPr="00AA4677">
        <w:rPr>
          <w:rFonts w:eastAsia="Times New Roman" w:cs="Times New Roman"/>
          <w:szCs w:val="24"/>
        </w:rPr>
        <w:t>of the USD</w:t>
      </w:r>
      <w:r w:rsidR="00E22BFC" w:rsidRPr="00AA4677">
        <w:rPr>
          <w:rFonts w:eastAsia="Times New Roman" w:cs="Times New Roman"/>
          <w:szCs w:val="24"/>
        </w:rPr>
        <w:t>A</w:t>
      </w:r>
      <w:r w:rsidRPr="00AA4677">
        <w:rPr>
          <w:rFonts w:eastAsia="Times New Roman" w:cs="Times New Roman"/>
          <w:szCs w:val="24"/>
        </w:rPr>
        <w:t>. [21 CFR 56.104(d)]</w:t>
      </w:r>
    </w:p>
    <w:p w14:paraId="48FA0F7E" w14:textId="7A45EB28" w:rsidR="003E7C9E" w:rsidRPr="00AA4677" w:rsidRDefault="00EA7ABF" w:rsidP="00C57C98">
      <w:pPr>
        <w:pStyle w:val="Heading3"/>
      </w:pPr>
      <w:r w:rsidRPr="00AA4677">
        <w:t>3.5.4 </w:t>
      </w:r>
      <w:r w:rsidR="003E7C9E" w:rsidRPr="00AA4677">
        <w:t>Additional Protections</w:t>
      </w:r>
    </w:p>
    <w:p w14:paraId="3C313342" w14:textId="47801372"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Although exempt research is not covered by the federal regulations, this research is not exempt from the ethical guidelines of the Belmont Report. The individual making the determination of exemption will determine whether to require additional </w:t>
      </w:r>
      <w:proofErr w:type="gramStart"/>
      <w:r w:rsidRPr="00AA4677">
        <w:rPr>
          <w:rFonts w:eastAsia="Times New Roman" w:cs="Times New Roman"/>
          <w:szCs w:val="24"/>
        </w:rPr>
        <w:t>protections</w:t>
      </w:r>
      <w:proofErr w:type="gramEnd"/>
      <w:r w:rsidRPr="00AA4677">
        <w:rPr>
          <w:rFonts w:eastAsia="Times New Roman" w:cs="Times New Roman"/>
          <w:szCs w:val="24"/>
        </w:rPr>
        <w:t>, including</w:t>
      </w:r>
      <w:r w:rsidR="002606F0" w:rsidRPr="00AA4677">
        <w:rPr>
          <w:rFonts w:eastAsia="Times New Roman" w:cs="Times New Roman"/>
          <w:szCs w:val="24"/>
        </w:rPr>
        <w:t xml:space="preserve"> a requirement for informed consent</w:t>
      </w:r>
      <w:r w:rsidRPr="00AA4677">
        <w:rPr>
          <w:rFonts w:eastAsia="Times New Roman" w:cs="Times New Roman"/>
          <w:szCs w:val="24"/>
        </w:rPr>
        <w:t>.</w:t>
      </w:r>
    </w:p>
    <w:p w14:paraId="468846B0" w14:textId="2277A77D" w:rsidR="003E7C9E" w:rsidRPr="00AA4677" w:rsidRDefault="00EA7ABF" w:rsidP="00C57C98">
      <w:pPr>
        <w:pStyle w:val="Heading3"/>
      </w:pPr>
      <w:r w:rsidRPr="00AA4677">
        <w:t>3.5.5 </w:t>
      </w:r>
      <w:r w:rsidR="003E7C9E" w:rsidRPr="00AA4677">
        <w:t xml:space="preserve">Materials to be Submitted for </w:t>
      </w:r>
      <w:r w:rsidR="00EE7207" w:rsidRPr="00AA4677">
        <w:t>IRB</w:t>
      </w:r>
      <w:r w:rsidR="003E7C9E" w:rsidRPr="00AA4677">
        <w:t xml:space="preserve"> Review of Exemption Request</w:t>
      </w:r>
    </w:p>
    <w:p w14:paraId="750CB45D" w14:textId="4B5BF16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following materials will be </w:t>
      </w:r>
      <w:r w:rsidR="00172791" w:rsidRPr="00AA4677">
        <w:rPr>
          <w:rFonts w:eastAsia="Times New Roman" w:cs="Times New Roman"/>
          <w:szCs w:val="24"/>
        </w:rPr>
        <w:t>completed/</w:t>
      </w:r>
      <w:r w:rsidRPr="00AA4677">
        <w:rPr>
          <w:rFonts w:eastAsia="Times New Roman" w:cs="Times New Roman"/>
          <w:szCs w:val="24"/>
        </w:rPr>
        <w:t>submitted via</w:t>
      </w:r>
      <w:r w:rsidR="001B1D7E" w:rsidRPr="00AA4677">
        <w:rPr>
          <w:rFonts w:eastAsia="Times New Roman" w:cs="Times New Roman"/>
          <w:szCs w:val="24"/>
        </w:rPr>
        <w:t xml:space="preserve"> </w:t>
      </w:r>
      <w:r w:rsidR="00E22BFC" w:rsidRPr="00AA4677">
        <w:rPr>
          <w:rFonts w:eastAsia="Times New Roman" w:cs="Times New Roman"/>
          <w:szCs w:val="24"/>
        </w:rPr>
        <w:t xml:space="preserve">the </w:t>
      </w:r>
      <w:r w:rsidR="00DC5138" w:rsidRPr="00AA4677">
        <w:rPr>
          <w:rFonts w:eastAsia="Times New Roman" w:cs="Times New Roman"/>
          <w:szCs w:val="24"/>
        </w:rPr>
        <w:t>electronic management system</w:t>
      </w:r>
      <w:r w:rsidR="001B1D7E" w:rsidRPr="00AA4677">
        <w:rPr>
          <w:rFonts w:eastAsia="Times New Roman" w:cs="Times New Roman"/>
          <w:szCs w:val="24"/>
        </w:rPr>
        <w:t xml:space="preserve">: </w:t>
      </w:r>
    </w:p>
    <w:p w14:paraId="0370393E" w14:textId="4D8F722F" w:rsidR="003E7C9E" w:rsidRPr="00AA4677" w:rsidRDefault="008A1BBF">
      <w:pPr>
        <w:numPr>
          <w:ilvl w:val="0"/>
          <w:numId w:val="20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Exempt </w:t>
      </w:r>
      <w:r w:rsidR="003E7C9E" w:rsidRPr="00AA4677">
        <w:rPr>
          <w:rFonts w:eastAsia="Times New Roman" w:cs="Times New Roman"/>
          <w:szCs w:val="24"/>
        </w:rPr>
        <w:t xml:space="preserve">Application </w:t>
      </w:r>
    </w:p>
    <w:p w14:paraId="0350B0E8" w14:textId="67313F5E" w:rsidR="003E7C9E" w:rsidRPr="00AA4677" w:rsidRDefault="003E7C9E">
      <w:pPr>
        <w:numPr>
          <w:ilvl w:val="0"/>
          <w:numId w:val="20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Study Protocol </w:t>
      </w:r>
    </w:p>
    <w:p w14:paraId="499F5C4B" w14:textId="77777777" w:rsidR="003E7C9E" w:rsidRPr="00AA4677" w:rsidRDefault="003E7C9E">
      <w:pPr>
        <w:numPr>
          <w:ilvl w:val="0"/>
          <w:numId w:val="20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Informed consent documents, as applicable </w:t>
      </w:r>
    </w:p>
    <w:p w14:paraId="01A482F1" w14:textId="77777777" w:rsidR="003E7C9E" w:rsidRPr="00AA4677" w:rsidRDefault="003E7C9E">
      <w:pPr>
        <w:numPr>
          <w:ilvl w:val="0"/>
          <w:numId w:val="20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HIPAA relevant forms (see Section 16)</w:t>
      </w:r>
    </w:p>
    <w:p w14:paraId="1F400BEE" w14:textId="68FBD3D8" w:rsidR="003E7C9E" w:rsidRPr="00AA4677" w:rsidRDefault="003E7C9E">
      <w:pPr>
        <w:numPr>
          <w:ilvl w:val="0"/>
          <w:numId w:val="20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Recruitment materials/subject information</w:t>
      </w:r>
    </w:p>
    <w:p w14:paraId="77165BA9" w14:textId="77777777" w:rsidR="003E7C9E" w:rsidRPr="00AA4677" w:rsidRDefault="003E7C9E">
      <w:pPr>
        <w:numPr>
          <w:ilvl w:val="0"/>
          <w:numId w:val="20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Data collection instruments (including all surveys and questionnaires)</w:t>
      </w:r>
    </w:p>
    <w:p w14:paraId="4A225016" w14:textId="0EF80113" w:rsidR="000347A9" w:rsidRPr="00AA4677" w:rsidRDefault="000347A9">
      <w:pPr>
        <w:numPr>
          <w:ilvl w:val="0"/>
          <w:numId w:val="20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Supplemental forms as applicable (e.g., international research, minors etc.)</w:t>
      </w:r>
    </w:p>
    <w:p w14:paraId="7BD4946C" w14:textId="254EFB4E" w:rsidR="000347A9" w:rsidRPr="00AA4677" w:rsidRDefault="000347A9">
      <w:pPr>
        <w:numPr>
          <w:ilvl w:val="0"/>
          <w:numId w:val="20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University Hospital Approval form (if applicable)</w:t>
      </w:r>
    </w:p>
    <w:p w14:paraId="2FC76290" w14:textId="04F17EFB"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application package must be e</w:t>
      </w:r>
      <w:r w:rsidR="00C60DBC" w:rsidRPr="00AA4677">
        <w:rPr>
          <w:rFonts w:eastAsia="Times New Roman" w:cs="Times New Roman"/>
          <w:szCs w:val="24"/>
        </w:rPr>
        <w:t xml:space="preserve">lectronically </w:t>
      </w:r>
      <w:r w:rsidRPr="00AA4677">
        <w:rPr>
          <w:rFonts w:eastAsia="Times New Roman" w:cs="Times New Roman"/>
          <w:szCs w:val="24"/>
        </w:rPr>
        <w:t xml:space="preserve">signed and dated by the </w:t>
      </w:r>
      <w:proofErr w:type="gramStart"/>
      <w:r w:rsidR="005B39C8" w:rsidRPr="00AA4677">
        <w:rPr>
          <w:rFonts w:eastAsia="Times New Roman" w:cs="Times New Roman"/>
          <w:szCs w:val="24"/>
        </w:rPr>
        <w:t>r</w:t>
      </w:r>
      <w:r w:rsidRPr="00AA4677">
        <w:rPr>
          <w:rFonts w:eastAsia="Times New Roman" w:cs="Times New Roman"/>
          <w:szCs w:val="24"/>
        </w:rPr>
        <w:t xml:space="preserve">esponsible </w:t>
      </w:r>
      <w:r w:rsidR="005B39C8" w:rsidRPr="00AA4677">
        <w:rPr>
          <w:rFonts w:eastAsia="Times New Roman" w:cs="Times New Roman"/>
          <w:szCs w:val="24"/>
        </w:rPr>
        <w:t>principal</w:t>
      </w:r>
      <w:proofErr w:type="gramEnd"/>
      <w:r w:rsidR="005B39C8" w:rsidRPr="00AA4677">
        <w:rPr>
          <w:rFonts w:eastAsia="Times New Roman" w:cs="Times New Roman"/>
          <w:szCs w:val="24"/>
        </w:rPr>
        <w:t xml:space="preserve"> i</w:t>
      </w:r>
      <w:r w:rsidRPr="00AA4677">
        <w:rPr>
          <w:rFonts w:eastAsia="Times New Roman" w:cs="Times New Roman"/>
          <w:szCs w:val="24"/>
        </w:rPr>
        <w:t xml:space="preserve">nvestigator and the departmental/departmental review committee chair </w:t>
      </w:r>
      <w:proofErr w:type="gramStart"/>
      <w:r w:rsidRPr="00AA4677">
        <w:rPr>
          <w:rFonts w:eastAsia="Times New Roman" w:cs="Times New Roman"/>
          <w:szCs w:val="24"/>
        </w:rPr>
        <w:t>in order</w:t>
      </w:r>
      <w:r w:rsidR="002606F0" w:rsidRPr="00AA4677">
        <w:rPr>
          <w:rFonts w:eastAsia="Times New Roman" w:cs="Times New Roman"/>
          <w:szCs w:val="24"/>
        </w:rPr>
        <w:t xml:space="preserve"> for</w:t>
      </w:r>
      <w:proofErr w:type="gramEnd"/>
      <w:r w:rsidR="002606F0" w:rsidRPr="00AA4677">
        <w:rPr>
          <w:rFonts w:eastAsia="Times New Roman" w:cs="Times New Roman"/>
          <w:szCs w:val="24"/>
        </w:rPr>
        <w:t xml:space="preserve"> the application</w:t>
      </w:r>
      <w:r w:rsidRPr="00AA4677">
        <w:rPr>
          <w:rFonts w:eastAsia="Times New Roman" w:cs="Times New Roman"/>
          <w:szCs w:val="24"/>
        </w:rPr>
        <w:t xml:space="preserve"> to be reviewed</w:t>
      </w:r>
      <w:r w:rsidR="001B1D7E" w:rsidRPr="00AA4677">
        <w:rPr>
          <w:rFonts w:eastAsia="Times New Roman" w:cs="Times New Roman"/>
          <w:szCs w:val="24"/>
        </w:rPr>
        <w:t xml:space="preserve">.  </w:t>
      </w:r>
      <w:r w:rsidRPr="00AA4677">
        <w:rPr>
          <w:rFonts w:eastAsia="Times New Roman" w:cs="Times New Roman"/>
          <w:szCs w:val="24"/>
        </w:rPr>
        <w:t xml:space="preserve">If the activity will </w:t>
      </w:r>
      <w:proofErr w:type="gramStart"/>
      <w:r w:rsidRPr="00AA4677">
        <w:rPr>
          <w:rFonts w:eastAsia="Times New Roman" w:cs="Times New Roman"/>
          <w:szCs w:val="24"/>
        </w:rPr>
        <w:t>impact</w:t>
      </w:r>
      <w:proofErr w:type="gramEnd"/>
      <w:r w:rsidRPr="00AA4677">
        <w:rPr>
          <w:rFonts w:eastAsia="Times New Roman" w:cs="Times New Roman"/>
          <w:szCs w:val="24"/>
        </w:rPr>
        <w:t xml:space="preserve"> another department (e.g., use of their </w:t>
      </w:r>
      <w:r w:rsidR="005C2A03" w:rsidRPr="00AA4677">
        <w:rPr>
          <w:rFonts w:eastAsia="Times New Roman" w:cs="Times New Roman"/>
          <w:szCs w:val="24"/>
        </w:rPr>
        <w:t xml:space="preserve">resources, i.e., </w:t>
      </w:r>
      <w:r w:rsidRPr="00AA4677">
        <w:rPr>
          <w:rFonts w:eastAsia="Times New Roman" w:cs="Times New Roman"/>
          <w:szCs w:val="24"/>
        </w:rPr>
        <w:t>facilities, patient populations, faculty, and/or staff, etc.), e</w:t>
      </w:r>
      <w:r w:rsidR="00C60DBC" w:rsidRPr="00AA4677">
        <w:rPr>
          <w:rFonts w:eastAsia="Times New Roman" w:cs="Times New Roman"/>
          <w:szCs w:val="24"/>
        </w:rPr>
        <w:t xml:space="preserve">lectronic </w:t>
      </w:r>
      <w:r w:rsidRPr="00AA4677">
        <w:rPr>
          <w:rFonts w:eastAsia="Times New Roman" w:cs="Times New Roman"/>
          <w:szCs w:val="24"/>
        </w:rPr>
        <w:t xml:space="preserve">signature of that </w:t>
      </w:r>
      <w:r w:rsidR="00E22BFC" w:rsidRPr="00AA4677">
        <w:rPr>
          <w:rFonts w:eastAsia="Times New Roman" w:cs="Times New Roman"/>
          <w:szCs w:val="24"/>
        </w:rPr>
        <w:t>d</w:t>
      </w:r>
      <w:r w:rsidRPr="00AA4677">
        <w:rPr>
          <w:rFonts w:eastAsia="Times New Roman" w:cs="Times New Roman"/>
          <w:szCs w:val="24"/>
        </w:rPr>
        <w:t>epartment’s chair is required as well. </w:t>
      </w:r>
      <w:r w:rsidR="009D0F1C" w:rsidRPr="00AA4677">
        <w:rPr>
          <w:rFonts w:eastAsia="Times New Roman" w:cs="Times New Roman"/>
          <w:szCs w:val="24"/>
        </w:rPr>
        <w:t xml:space="preserve">Grant applications will </w:t>
      </w:r>
      <w:r w:rsidR="009D0F1C" w:rsidRPr="00AA4677">
        <w:rPr>
          <w:rFonts w:eastAsia="Times New Roman" w:cs="Times New Roman"/>
          <w:b/>
          <w:bCs/>
          <w:szCs w:val="24"/>
        </w:rPr>
        <w:t xml:space="preserve">not </w:t>
      </w:r>
      <w:r w:rsidR="009D0F1C" w:rsidRPr="00AA4677">
        <w:rPr>
          <w:rFonts w:eastAsia="Times New Roman" w:cs="Times New Roman"/>
          <w:szCs w:val="24"/>
        </w:rPr>
        <w:t>be reviewed by the Office of Research Compliance.</w:t>
      </w:r>
    </w:p>
    <w:p w14:paraId="0F1CE96F" w14:textId="324E6C4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primary reviewer for the submission will be one or more </w:t>
      </w:r>
      <w:r w:rsidR="00C60DBC" w:rsidRPr="00AA4677">
        <w:rPr>
          <w:rFonts w:eastAsia="Times New Roman" w:cs="Times New Roman"/>
          <w:szCs w:val="24"/>
        </w:rPr>
        <w:t xml:space="preserve">IRB </w:t>
      </w:r>
      <w:r w:rsidR="00A56B91" w:rsidRPr="00AA4677">
        <w:rPr>
          <w:rFonts w:eastAsia="Times New Roman" w:cs="Times New Roman"/>
          <w:szCs w:val="24"/>
        </w:rPr>
        <w:t>A</w:t>
      </w:r>
      <w:r w:rsidRPr="00AA4677">
        <w:rPr>
          <w:rFonts w:eastAsia="Times New Roman" w:cs="Times New Roman"/>
          <w:szCs w:val="24"/>
        </w:rPr>
        <w:t>dministrators/</w:t>
      </w:r>
      <w:r w:rsidR="00A56B91" w:rsidRPr="00AA4677">
        <w:rPr>
          <w:rFonts w:eastAsia="Times New Roman" w:cs="Times New Roman"/>
          <w:szCs w:val="24"/>
        </w:rPr>
        <w:t>A</w:t>
      </w:r>
      <w:r w:rsidRPr="00AA4677">
        <w:rPr>
          <w:rFonts w:eastAsia="Times New Roman" w:cs="Times New Roman"/>
          <w:szCs w:val="24"/>
        </w:rPr>
        <w:t xml:space="preserve">ssistants within the ORC. Investigators will receive feedback via </w:t>
      </w:r>
      <w:r w:rsidR="001B1D7E" w:rsidRPr="00AA4677">
        <w:rPr>
          <w:rFonts w:eastAsia="Times New Roman" w:cs="Times New Roman"/>
          <w:szCs w:val="24"/>
        </w:rPr>
        <w:t xml:space="preserve">the </w:t>
      </w:r>
      <w:r w:rsidR="00DC5138" w:rsidRPr="00AA4677">
        <w:rPr>
          <w:rFonts w:eastAsia="Times New Roman" w:cs="Times New Roman"/>
          <w:szCs w:val="24"/>
        </w:rPr>
        <w:t>electronic management system</w:t>
      </w:r>
      <w:r w:rsidR="001B1D7E" w:rsidRPr="00AA4677">
        <w:rPr>
          <w:rFonts w:eastAsia="Times New Roman" w:cs="Times New Roman"/>
          <w:szCs w:val="24"/>
        </w:rPr>
        <w:t xml:space="preserve"> </w:t>
      </w:r>
      <w:r w:rsidRPr="00AA4677">
        <w:rPr>
          <w:rFonts w:eastAsia="Times New Roman" w:cs="Times New Roman"/>
          <w:szCs w:val="24"/>
        </w:rPr>
        <w:t>regarding the results of</w:t>
      </w:r>
      <w:r w:rsidR="00F36795" w:rsidRPr="00AA4677">
        <w:rPr>
          <w:rFonts w:eastAsia="Times New Roman" w:cs="Times New Roman"/>
          <w:szCs w:val="24"/>
        </w:rPr>
        <w:t xml:space="preserve"> the</w:t>
      </w:r>
      <w:r w:rsidRPr="00AA4677">
        <w:rPr>
          <w:rFonts w:eastAsia="Times New Roman" w:cs="Times New Roman"/>
          <w:szCs w:val="24"/>
        </w:rPr>
        <w:t xml:space="preserve"> review. Possible determinations include Approved (for exemption status), Modifications required (in order to secure exemption status), or Not Approved (letter from</w:t>
      </w:r>
      <w:r w:rsidR="002606F0" w:rsidRPr="00AA4677">
        <w:rPr>
          <w:rFonts w:eastAsia="Times New Roman" w:cs="Times New Roman"/>
          <w:szCs w:val="24"/>
        </w:rPr>
        <w:t xml:space="preserve"> the</w:t>
      </w:r>
      <w:r w:rsidRPr="00AA4677">
        <w:rPr>
          <w:rFonts w:eastAsia="Times New Roman" w:cs="Times New Roman"/>
          <w:szCs w:val="24"/>
        </w:rPr>
        <w:t xml:space="preserve"> ORC would either clarify that the study i</w:t>
      </w:r>
      <w:r w:rsidR="00E22BFC" w:rsidRPr="00AA4677">
        <w:rPr>
          <w:rFonts w:eastAsia="Times New Roman" w:cs="Times New Roman"/>
          <w:szCs w:val="24"/>
        </w:rPr>
        <w:t>s not acceptable to conduct at the University</w:t>
      </w:r>
      <w:r w:rsidRPr="00AA4677">
        <w:rPr>
          <w:rFonts w:eastAsia="Times New Roman" w:cs="Times New Roman"/>
          <w:szCs w:val="24"/>
        </w:rPr>
        <w:t>, or the stud</w:t>
      </w:r>
      <w:r w:rsidR="002606F0" w:rsidRPr="00AA4677">
        <w:rPr>
          <w:rFonts w:eastAsia="Times New Roman" w:cs="Times New Roman"/>
          <w:szCs w:val="24"/>
        </w:rPr>
        <w:t>y does not qualify for exempt</w:t>
      </w:r>
      <w:r w:rsidRPr="00AA4677">
        <w:rPr>
          <w:rFonts w:eastAsia="Times New Roman" w:cs="Times New Roman"/>
          <w:szCs w:val="24"/>
        </w:rPr>
        <w:t xml:space="preserve"> status, i.e., activity requires either expedited or full committee review).</w:t>
      </w:r>
    </w:p>
    <w:p w14:paraId="63ED63D3" w14:textId="38B9E78A" w:rsidR="00B35B82" w:rsidRPr="00AA4677" w:rsidRDefault="00B35B82" w:rsidP="00B35B82">
      <w:pPr>
        <w:jc w:val="both"/>
        <w:rPr>
          <w:rFonts w:cstheme="minorHAnsi"/>
        </w:rPr>
      </w:pPr>
      <w:r w:rsidRPr="00AA4677">
        <w:rPr>
          <w:rFonts w:cstheme="minorHAnsi"/>
          <w:b/>
        </w:rPr>
        <w:t xml:space="preserve">When the research requires limited IRB review or a HIPAA determination (i.e., waivers or alterations of the requirement for HIPAA authorization), the review may be conducted using expedited review procedures by the IRB Chair or an experienced Chair-designated member of the </w:t>
      </w:r>
      <w:proofErr w:type="gramStart"/>
      <w:r w:rsidRPr="00AA4677">
        <w:rPr>
          <w:rFonts w:cstheme="minorHAnsi"/>
          <w:b/>
        </w:rPr>
        <w:t>IRB</w:t>
      </w:r>
      <w:proofErr w:type="gramEnd"/>
      <w:r w:rsidR="00923041" w:rsidRPr="00AA4677">
        <w:rPr>
          <w:rFonts w:cstheme="minorHAnsi"/>
          <w:b/>
        </w:rPr>
        <w:t xml:space="preserve"> but limited review </w:t>
      </w:r>
      <w:r w:rsidR="00717203" w:rsidRPr="00AA4677">
        <w:rPr>
          <w:rFonts w:cstheme="minorHAnsi"/>
          <w:b/>
        </w:rPr>
        <w:t>research</w:t>
      </w:r>
      <w:r w:rsidR="00923041" w:rsidRPr="00AA4677">
        <w:rPr>
          <w:rFonts w:cstheme="minorHAnsi"/>
          <w:b/>
        </w:rPr>
        <w:t xml:space="preserve"> must be no more than minimal risk</w:t>
      </w:r>
      <w:r w:rsidRPr="00AA4677">
        <w:rPr>
          <w:rFonts w:cstheme="minorHAnsi"/>
          <w:b/>
        </w:rPr>
        <w:t>.</w:t>
      </w:r>
      <w:r w:rsidRPr="00AA4677">
        <w:rPr>
          <w:rFonts w:cstheme="minorHAnsi"/>
        </w:rPr>
        <w:t xml:space="preserve"> As with all other research </w:t>
      </w:r>
      <w:proofErr w:type="gramStart"/>
      <w:r w:rsidRPr="00AA4677">
        <w:rPr>
          <w:rFonts w:cstheme="minorHAnsi"/>
        </w:rPr>
        <w:t>subject</w:t>
      </w:r>
      <w:proofErr w:type="gramEnd"/>
      <w:r w:rsidRPr="00AA4677">
        <w:rPr>
          <w:rFonts w:cstheme="minorHAnsi"/>
        </w:rPr>
        <w:t xml:space="preserve"> to IRB review requirements, when conducting limited IRB review the IRB has the authority to approve, require modifications in (to secure approval), or disapprove all research activities; and to suspend or terminate IRB approval.  Actions of disapproval may only be made by the convened IRB.  [45 CFR 46.109(a), 45 CFR 46.110]</w:t>
      </w:r>
    </w:p>
    <w:p w14:paraId="251B7CE8" w14:textId="50B65632" w:rsidR="00B35B82" w:rsidRPr="00AA4677" w:rsidRDefault="00B35B82" w:rsidP="00B35B82">
      <w:pPr>
        <w:jc w:val="both"/>
        <w:rPr>
          <w:rFonts w:cstheme="minorHAnsi"/>
        </w:rPr>
      </w:pPr>
      <w:r w:rsidRPr="00AA4677">
        <w:rPr>
          <w:rFonts w:cstheme="minorHAnsi"/>
          <w:noProof/>
        </w:rPr>
        <w:t xml:space="preserve">Proposed modifications to the aspects of research subject to limited IRB review must be submitted to and approved by the IRB prior to implementation, except when necessary to eliminate apparent immediate hazards to the subject(s), in which case the change must be promptly reported to the IRB (i.e., within </w:t>
      </w:r>
      <w:r w:rsidR="008A75A2" w:rsidRPr="00AA4677">
        <w:rPr>
          <w:rFonts w:cstheme="minorHAnsi"/>
          <w:noProof/>
        </w:rPr>
        <w:t>10</w:t>
      </w:r>
      <w:r w:rsidRPr="00AA4677">
        <w:rPr>
          <w:rFonts w:cstheme="minorHAnsi"/>
          <w:noProof/>
        </w:rPr>
        <w:t xml:space="preserve"> business days).</w:t>
      </w:r>
      <w:r w:rsidRPr="00AA4677">
        <w:rPr>
          <w:rFonts w:cstheme="minorHAnsi"/>
        </w:rPr>
        <w:t xml:space="preserve"> [45 CFR 46.108(a)(3)(iii)]</w:t>
      </w:r>
    </w:p>
    <w:p w14:paraId="573B5D31" w14:textId="534BF815" w:rsidR="00B35B82" w:rsidRPr="00AA4677" w:rsidRDefault="00B35B82" w:rsidP="00B35B82">
      <w:pPr>
        <w:jc w:val="both"/>
        <w:rPr>
          <w:rFonts w:cstheme="minorHAnsi"/>
        </w:rPr>
      </w:pPr>
      <w:r w:rsidRPr="00AA4677">
        <w:rPr>
          <w:rFonts w:cstheme="minorHAnsi"/>
        </w:rPr>
        <w:lastRenderedPageBreak/>
        <w:t xml:space="preserve">Continuing review is </w:t>
      </w:r>
      <w:r w:rsidRPr="00AA4677">
        <w:rPr>
          <w:rFonts w:cstheme="minorHAnsi"/>
          <w:noProof/>
        </w:rPr>
        <w:t>generally</w:t>
      </w:r>
      <w:r w:rsidRPr="00AA4677">
        <w:rPr>
          <w:rFonts w:cstheme="minorHAnsi"/>
        </w:rPr>
        <w:t xml:space="preserve"> not required for research determined to be exempt, even when that research is subject to limited IRB review.  However, the IRB may determine that continuing review </w:t>
      </w:r>
      <w:r w:rsidRPr="00AA4677">
        <w:rPr>
          <w:rFonts w:cstheme="minorHAnsi"/>
          <w:noProof/>
        </w:rPr>
        <w:t>is required</w:t>
      </w:r>
      <w:r w:rsidRPr="00AA4677">
        <w:rPr>
          <w:rFonts w:cstheme="minorHAnsi"/>
        </w:rPr>
        <w:t xml:space="preserve"> for a particular study subject to limited IR</w:t>
      </w:r>
      <w:r w:rsidR="002606F0" w:rsidRPr="00AA4677">
        <w:rPr>
          <w:rFonts w:cstheme="minorHAnsi"/>
        </w:rPr>
        <w:t>B review, in which case the reviewer will</w:t>
      </w:r>
      <w:r w:rsidRPr="00AA4677">
        <w:rPr>
          <w:rFonts w:cstheme="minorHAnsi"/>
        </w:rPr>
        <w:t xml:space="preserve"> document the reasons for its determination in the IRB record and communicate the requirement to the investigator in the IRB determination letter. [45 CFR 46.109(f)(ii), 45 CFR 46.115(a)(3)]</w:t>
      </w:r>
    </w:p>
    <w:p w14:paraId="633406DD" w14:textId="3DBA0632" w:rsidR="003E7C9E" w:rsidRPr="00AA4677" w:rsidRDefault="003E7C9E" w:rsidP="00696B35">
      <w:pPr>
        <w:pStyle w:val="Heading2"/>
      </w:pPr>
      <w:bookmarkStart w:id="61" w:name="_Toc192678174"/>
      <w:r w:rsidRPr="00AA4677">
        <w:t>3.6 Expedited Review</w:t>
      </w:r>
      <w:bookmarkEnd w:id="61"/>
    </w:p>
    <w:p w14:paraId="1409693B" w14:textId="0A9CD372" w:rsidR="003E7C9E" w:rsidRPr="00AA4677" w:rsidRDefault="00C60DBC"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may use the expedited review procedure to </w:t>
      </w:r>
      <w:proofErr w:type="gramStart"/>
      <w:r w:rsidR="003E7C9E" w:rsidRPr="00AA4677">
        <w:rPr>
          <w:rFonts w:eastAsia="Times New Roman" w:cs="Times New Roman"/>
          <w:szCs w:val="24"/>
        </w:rPr>
        <w:t>review either</w:t>
      </w:r>
      <w:proofErr w:type="gramEnd"/>
      <w:r w:rsidR="003E7C9E" w:rsidRPr="00AA4677">
        <w:rPr>
          <w:rFonts w:eastAsia="Times New Roman" w:cs="Times New Roman"/>
          <w:szCs w:val="24"/>
        </w:rPr>
        <w:t xml:space="preserve"> the following:</w:t>
      </w:r>
    </w:p>
    <w:p w14:paraId="6B5E5CF5" w14:textId="13D43D45" w:rsidR="00812B9B" w:rsidRPr="00AA4677" w:rsidRDefault="00E22BFC">
      <w:pPr>
        <w:pStyle w:val="ListParagraph"/>
        <w:numPr>
          <w:ilvl w:val="0"/>
          <w:numId w:val="8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w:t>
      </w:r>
      <w:r w:rsidR="003E7C9E" w:rsidRPr="00AA4677">
        <w:rPr>
          <w:rFonts w:eastAsia="Times New Roman" w:cs="Times New Roman"/>
          <w:szCs w:val="24"/>
        </w:rPr>
        <w:t xml:space="preserve">ome or </w:t>
      </w:r>
      <w:proofErr w:type="gramStart"/>
      <w:r w:rsidR="003E7C9E" w:rsidRPr="00AA4677">
        <w:rPr>
          <w:rFonts w:eastAsia="Times New Roman" w:cs="Times New Roman"/>
          <w:szCs w:val="24"/>
        </w:rPr>
        <w:t>all of</w:t>
      </w:r>
      <w:proofErr w:type="gramEnd"/>
      <w:r w:rsidR="003E7C9E" w:rsidRPr="00AA4677">
        <w:rPr>
          <w:rFonts w:eastAsia="Times New Roman" w:cs="Times New Roman"/>
          <w:szCs w:val="24"/>
        </w:rPr>
        <w:t xml:space="preserve"> the research </w:t>
      </w:r>
      <w:proofErr w:type="gramStart"/>
      <w:r w:rsidR="003E7C9E" w:rsidRPr="00AA4677">
        <w:rPr>
          <w:rFonts w:eastAsia="Times New Roman" w:cs="Times New Roman"/>
          <w:szCs w:val="24"/>
        </w:rPr>
        <w:t>appearing</w:t>
      </w:r>
      <w:proofErr w:type="gramEnd"/>
      <w:r w:rsidR="003E7C9E" w:rsidRPr="00AA4677">
        <w:rPr>
          <w:rFonts w:eastAsia="Times New Roman" w:cs="Times New Roman"/>
          <w:szCs w:val="24"/>
        </w:rPr>
        <w:t xml:space="preserve"> on the list of categories of research eligible for expedited review</w:t>
      </w:r>
      <w:r w:rsidR="0055310F" w:rsidRPr="00AA4677">
        <w:rPr>
          <w:rFonts w:eastAsia="Times New Roman" w:cs="Times New Roman"/>
          <w:szCs w:val="24"/>
        </w:rPr>
        <w:t xml:space="preserve">, </w:t>
      </w:r>
      <w:r w:rsidR="0055310F" w:rsidRPr="00AA4677">
        <w:rPr>
          <w:rFonts w:eastAsia="Times New Roman" w:cs="Times New Roman"/>
          <w:b/>
          <w:szCs w:val="24"/>
        </w:rPr>
        <w:t>unless</w:t>
      </w:r>
      <w:r w:rsidR="0055310F" w:rsidRPr="00AA4677">
        <w:rPr>
          <w:rFonts w:eastAsia="Times New Roman" w:cs="Times New Roman"/>
          <w:szCs w:val="24"/>
        </w:rPr>
        <w:t xml:space="preserve"> the reviewer determines that the research involves more than minimal risk. </w:t>
      </w:r>
      <w:r w:rsidR="006A69D1" w:rsidRPr="00AA4677">
        <w:rPr>
          <w:rFonts w:eastAsia="Times New Roman" w:cs="Times New Roman"/>
          <w:szCs w:val="24"/>
        </w:rPr>
        <w:t>(</w:t>
      </w:r>
      <w:r w:rsidR="0055310F" w:rsidRPr="00AA4677">
        <w:rPr>
          <w:rFonts w:eastAsia="Times New Roman" w:cs="Times New Roman"/>
          <w:szCs w:val="24"/>
        </w:rPr>
        <w:t>For research subject to FDA, the reviewer must also determine that the research involves no more than minimal risk</w:t>
      </w:r>
      <w:r w:rsidRPr="00AA4677">
        <w:rPr>
          <w:rFonts w:eastAsia="Times New Roman" w:cs="Times New Roman"/>
          <w:szCs w:val="24"/>
        </w:rPr>
        <w:t>.</w:t>
      </w:r>
      <w:r w:rsidR="006A69D1" w:rsidRPr="00AA4677">
        <w:rPr>
          <w:rFonts w:eastAsia="Times New Roman" w:cs="Times New Roman"/>
          <w:szCs w:val="24"/>
        </w:rPr>
        <w:t>)</w:t>
      </w:r>
    </w:p>
    <w:p w14:paraId="2AF3FD79" w14:textId="67F3688B" w:rsidR="003E7C9E" w:rsidRPr="00AA4677" w:rsidRDefault="00E22BFC">
      <w:pPr>
        <w:pStyle w:val="ListParagraph"/>
        <w:numPr>
          <w:ilvl w:val="0"/>
          <w:numId w:val="8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M</w:t>
      </w:r>
      <w:r w:rsidR="003E7C9E" w:rsidRPr="00AA4677">
        <w:rPr>
          <w:rFonts w:eastAsia="Times New Roman" w:cs="Times New Roman"/>
          <w:szCs w:val="24"/>
        </w:rPr>
        <w:t>inor changes (</w:t>
      </w:r>
      <w:r w:rsidR="00B91380" w:rsidRPr="00AA4677">
        <w:rPr>
          <w:rFonts w:eastAsia="Times New Roman" w:cs="Times New Roman"/>
          <w:szCs w:val="24"/>
        </w:rPr>
        <w:t>as defined in s</w:t>
      </w:r>
      <w:r w:rsidR="003E7C9E" w:rsidRPr="00AA4677">
        <w:rPr>
          <w:rFonts w:eastAsia="Times New Roman" w:cs="Times New Roman"/>
          <w:szCs w:val="24"/>
        </w:rPr>
        <w:t>ection 3.2)</w:t>
      </w:r>
      <w:r w:rsidR="0055310F" w:rsidRPr="00AA4677">
        <w:rPr>
          <w:rFonts w:eastAsia="Times New Roman" w:cs="Times New Roman"/>
          <w:szCs w:val="24"/>
        </w:rPr>
        <w:t xml:space="preserve"> in research previously approved by the convened IRB. Note: review of minor changes does not alter the end-date of study approval. </w:t>
      </w:r>
    </w:p>
    <w:p w14:paraId="5FE019F3" w14:textId="07CD999D" w:rsidR="00055CCD" w:rsidRPr="00AA4677" w:rsidRDefault="0055310F">
      <w:pPr>
        <w:pStyle w:val="ListParagraph"/>
        <w:numPr>
          <w:ilvl w:val="0"/>
          <w:numId w:val="88"/>
        </w:numPr>
        <w:shd w:val="clear" w:color="auto" w:fill="FFFFFF"/>
        <w:spacing w:before="100" w:beforeAutospacing="1" w:after="100" w:afterAutospacing="1" w:line="240" w:lineRule="auto"/>
        <w:rPr>
          <w:rFonts w:eastAsia="Times New Roman" w:cs="Times New Roman"/>
          <w:szCs w:val="24"/>
        </w:rPr>
      </w:pPr>
      <w:r w:rsidRPr="00AA4677">
        <w:t>Research for which limited IRB review is a condition of exemption under 45 CFR 46</w:t>
      </w:r>
      <w:r w:rsidR="00B72AC3" w:rsidRPr="00AA4677">
        <w:t>.104(d)(2)(iii), (d)(3)(</w:t>
      </w:r>
      <w:proofErr w:type="spellStart"/>
      <w:r w:rsidR="00B72AC3" w:rsidRPr="00AA4677">
        <w:t>i</w:t>
      </w:r>
      <w:proofErr w:type="spellEnd"/>
      <w:r w:rsidR="00B72AC3" w:rsidRPr="00AA4677">
        <w:t>)(c</w:t>
      </w:r>
      <w:r w:rsidRPr="00AA4677">
        <w:t>)</w:t>
      </w:r>
      <w:r w:rsidR="00B72AC3" w:rsidRPr="00AA4677">
        <w:t xml:space="preserve"> </w:t>
      </w:r>
      <w:r w:rsidRPr="00AA4677">
        <w:t>as well as (d).</w:t>
      </w:r>
    </w:p>
    <w:p w14:paraId="6D4FC4B9" w14:textId="7BA157BB" w:rsidR="003E7C9E" w:rsidRPr="00AA4677" w:rsidRDefault="003E7C9E" w:rsidP="00C57C98">
      <w:pPr>
        <w:pStyle w:val="Heading3"/>
      </w:pPr>
      <w:r w:rsidRPr="00AA4677">
        <w:t>3.6.1</w:t>
      </w:r>
      <w:r w:rsidR="00EA7ABF" w:rsidRPr="00AA4677">
        <w:t xml:space="preserve"> </w:t>
      </w:r>
      <w:r w:rsidRPr="00AA4677">
        <w:t>Categories of Research Eligible for Expedited Review</w:t>
      </w:r>
    </w:p>
    <w:p w14:paraId="1BCE5034" w14:textId="77777777" w:rsidR="00F67931" w:rsidRPr="00AA4677" w:rsidRDefault="00F67931">
      <w:pPr>
        <w:pStyle w:val="ListParagraph"/>
        <w:numPr>
          <w:ilvl w:val="0"/>
          <w:numId w:val="87"/>
        </w:numPr>
        <w:shd w:val="clear" w:color="auto" w:fill="FFFFFF"/>
        <w:spacing w:before="100" w:beforeAutospacing="1" w:after="100" w:afterAutospacing="1" w:line="240" w:lineRule="auto"/>
        <w:rPr>
          <w:rFonts w:eastAsia="Times New Roman" w:cs="Times New Roman"/>
          <w:b/>
          <w:szCs w:val="24"/>
        </w:rPr>
      </w:pPr>
      <w:r w:rsidRPr="00AA4677">
        <w:rPr>
          <w:rFonts w:eastAsia="Times New Roman" w:cs="Times New Roman"/>
          <w:szCs w:val="24"/>
        </w:rPr>
        <w:t xml:space="preserve">For activities subject to the Common Rule, if an activity is covered by one or more of the categories below, it is presumed to be minimal risk, </w:t>
      </w:r>
      <w:r w:rsidRPr="00AA4677">
        <w:rPr>
          <w:rFonts w:eastAsia="Times New Roman" w:cs="Times New Roman"/>
          <w:b/>
          <w:szCs w:val="24"/>
        </w:rPr>
        <w:t xml:space="preserve">unless the reviewer determines and documents that the study involves more than minimal risk. </w:t>
      </w:r>
    </w:p>
    <w:p w14:paraId="77F4C3FD" w14:textId="60698E2E" w:rsidR="003E7C9E" w:rsidRPr="00AA4677" w:rsidRDefault="0055310F">
      <w:pPr>
        <w:pStyle w:val="ListParagraph"/>
        <w:numPr>
          <w:ilvl w:val="0"/>
          <w:numId w:val="8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activities </w:t>
      </w:r>
      <w:r w:rsidR="00F67931" w:rsidRPr="00AA4677">
        <w:rPr>
          <w:rFonts w:eastAsia="Times New Roman" w:cs="Times New Roman"/>
          <w:szCs w:val="24"/>
        </w:rPr>
        <w:t>subject to</w:t>
      </w:r>
      <w:r w:rsidRPr="00AA4677">
        <w:rPr>
          <w:rFonts w:eastAsia="Times New Roman" w:cs="Times New Roman"/>
          <w:szCs w:val="24"/>
        </w:rPr>
        <w:t xml:space="preserve"> FDA regulation, t</w:t>
      </w:r>
      <w:r w:rsidR="003E7C9E" w:rsidRPr="00AA4677">
        <w:rPr>
          <w:rFonts w:eastAsia="Times New Roman" w:cs="Times New Roman"/>
          <w:szCs w:val="24"/>
        </w:rPr>
        <w:t>he activities listed below should not be deemed to be of minimal risk simply because they are included on this list. Inclusion on this list merely means that the activity is eligible for review through the expedited review procedure when the specific circumstances of the proposed research involve no more than minimal risk to human subjects.</w:t>
      </w:r>
      <w:r w:rsidR="00F67931" w:rsidRPr="00AA4677">
        <w:rPr>
          <w:rFonts w:eastAsia="Times New Roman" w:cs="Times New Roman"/>
          <w:szCs w:val="24"/>
        </w:rPr>
        <w:t xml:space="preserve"> </w:t>
      </w:r>
      <w:r w:rsidR="00F67931" w:rsidRPr="00AA4677">
        <w:rPr>
          <w:rFonts w:eastAsia="Times New Roman" w:cs="Times New Roman"/>
          <w:b/>
          <w:bCs/>
          <w:szCs w:val="24"/>
        </w:rPr>
        <w:t>The reviewer must specifically determine that the activity is minimal risk.</w:t>
      </w:r>
      <w:r w:rsidR="00F67931" w:rsidRPr="00AA4677">
        <w:rPr>
          <w:rFonts w:eastAsia="Times New Roman" w:cs="Times New Roman"/>
          <w:szCs w:val="24"/>
        </w:rPr>
        <w:t xml:space="preserve"> </w:t>
      </w:r>
    </w:p>
    <w:p w14:paraId="040FBC8C" w14:textId="00AD42B3"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categories in this list apply regardless of the age of subjects, except as noted</w:t>
      </w:r>
      <w:r w:rsidR="00F67931" w:rsidRPr="00AA4677">
        <w:rPr>
          <w:rFonts w:eastAsia="Times New Roman" w:cs="Times New Roman"/>
          <w:szCs w:val="24"/>
        </w:rPr>
        <w:t xml:space="preserve"> in category 2</w:t>
      </w:r>
      <w:r w:rsidR="008A75A2" w:rsidRPr="00AA4677">
        <w:rPr>
          <w:rFonts w:eastAsia="Times New Roman" w:cs="Times New Roman"/>
          <w:szCs w:val="24"/>
        </w:rPr>
        <w:t xml:space="preserve"> below</w:t>
      </w:r>
      <w:r w:rsidRPr="00AA4677">
        <w:rPr>
          <w:rFonts w:eastAsia="Times New Roman" w:cs="Times New Roman"/>
          <w:szCs w:val="24"/>
        </w:rPr>
        <w:t>.</w:t>
      </w:r>
    </w:p>
    <w:p w14:paraId="3017CFD8" w14:textId="4990E89A" w:rsidR="00E22BFC" w:rsidRPr="00AA4677" w:rsidRDefault="003E7C9E" w:rsidP="00F67931">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expedited review procedure </w:t>
      </w:r>
      <w:r w:rsidRPr="00AA4677">
        <w:rPr>
          <w:rFonts w:eastAsia="Times New Roman" w:cs="Times New Roman"/>
          <w:b/>
          <w:szCs w:val="24"/>
        </w:rPr>
        <w:t>may not</w:t>
      </w:r>
      <w:r w:rsidRPr="00AA4677">
        <w:rPr>
          <w:rFonts w:eastAsia="Times New Roman" w:cs="Times New Roman"/>
          <w:szCs w:val="24"/>
        </w:rPr>
        <w:t xml:space="preserve"> be used</w:t>
      </w:r>
      <w:r w:rsidR="00E22BFC" w:rsidRPr="00AA4677">
        <w:rPr>
          <w:rFonts w:eastAsia="Times New Roman" w:cs="Times New Roman"/>
          <w:szCs w:val="24"/>
        </w:rPr>
        <w:t xml:space="preserve">: </w:t>
      </w:r>
    </w:p>
    <w:p w14:paraId="19F626D9" w14:textId="1381D524" w:rsidR="00E22BFC" w:rsidRPr="00AA4677" w:rsidRDefault="00812B9B">
      <w:pPr>
        <w:pStyle w:val="ListParagraph"/>
        <w:numPr>
          <w:ilvl w:val="1"/>
          <w:numId w:val="89"/>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W</w:t>
      </w:r>
      <w:r w:rsidR="003E7C9E" w:rsidRPr="00AA4677">
        <w:rPr>
          <w:rFonts w:eastAsia="Times New Roman" w:cs="Times New Roman"/>
          <w:szCs w:val="24"/>
        </w:rPr>
        <w:t xml:space="preserve">here identification of the subjects and/or their responses would reasonably place them at risk of criminal or civil liability or be damaging to the subjects financial standing, employability, insurability, reputation, or be stigmatizing, unless reasonable and appropriate protections will </w:t>
      </w:r>
      <w:r w:rsidR="003E7C9E" w:rsidRPr="00AA4677">
        <w:rPr>
          <w:rFonts w:eastAsia="Times New Roman" w:cs="Times New Roman"/>
          <w:szCs w:val="24"/>
        </w:rPr>
        <w:lastRenderedPageBreak/>
        <w:t>be implemented so that risks related to invasion of privacy and breach of confidentiality are no greater than minimal.</w:t>
      </w:r>
    </w:p>
    <w:p w14:paraId="7C4C6C52" w14:textId="74FC7BC4" w:rsidR="00F67931" w:rsidRPr="00AA4677" w:rsidRDefault="00812B9B">
      <w:pPr>
        <w:pStyle w:val="ListParagraph"/>
        <w:numPr>
          <w:ilvl w:val="1"/>
          <w:numId w:val="89"/>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F</w:t>
      </w:r>
      <w:r w:rsidR="00E22BFC" w:rsidRPr="00AA4677">
        <w:rPr>
          <w:rFonts w:eastAsia="Times New Roman" w:cs="Times New Roman"/>
          <w:szCs w:val="24"/>
        </w:rPr>
        <w:t>or</w:t>
      </w:r>
      <w:r w:rsidR="003E7C9E" w:rsidRPr="00AA4677">
        <w:rPr>
          <w:rFonts w:eastAsia="Times New Roman" w:cs="Times New Roman"/>
          <w:szCs w:val="24"/>
        </w:rPr>
        <w:t xml:space="preserve"> classified research involving human subjects.</w:t>
      </w:r>
    </w:p>
    <w:p w14:paraId="1524F169" w14:textId="72184181" w:rsidR="00233932" w:rsidRPr="00AA4677" w:rsidRDefault="00233932">
      <w:pPr>
        <w:pStyle w:val="ListParagraph"/>
        <w:numPr>
          <w:ilvl w:val="1"/>
          <w:numId w:val="89"/>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If vulnerable populations are involved in the </w:t>
      </w:r>
      <w:proofErr w:type="gramStart"/>
      <w:r w:rsidRPr="00AA4677">
        <w:rPr>
          <w:rFonts w:eastAsia="Times New Roman" w:cs="Times New Roman"/>
          <w:szCs w:val="24"/>
        </w:rPr>
        <w:t>study</w:t>
      </w:r>
      <w:proofErr w:type="gramEnd"/>
      <w:r w:rsidRPr="00AA4677">
        <w:rPr>
          <w:rFonts w:eastAsia="Times New Roman" w:cs="Times New Roman"/>
          <w:szCs w:val="24"/>
        </w:rPr>
        <w:t xml:space="preserve"> there are additional safeguards in place to protect the rights and welfare of these participants.</w:t>
      </w:r>
    </w:p>
    <w:p w14:paraId="2448F146" w14:textId="0AEB9809" w:rsidR="003E7C9E" w:rsidRPr="00AA4677" w:rsidRDefault="003E7C9E" w:rsidP="003E7C9E">
      <w:pPr>
        <w:shd w:val="clear" w:color="auto" w:fill="FFFFFF"/>
        <w:spacing w:before="100" w:beforeAutospacing="1" w:after="100" w:afterAutospacing="1" w:line="240" w:lineRule="auto"/>
        <w:rPr>
          <w:rFonts w:eastAsia="Times New Roman" w:cs="Times New Roman"/>
          <w:b/>
          <w:szCs w:val="24"/>
        </w:rPr>
      </w:pPr>
      <w:r w:rsidRPr="00AA4677">
        <w:rPr>
          <w:rFonts w:eastAsia="Times New Roman" w:cs="Times New Roman"/>
          <w:b/>
          <w:szCs w:val="24"/>
        </w:rPr>
        <w:t xml:space="preserve">Research Categories one (1) through seven (7) pertain </w:t>
      </w:r>
      <w:r w:rsidR="005B5ABE" w:rsidRPr="00AA4677">
        <w:rPr>
          <w:rFonts w:eastAsia="Times New Roman" w:cs="Times New Roman"/>
          <w:b/>
          <w:szCs w:val="24"/>
        </w:rPr>
        <w:t xml:space="preserve">to both initial and continuing </w:t>
      </w:r>
      <w:r w:rsidR="00EE7207" w:rsidRPr="00AA4677">
        <w:rPr>
          <w:rFonts w:eastAsia="Times New Roman" w:cs="Times New Roman"/>
          <w:b/>
          <w:szCs w:val="24"/>
        </w:rPr>
        <w:t>IRB</w:t>
      </w:r>
      <w:r w:rsidRPr="00AA4677">
        <w:rPr>
          <w:rFonts w:eastAsia="Times New Roman" w:cs="Times New Roman"/>
          <w:b/>
          <w:szCs w:val="24"/>
        </w:rPr>
        <w:t xml:space="preserve"> review:</w:t>
      </w:r>
    </w:p>
    <w:p w14:paraId="1D5CC64D" w14:textId="0B3449EB" w:rsidR="003E7C9E" w:rsidRPr="00AA4677" w:rsidRDefault="00E22BFC" w:rsidP="003E7C9E">
      <w:pPr>
        <w:shd w:val="clear" w:color="auto" w:fill="FFFFFF"/>
        <w:spacing w:before="100" w:beforeAutospacing="1" w:after="100" w:afterAutospacing="1" w:line="240" w:lineRule="auto"/>
        <w:rPr>
          <w:rFonts w:eastAsia="Times New Roman" w:cs="Times New Roman"/>
          <w:i/>
          <w:szCs w:val="24"/>
        </w:rPr>
      </w:pPr>
      <w:r w:rsidRPr="00AA4677">
        <w:rPr>
          <w:rFonts w:eastAsia="Times New Roman" w:cs="Times New Roman"/>
          <w:i/>
          <w:szCs w:val="24"/>
        </w:rPr>
        <w:t>Note</w:t>
      </w:r>
      <w:r w:rsidR="003E7C9E" w:rsidRPr="00AA4677">
        <w:rPr>
          <w:rFonts w:eastAsia="Times New Roman" w:cs="Times New Roman"/>
          <w:i/>
          <w:szCs w:val="24"/>
        </w:rPr>
        <w:t>: See also Special Topics</w:t>
      </w:r>
      <w:r w:rsidR="005C2A03" w:rsidRPr="00AA4677">
        <w:rPr>
          <w:rFonts w:eastAsia="Times New Roman" w:cs="Times New Roman"/>
          <w:i/>
          <w:szCs w:val="24"/>
        </w:rPr>
        <w:t xml:space="preserve"> Section</w:t>
      </w:r>
      <w:r w:rsidR="003E7C9E" w:rsidRPr="00AA4677">
        <w:rPr>
          <w:rFonts w:eastAsia="Times New Roman" w:cs="Times New Roman"/>
          <w:i/>
          <w:szCs w:val="24"/>
        </w:rPr>
        <w:t xml:space="preserve"> 17.2</w:t>
      </w:r>
      <w:r w:rsidR="003E7C9E" w:rsidRPr="00AA4677">
        <w:rPr>
          <w:rFonts w:eastAsia="Times New Roman" w:cs="Times New Roman"/>
          <w:b/>
          <w:i/>
          <w:szCs w:val="24"/>
        </w:rPr>
        <w:t xml:space="preserve"> (Data/Tissue Registries/Banks)</w:t>
      </w:r>
      <w:r w:rsidR="003E7C9E" w:rsidRPr="00AA4677">
        <w:rPr>
          <w:rFonts w:eastAsia="Times New Roman" w:cs="Times New Roman"/>
          <w:i/>
          <w:szCs w:val="24"/>
        </w:rPr>
        <w:t xml:space="preserve"> and 17.5 (</w:t>
      </w:r>
      <w:r w:rsidR="003E7C9E" w:rsidRPr="00AA4677">
        <w:rPr>
          <w:rFonts w:eastAsia="Times New Roman" w:cs="Times New Roman"/>
          <w:b/>
          <w:i/>
          <w:szCs w:val="24"/>
        </w:rPr>
        <w:t xml:space="preserve">Guidance on Research (only) Involving Coded Private Information or Biological Specimens) </w:t>
      </w:r>
      <w:r w:rsidR="003E7C9E" w:rsidRPr="00AA4677">
        <w:rPr>
          <w:rFonts w:eastAsia="Times New Roman" w:cs="Times New Roman"/>
          <w:i/>
          <w:szCs w:val="24"/>
        </w:rPr>
        <w:t>for information that may be relevant to the activity in question.</w:t>
      </w:r>
    </w:p>
    <w:p w14:paraId="0B303079" w14:textId="7F64C518" w:rsidR="003E7C9E" w:rsidRPr="00AA4677" w:rsidRDefault="003E7C9E">
      <w:pPr>
        <w:pStyle w:val="ListParagraph"/>
        <w:numPr>
          <w:ilvl w:val="0"/>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 Clinical studies of drugs and medical devices only when condition (a) or (b) is met</w:t>
      </w:r>
      <w:r w:rsidR="00C35EDA" w:rsidRPr="00AA4677">
        <w:rPr>
          <w:rFonts w:eastAsia="Times New Roman" w:cs="Times New Roman"/>
          <w:szCs w:val="24"/>
        </w:rPr>
        <w:t>:</w:t>
      </w:r>
    </w:p>
    <w:p w14:paraId="52C043C9" w14:textId="7CAA77B5" w:rsidR="003E7C9E" w:rsidRPr="00AA4677" w:rsidRDefault="003E7C9E">
      <w:pPr>
        <w:pStyle w:val="ListParagraph"/>
        <w:numPr>
          <w:ilvl w:val="1"/>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34F547D8" w14:textId="32BF5543" w:rsidR="003E7C9E" w:rsidRPr="00AA4677" w:rsidRDefault="003E7C9E">
      <w:pPr>
        <w:pStyle w:val="ListParagraph"/>
        <w:numPr>
          <w:ilvl w:val="1"/>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Research on medical devices for which (</w:t>
      </w:r>
      <w:proofErr w:type="spellStart"/>
      <w:r w:rsidRPr="00AA4677">
        <w:rPr>
          <w:rFonts w:eastAsia="Times New Roman" w:cs="Times New Roman"/>
          <w:szCs w:val="24"/>
        </w:rPr>
        <w:t>i</w:t>
      </w:r>
      <w:proofErr w:type="spellEnd"/>
      <w:r w:rsidRPr="00AA4677">
        <w:rPr>
          <w:rFonts w:eastAsia="Times New Roman" w:cs="Times New Roman"/>
          <w:szCs w:val="24"/>
        </w:rPr>
        <w:t>) an investigational device exemption application (21 CFR Part 812) is not required; or (ii) the medical device is cleared/approved for marketing and the medical device is being used in accordance with its cleared/approved labeling.</w:t>
      </w:r>
    </w:p>
    <w:p w14:paraId="4D434CA8" w14:textId="77777777" w:rsidR="00E820CF" w:rsidRPr="00AA4677" w:rsidRDefault="00E820CF" w:rsidP="00E820CF">
      <w:pPr>
        <w:pStyle w:val="ListParagraph"/>
        <w:shd w:val="clear" w:color="auto" w:fill="FFFFFF"/>
        <w:spacing w:before="100" w:beforeAutospacing="1" w:after="100" w:afterAutospacing="1" w:line="240" w:lineRule="auto"/>
        <w:ind w:left="360"/>
        <w:rPr>
          <w:rFonts w:eastAsia="Times New Roman" w:cs="Times New Roman"/>
          <w:szCs w:val="24"/>
        </w:rPr>
      </w:pPr>
    </w:p>
    <w:p w14:paraId="40D1EA6F" w14:textId="795DF4FA" w:rsidR="003E7C9E" w:rsidRPr="00AA4677" w:rsidRDefault="003E7C9E">
      <w:pPr>
        <w:pStyle w:val="ListParagraph"/>
        <w:numPr>
          <w:ilvl w:val="0"/>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Collection of blood samples by finger stick, heel stick, ear stick, or venipuncture as follows:</w:t>
      </w:r>
    </w:p>
    <w:p w14:paraId="501B6A4E" w14:textId="0C7B3330" w:rsidR="003E7C9E" w:rsidRPr="00AA4677" w:rsidRDefault="00E16F71">
      <w:pPr>
        <w:pStyle w:val="ListParagraph"/>
        <w:numPr>
          <w:ilvl w:val="1"/>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w:t>
      </w:r>
      <w:r w:rsidR="003E7C9E" w:rsidRPr="00AA4677">
        <w:rPr>
          <w:rFonts w:eastAsia="Times New Roman" w:cs="Times New Roman"/>
          <w:szCs w:val="24"/>
        </w:rPr>
        <w:t>rom healthy, non</w:t>
      </w:r>
      <w:r w:rsidR="009A684D" w:rsidRPr="00AA4677">
        <w:rPr>
          <w:rFonts w:eastAsia="Times New Roman" w:cs="Times New Roman"/>
          <w:szCs w:val="24"/>
        </w:rPr>
        <w:t>-</w:t>
      </w:r>
      <w:r w:rsidR="003E7C9E" w:rsidRPr="00AA4677">
        <w:rPr>
          <w:rFonts w:eastAsia="Times New Roman" w:cs="Times New Roman"/>
          <w:szCs w:val="24"/>
        </w:rPr>
        <w:t>pregnant adults who weigh at least 110 pounds. For these subjects, the amounts drawn may not exceed 550 ml in an</w:t>
      </w:r>
      <w:r w:rsidR="00C35EDA" w:rsidRPr="00AA4677">
        <w:rPr>
          <w:rFonts w:eastAsia="Times New Roman" w:cs="Times New Roman"/>
          <w:szCs w:val="24"/>
        </w:rPr>
        <w:t xml:space="preserve"> eight</w:t>
      </w:r>
      <w:r w:rsidR="003E7C9E" w:rsidRPr="00AA4677">
        <w:rPr>
          <w:rFonts w:eastAsia="Times New Roman" w:cs="Times New Roman"/>
          <w:szCs w:val="24"/>
        </w:rPr>
        <w:t xml:space="preserve"> </w:t>
      </w:r>
      <w:r w:rsidR="00C35EDA" w:rsidRPr="00AA4677">
        <w:rPr>
          <w:rFonts w:eastAsia="Times New Roman" w:cs="Times New Roman"/>
          <w:szCs w:val="24"/>
        </w:rPr>
        <w:t>(</w:t>
      </w:r>
      <w:r w:rsidR="003E7C9E" w:rsidRPr="00AA4677">
        <w:rPr>
          <w:rFonts w:eastAsia="Times New Roman" w:cs="Times New Roman"/>
          <w:szCs w:val="24"/>
        </w:rPr>
        <w:t>8</w:t>
      </w:r>
      <w:r w:rsidR="00C35EDA" w:rsidRPr="00AA4677">
        <w:rPr>
          <w:rFonts w:eastAsia="Times New Roman" w:cs="Times New Roman"/>
          <w:szCs w:val="24"/>
        </w:rPr>
        <w:t>)</w:t>
      </w:r>
      <w:r w:rsidR="003E7C9E" w:rsidRPr="00AA4677">
        <w:rPr>
          <w:rFonts w:eastAsia="Times New Roman" w:cs="Times New Roman"/>
          <w:szCs w:val="24"/>
        </w:rPr>
        <w:t xml:space="preserve"> week period and collection may not occur more frequently than </w:t>
      </w:r>
      <w:r w:rsidR="00C35EDA" w:rsidRPr="00AA4677">
        <w:rPr>
          <w:rFonts w:eastAsia="Times New Roman" w:cs="Times New Roman"/>
          <w:szCs w:val="24"/>
        </w:rPr>
        <w:t>two (</w:t>
      </w:r>
      <w:r w:rsidR="003E7C9E" w:rsidRPr="00AA4677">
        <w:rPr>
          <w:rFonts w:eastAsia="Times New Roman" w:cs="Times New Roman"/>
          <w:szCs w:val="24"/>
        </w:rPr>
        <w:t>2</w:t>
      </w:r>
      <w:r w:rsidR="00C35EDA" w:rsidRPr="00AA4677">
        <w:rPr>
          <w:rFonts w:eastAsia="Times New Roman" w:cs="Times New Roman"/>
          <w:szCs w:val="24"/>
        </w:rPr>
        <w:t>)</w:t>
      </w:r>
      <w:r w:rsidR="003E7C9E" w:rsidRPr="00AA4677">
        <w:rPr>
          <w:rFonts w:eastAsia="Times New Roman" w:cs="Times New Roman"/>
          <w:szCs w:val="24"/>
        </w:rPr>
        <w:t xml:space="preserve"> times per week; or</w:t>
      </w:r>
    </w:p>
    <w:p w14:paraId="7822DD66" w14:textId="1AE4926F" w:rsidR="00340570" w:rsidRPr="00AA4677" w:rsidRDefault="00E16F71">
      <w:pPr>
        <w:pStyle w:val="ListParagraph"/>
        <w:numPr>
          <w:ilvl w:val="1"/>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w:t>
      </w:r>
      <w:r w:rsidR="003E7C9E" w:rsidRPr="00AA4677">
        <w:rPr>
          <w:rFonts w:eastAsia="Times New Roman" w:cs="Times New Roman"/>
          <w:szCs w:val="24"/>
        </w:rPr>
        <w:t xml:space="preserve">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w:t>
      </w:r>
      <w:r w:rsidR="00C35EDA" w:rsidRPr="00AA4677">
        <w:rPr>
          <w:rFonts w:eastAsia="Times New Roman" w:cs="Times New Roman"/>
          <w:szCs w:val="24"/>
        </w:rPr>
        <w:t>eight (8)</w:t>
      </w:r>
      <w:r w:rsidR="003E7C9E" w:rsidRPr="00AA4677">
        <w:rPr>
          <w:rFonts w:eastAsia="Times New Roman" w:cs="Times New Roman"/>
          <w:szCs w:val="24"/>
        </w:rPr>
        <w:t xml:space="preserve"> week period and collection may not occur more frequentl</w:t>
      </w:r>
      <w:r w:rsidR="00340570" w:rsidRPr="00AA4677">
        <w:rPr>
          <w:rFonts w:eastAsia="Times New Roman" w:cs="Times New Roman"/>
          <w:szCs w:val="24"/>
        </w:rPr>
        <w:t xml:space="preserve">y than </w:t>
      </w:r>
      <w:r w:rsidR="00C35EDA" w:rsidRPr="00AA4677">
        <w:rPr>
          <w:rFonts w:eastAsia="Times New Roman" w:cs="Times New Roman"/>
          <w:szCs w:val="24"/>
        </w:rPr>
        <w:t>two (</w:t>
      </w:r>
      <w:r w:rsidR="00340570" w:rsidRPr="00AA4677">
        <w:rPr>
          <w:rFonts w:eastAsia="Times New Roman" w:cs="Times New Roman"/>
          <w:szCs w:val="24"/>
        </w:rPr>
        <w:t>2</w:t>
      </w:r>
      <w:r w:rsidR="00C35EDA" w:rsidRPr="00AA4677">
        <w:rPr>
          <w:rFonts w:eastAsia="Times New Roman" w:cs="Times New Roman"/>
          <w:szCs w:val="24"/>
        </w:rPr>
        <w:t>)</w:t>
      </w:r>
      <w:r w:rsidR="00340570" w:rsidRPr="00AA4677">
        <w:rPr>
          <w:rFonts w:eastAsia="Times New Roman" w:cs="Times New Roman"/>
          <w:szCs w:val="24"/>
        </w:rPr>
        <w:t xml:space="preserve"> times per week. </w:t>
      </w:r>
    </w:p>
    <w:p w14:paraId="416EA882" w14:textId="77777777" w:rsidR="00E820CF" w:rsidRPr="00AA4677" w:rsidRDefault="00E820CF" w:rsidP="00E820CF">
      <w:pPr>
        <w:pStyle w:val="ListParagraph"/>
        <w:shd w:val="clear" w:color="auto" w:fill="FFFFFF"/>
        <w:spacing w:before="100" w:beforeAutospacing="1" w:after="100" w:afterAutospacing="1" w:line="240" w:lineRule="auto"/>
        <w:ind w:left="360"/>
        <w:rPr>
          <w:rFonts w:eastAsia="Times New Roman" w:cs="Times New Roman"/>
          <w:szCs w:val="24"/>
        </w:rPr>
      </w:pPr>
    </w:p>
    <w:p w14:paraId="540200D3" w14:textId="07D85B4D" w:rsidR="003E7C9E" w:rsidRPr="00AA4677" w:rsidRDefault="003E7C9E">
      <w:pPr>
        <w:pStyle w:val="ListParagraph"/>
        <w:numPr>
          <w:ilvl w:val="0"/>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Prospective collection of biological specimens for research purposes by noninvasive means.  </w:t>
      </w:r>
    </w:p>
    <w:p w14:paraId="6BE67CAF" w14:textId="34D473F9" w:rsidR="003E7C9E" w:rsidRPr="00AA4677" w:rsidRDefault="003E7C9E" w:rsidP="00C95B68">
      <w:p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Examples: (a) hair and nail clippings in a non</w:t>
      </w:r>
      <w:r w:rsidR="009A684D" w:rsidRPr="00AA4677">
        <w:rPr>
          <w:rFonts w:eastAsia="Times New Roman" w:cs="Times New Roman"/>
          <w:szCs w:val="24"/>
        </w:rPr>
        <w:t>-</w:t>
      </w:r>
      <w:r w:rsidRPr="00AA4677">
        <w:rPr>
          <w:rFonts w:eastAsia="Times New Roman" w:cs="Times New Roman"/>
          <w:szCs w:val="24"/>
        </w:rPr>
        <w:t>disfiguring manner; (b) deciduous teeth at time of exfoliation or if routine patient care indicates a need for extraction; (c) permanent teeth if routine patient care indicates a need for extraction; (d) excreta and external secretions (including sweat); (e) un</w:t>
      </w:r>
      <w:r w:rsidR="009A684D" w:rsidRPr="00AA4677">
        <w:rPr>
          <w:rFonts w:eastAsia="Times New Roman" w:cs="Times New Roman"/>
          <w:szCs w:val="24"/>
        </w:rPr>
        <w:t>-</w:t>
      </w:r>
      <w:r w:rsidRPr="00AA4677">
        <w:rPr>
          <w:rFonts w:eastAsia="Times New Roman" w:cs="Times New Roman"/>
          <w:szCs w:val="24"/>
        </w:rPr>
        <w:t xml:space="preserve">cannulated saliva collected either in an unstimulated fashion or stimulated by chewing gum base or wax or by applying a dilute citric solution to the tongue; (f) </w:t>
      </w:r>
      <w:r w:rsidRPr="00AA4677">
        <w:rPr>
          <w:rFonts w:eastAsia="Times New Roman" w:cs="Times New Roman"/>
          <w:szCs w:val="24"/>
        </w:rPr>
        <w:lastRenderedPageBreak/>
        <w:t>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w:t>
      </w:r>
      <w:proofErr w:type="spellStart"/>
      <w:r w:rsidRPr="00AA4677">
        <w:rPr>
          <w:rFonts w:eastAsia="Times New Roman" w:cs="Times New Roman"/>
          <w:szCs w:val="24"/>
        </w:rPr>
        <w:t>i</w:t>
      </w:r>
      <w:proofErr w:type="spellEnd"/>
      <w:r w:rsidRPr="00AA4677">
        <w:rPr>
          <w:rFonts w:eastAsia="Times New Roman" w:cs="Times New Roman"/>
          <w:szCs w:val="24"/>
        </w:rPr>
        <w:t>) mucosal and skin cells collected by buccal scraping or swab, skin swab, or mouth washings; (j) sputum collected after saline mist nebulization.</w:t>
      </w:r>
    </w:p>
    <w:p w14:paraId="044A4435" w14:textId="3B8DEAF4" w:rsidR="003E7C9E" w:rsidRPr="00AA4677" w:rsidRDefault="003E7C9E">
      <w:pPr>
        <w:pStyle w:val="ListParagraph"/>
        <w:numPr>
          <w:ilvl w:val="0"/>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w:t>
      </w:r>
    </w:p>
    <w:p w14:paraId="302757D5" w14:textId="77777777" w:rsidR="003E7C9E" w:rsidRPr="00AA4677" w:rsidRDefault="003E7C9E" w:rsidP="00C95B68">
      <w:p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7220A23C" w14:textId="5571E202" w:rsidR="00C35EDA" w:rsidRPr="00AA4677" w:rsidRDefault="003E7C9E">
      <w:pPr>
        <w:pStyle w:val="ListParagraph"/>
        <w:numPr>
          <w:ilvl w:val="0"/>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Research involving materials (data, documents, records, or specimens) that have been collected, or will be collected solely for non</w:t>
      </w:r>
      <w:r w:rsidR="009A684D" w:rsidRPr="00AA4677">
        <w:rPr>
          <w:rFonts w:eastAsia="Times New Roman" w:cs="Times New Roman"/>
          <w:szCs w:val="24"/>
        </w:rPr>
        <w:t>-</w:t>
      </w:r>
      <w:r w:rsidRPr="00AA4677">
        <w:rPr>
          <w:rFonts w:eastAsia="Times New Roman" w:cs="Times New Roman"/>
          <w:szCs w:val="24"/>
        </w:rPr>
        <w:t xml:space="preserve">research purposes (such as medical treatment or diagnosis). </w:t>
      </w:r>
    </w:p>
    <w:p w14:paraId="25B4555A" w14:textId="77777777" w:rsidR="00EF3973" w:rsidRPr="00AA4677" w:rsidRDefault="00EF3973" w:rsidP="00EF3973">
      <w:pPr>
        <w:pStyle w:val="ListParagraph"/>
        <w:shd w:val="clear" w:color="auto" w:fill="FFFFFF"/>
        <w:spacing w:before="100" w:beforeAutospacing="1" w:after="100" w:afterAutospacing="1" w:line="240" w:lineRule="auto"/>
        <w:ind w:left="360"/>
        <w:rPr>
          <w:rFonts w:eastAsia="Times New Roman" w:cs="Times New Roman"/>
          <w:szCs w:val="24"/>
        </w:rPr>
      </w:pPr>
    </w:p>
    <w:p w14:paraId="70615128" w14:textId="55022160" w:rsidR="003E7C9E" w:rsidRPr="00AA4677" w:rsidRDefault="00340570" w:rsidP="00EF3973">
      <w:pPr>
        <w:pStyle w:val="ListParagraph"/>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b/>
          <w:i/>
          <w:szCs w:val="24"/>
        </w:rPr>
        <w:t>N</w:t>
      </w:r>
      <w:r w:rsidR="002876EC" w:rsidRPr="00AA4677">
        <w:rPr>
          <w:rFonts w:eastAsia="Times New Roman" w:cs="Times New Roman"/>
          <w:b/>
          <w:i/>
          <w:szCs w:val="24"/>
        </w:rPr>
        <w:t>OTE</w:t>
      </w:r>
      <w:r w:rsidR="003E7C9E" w:rsidRPr="00AA4677">
        <w:rPr>
          <w:rFonts w:eastAsia="Times New Roman" w:cs="Times New Roman"/>
          <w:b/>
          <w:i/>
          <w:szCs w:val="24"/>
        </w:rPr>
        <w:t>:</w:t>
      </w:r>
      <w:r w:rsidR="003E7C9E" w:rsidRPr="00AA4677">
        <w:rPr>
          <w:rFonts w:eastAsia="Times New Roman" w:cs="Times New Roman"/>
          <w:i/>
          <w:szCs w:val="24"/>
        </w:rPr>
        <w:t xml:space="preserve"> Some research in this category may be exempt from the DHHS regulations for the protection of human subjects.</w:t>
      </w:r>
      <w:r w:rsidR="003E7C9E" w:rsidRPr="00AA4677">
        <w:rPr>
          <w:rFonts w:eastAsia="Times New Roman" w:cs="Times New Roman"/>
          <w:szCs w:val="24"/>
        </w:rPr>
        <w:t xml:space="preserve"> See Exempt Categories and 45 CFR 46 101(b)(4). This listing refers only to research that is not exempt.</w:t>
      </w:r>
    </w:p>
    <w:p w14:paraId="29E0A32C" w14:textId="77777777" w:rsidR="00E820CF" w:rsidRPr="00AA4677" w:rsidRDefault="00E820CF" w:rsidP="00E820CF">
      <w:pPr>
        <w:pStyle w:val="ListParagraph"/>
        <w:shd w:val="clear" w:color="auto" w:fill="FFFFFF"/>
        <w:spacing w:before="100" w:beforeAutospacing="1" w:after="100" w:afterAutospacing="1" w:line="240" w:lineRule="auto"/>
        <w:ind w:left="360"/>
        <w:rPr>
          <w:rFonts w:eastAsia="Times New Roman" w:cs="Times New Roman"/>
          <w:szCs w:val="24"/>
        </w:rPr>
      </w:pPr>
    </w:p>
    <w:p w14:paraId="60735002" w14:textId="76D3119E" w:rsidR="003E7C9E" w:rsidRPr="00AA4677" w:rsidRDefault="003E7C9E">
      <w:pPr>
        <w:pStyle w:val="ListParagraph"/>
        <w:numPr>
          <w:ilvl w:val="0"/>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Collection of data from voice, video, digital, or image recordings made for research purposes.  </w:t>
      </w:r>
    </w:p>
    <w:p w14:paraId="29E0962B" w14:textId="77777777" w:rsidR="00E820CF" w:rsidRPr="00AA4677" w:rsidRDefault="00E820CF" w:rsidP="00E820CF">
      <w:pPr>
        <w:pStyle w:val="ListParagraph"/>
        <w:shd w:val="clear" w:color="auto" w:fill="FFFFFF"/>
        <w:spacing w:before="100" w:beforeAutospacing="1" w:after="100" w:afterAutospacing="1" w:line="240" w:lineRule="auto"/>
        <w:ind w:left="360"/>
        <w:rPr>
          <w:rFonts w:eastAsia="Times New Roman" w:cs="Times New Roman"/>
          <w:szCs w:val="24"/>
        </w:rPr>
      </w:pPr>
    </w:p>
    <w:p w14:paraId="42EF581A" w14:textId="77777777" w:rsidR="00C35EDA" w:rsidRPr="00AA4677" w:rsidRDefault="003E7C9E">
      <w:pPr>
        <w:pStyle w:val="ListParagraph"/>
        <w:numPr>
          <w:ilvl w:val="0"/>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Research on individual or group characteristics or behavior (including, but not limited to, research on perception, cognition, motivation, identity, language, communication, cultural beliefs </w:t>
      </w:r>
      <w:proofErr w:type="gramStart"/>
      <w:r w:rsidRPr="00AA4677">
        <w:rPr>
          <w:rFonts w:eastAsia="Times New Roman" w:cs="Times New Roman"/>
          <w:szCs w:val="24"/>
        </w:rPr>
        <w:t>or practices, and</w:t>
      </w:r>
      <w:proofErr w:type="gramEnd"/>
      <w:r w:rsidRPr="00AA4677">
        <w:rPr>
          <w:rFonts w:eastAsia="Times New Roman" w:cs="Times New Roman"/>
          <w:szCs w:val="24"/>
        </w:rPr>
        <w:t xml:space="preserve"> social behavior) or research employing survey, interview</w:t>
      </w:r>
      <w:proofErr w:type="gramStart"/>
      <w:r w:rsidRPr="00AA4677">
        <w:rPr>
          <w:rFonts w:eastAsia="Times New Roman" w:cs="Times New Roman"/>
          <w:szCs w:val="24"/>
        </w:rPr>
        <w:t>, oral history</w:t>
      </w:r>
      <w:proofErr w:type="gramEnd"/>
      <w:r w:rsidRPr="00AA4677">
        <w:rPr>
          <w:rFonts w:eastAsia="Times New Roman" w:cs="Times New Roman"/>
          <w:szCs w:val="24"/>
        </w:rPr>
        <w:t xml:space="preserve">, focus group, program evaluation, human factors evaluation, or quality assurance methodologies. </w:t>
      </w:r>
    </w:p>
    <w:p w14:paraId="123B330B" w14:textId="77777777" w:rsidR="00EF3973" w:rsidRPr="00AA4677" w:rsidRDefault="00EF3973" w:rsidP="00EF3973">
      <w:pPr>
        <w:pStyle w:val="ListParagraph"/>
        <w:shd w:val="clear" w:color="auto" w:fill="FFFFFF"/>
        <w:spacing w:before="100" w:beforeAutospacing="1" w:after="100" w:afterAutospacing="1" w:line="240" w:lineRule="auto"/>
        <w:ind w:left="360"/>
        <w:rPr>
          <w:rFonts w:eastAsia="Times New Roman" w:cs="Times New Roman"/>
          <w:szCs w:val="24"/>
        </w:rPr>
      </w:pPr>
    </w:p>
    <w:p w14:paraId="42D14CE5" w14:textId="2B811864" w:rsidR="003E7C9E" w:rsidRPr="00AA4677" w:rsidRDefault="00E50AE7" w:rsidP="00EF3973">
      <w:pPr>
        <w:pStyle w:val="ListParagraph"/>
        <w:shd w:val="clear" w:color="auto" w:fill="FFFFFF"/>
        <w:spacing w:before="100" w:beforeAutospacing="1" w:after="100" w:afterAutospacing="1" w:line="240" w:lineRule="auto"/>
        <w:ind w:left="360"/>
        <w:rPr>
          <w:rFonts w:eastAsia="Times New Roman" w:cs="Times New Roman"/>
          <w:i/>
          <w:szCs w:val="24"/>
        </w:rPr>
      </w:pPr>
      <w:r w:rsidRPr="00AA4677">
        <w:rPr>
          <w:rFonts w:eastAsia="Times New Roman" w:cs="Times New Roman"/>
          <w:b/>
          <w:i/>
          <w:szCs w:val="24"/>
        </w:rPr>
        <w:lastRenderedPageBreak/>
        <w:t>N</w:t>
      </w:r>
      <w:r w:rsidR="002876EC" w:rsidRPr="00AA4677">
        <w:rPr>
          <w:rFonts w:eastAsia="Times New Roman" w:cs="Times New Roman"/>
          <w:b/>
          <w:i/>
          <w:szCs w:val="24"/>
        </w:rPr>
        <w:t>OTE</w:t>
      </w:r>
      <w:r w:rsidR="003E7C9E" w:rsidRPr="00AA4677">
        <w:rPr>
          <w:rFonts w:eastAsia="Times New Roman" w:cs="Times New Roman"/>
          <w:b/>
          <w:i/>
          <w:szCs w:val="24"/>
        </w:rPr>
        <w:t>:</w:t>
      </w:r>
      <w:r w:rsidR="003E7C9E" w:rsidRPr="00AA4677">
        <w:rPr>
          <w:rFonts w:eastAsia="Times New Roman" w:cs="Times New Roman"/>
          <w:i/>
          <w:szCs w:val="24"/>
        </w:rPr>
        <w:t xml:space="preserve"> Some research in this category may be exempt from the DHHS regulations for the protection of human subjects. See Exempt Categories and 45 CFR 46.101(b)(2). This listing refers only </w:t>
      </w:r>
      <w:r w:rsidRPr="00AA4677">
        <w:rPr>
          <w:rFonts w:eastAsia="Times New Roman" w:cs="Times New Roman"/>
          <w:i/>
          <w:szCs w:val="24"/>
        </w:rPr>
        <w:t>to research that is not exempt.</w:t>
      </w:r>
    </w:p>
    <w:p w14:paraId="56E86D6C" w14:textId="2DBA9C3B" w:rsidR="00F67931" w:rsidRPr="00AA4677" w:rsidRDefault="00F67931" w:rsidP="00EF3973">
      <w:pPr>
        <w:pStyle w:val="ListParagraph"/>
        <w:shd w:val="clear" w:color="auto" w:fill="FFFFFF"/>
        <w:spacing w:before="100" w:beforeAutospacing="1" w:after="100" w:afterAutospacing="1" w:line="240" w:lineRule="auto"/>
        <w:ind w:left="360"/>
        <w:rPr>
          <w:rFonts w:eastAsia="Times New Roman" w:cs="Times New Roman"/>
          <w:szCs w:val="24"/>
        </w:rPr>
      </w:pPr>
    </w:p>
    <w:p w14:paraId="6B084EA9" w14:textId="12D0A8AE" w:rsidR="00F67931" w:rsidRPr="00AA4677" w:rsidRDefault="00F67931" w:rsidP="00EF3973">
      <w:pPr>
        <w:pStyle w:val="ListParagraph"/>
        <w:shd w:val="clear" w:color="auto" w:fill="FFFFFF"/>
        <w:spacing w:before="100" w:beforeAutospacing="1" w:after="100" w:afterAutospacing="1" w:line="240" w:lineRule="auto"/>
        <w:ind w:left="360"/>
        <w:rPr>
          <w:rFonts w:eastAsia="Times New Roman" w:cs="Times New Roman"/>
          <w:b/>
          <w:szCs w:val="24"/>
        </w:rPr>
      </w:pPr>
      <w:r w:rsidRPr="00AA4677">
        <w:rPr>
          <w:rFonts w:eastAsia="Times New Roman" w:cs="Times New Roman"/>
          <w:b/>
          <w:szCs w:val="24"/>
        </w:rPr>
        <w:t>Categories 8 and 9 only apply to continuing review.</w:t>
      </w:r>
    </w:p>
    <w:p w14:paraId="27EDB887" w14:textId="77777777" w:rsidR="00E820CF" w:rsidRPr="00AA4677" w:rsidRDefault="00E820CF" w:rsidP="00E820CF">
      <w:pPr>
        <w:pStyle w:val="ListParagraph"/>
        <w:shd w:val="clear" w:color="auto" w:fill="FFFFFF"/>
        <w:spacing w:before="100" w:beforeAutospacing="1" w:after="100" w:afterAutospacing="1" w:line="240" w:lineRule="auto"/>
        <w:ind w:left="360"/>
        <w:rPr>
          <w:rFonts w:eastAsia="Times New Roman" w:cs="Times New Roman"/>
          <w:szCs w:val="24"/>
        </w:rPr>
      </w:pPr>
    </w:p>
    <w:p w14:paraId="727FC3CE" w14:textId="395E2E6B" w:rsidR="003E7C9E" w:rsidRPr="00AA4677" w:rsidRDefault="003E7C9E">
      <w:pPr>
        <w:pStyle w:val="ListParagraph"/>
        <w:numPr>
          <w:ilvl w:val="0"/>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Continuing review of research previously approved by the convened </w:t>
      </w:r>
      <w:r w:rsidR="00EE7207" w:rsidRPr="00AA4677">
        <w:rPr>
          <w:rFonts w:eastAsia="Times New Roman" w:cs="Times New Roman"/>
          <w:szCs w:val="24"/>
        </w:rPr>
        <w:t>IRB</w:t>
      </w:r>
      <w:r w:rsidRPr="00AA4677">
        <w:rPr>
          <w:rFonts w:eastAsia="Times New Roman" w:cs="Times New Roman"/>
          <w:szCs w:val="24"/>
        </w:rPr>
        <w:t xml:space="preserve"> as follows:</w:t>
      </w:r>
    </w:p>
    <w:p w14:paraId="6D278AD9" w14:textId="77777777" w:rsidR="00F67931" w:rsidRPr="00AA4677" w:rsidRDefault="00F67931" w:rsidP="00F67931">
      <w:pPr>
        <w:pStyle w:val="ListParagraph"/>
        <w:shd w:val="clear" w:color="auto" w:fill="FFFFFF"/>
        <w:spacing w:before="100" w:beforeAutospacing="1" w:after="100" w:afterAutospacing="1" w:line="240" w:lineRule="auto"/>
        <w:ind w:left="360"/>
        <w:rPr>
          <w:rFonts w:eastAsia="Times New Roman" w:cs="Times New Roman"/>
          <w:szCs w:val="24"/>
        </w:rPr>
      </w:pPr>
    </w:p>
    <w:p w14:paraId="1FC81651" w14:textId="77777777" w:rsidR="009A684D" w:rsidRPr="00AA4677" w:rsidRDefault="00E16F71">
      <w:pPr>
        <w:pStyle w:val="ListParagraph"/>
        <w:numPr>
          <w:ilvl w:val="1"/>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w:t>
      </w:r>
      <w:r w:rsidR="003E7C9E" w:rsidRPr="00AA4677">
        <w:rPr>
          <w:rFonts w:eastAsia="Times New Roman" w:cs="Times New Roman"/>
          <w:szCs w:val="24"/>
        </w:rPr>
        <w:t>here</w:t>
      </w:r>
      <w:r w:rsidR="009A684D" w:rsidRPr="00AA4677">
        <w:rPr>
          <w:rFonts w:eastAsia="Times New Roman" w:cs="Times New Roman"/>
          <w:szCs w:val="24"/>
        </w:rPr>
        <w:t>:</w:t>
      </w:r>
      <w:r w:rsidR="003E7C9E" w:rsidRPr="00AA4677">
        <w:rPr>
          <w:rFonts w:eastAsia="Times New Roman" w:cs="Times New Roman"/>
          <w:szCs w:val="24"/>
        </w:rPr>
        <w:t xml:space="preserve"> </w:t>
      </w:r>
    </w:p>
    <w:p w14:paraId="3C10B3E8" w14:textId="771B144B" w:rsidR="009A684D" w:rsidRPr="00AA4677" w:rsidRDefault="003E7C9E">
      <w:pPr>
        <w:pStyle w:val="ListParagraph"/>
        <w:numPr>
          <w:ilvl w:val="2"/>
          <w:numId w:val="76"/>
        </w:num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the</w:t>
      </w:r>
      <w:proofErr w:type="gramEnd"/>
      <w:r w:rsidRPr="00AA4677">
        <w:rPr>
          <w:rFonts w:eastAsia="Times New Roman" w:cs="Times New Roman"/>
          <w:szCs w:val="24"/>
        </w:rPr>
        <w:t xml:space="preserve"> research is permanently closed to the enrollment </w:t>
      </w:r>
      <w:proofErr w:type="gramStart"/>
      <w:r w:rsidRPr="00AA4677">
        <w:rPr>
          <w:rFonts w:eastAsia="Times New Roman" w:cs="Times New Roman"/>
          <w:szCs w:val="24"/>
        </w:rPr>
        <w:t>of</w:t>
      </w:r>
      <w:proofErr w:type="gramEnd"/>
      <w:r w:rsidRPr="00AA4677">
        <w:rPr>
          <w:rFonts w:eastAsia="Times New Roman" w:cs="Times New Roman"/>
          <w:szCs w:val="24"/>
        </w:rPr>
        <w:t xml:space="preserve"> new </w:t>
      </w:r>
      <w:proofErr w:type="gramStart"/>
      <w:r w:rsidRPr="00AA4677">
        <w:rPr>
          <w:rFonts w:eastAsia="Times New Roman" w:cs="Times New Roman"/>
          <w:szCs w:val="24"/>
        </w:rPr>
        <w:t>subjects;</w:t>
      </w:r>
      <w:proofErr w:type="gramEnd"/>
      <w:r w:rsidRPr="00AA4677">
        <w:rPr>
          <w:rFonts w:eastAsia="Times New Roman" w:cs="Times New Roman"/>
          <w:szCs w:val="24"/>
        </w:rPr>
        <w:t xml:space="preserve"> </w:t>
      </w:r>
    </w:p>
    <w:p w14:paraId="152F9DCB" w14:textId="64E66978" w:rsidR="009A684D" w:rsidRPr="00AA4677" w:rsidRDefault="003E7C9E">
      <w:pPr>
        <w:pStyle w:val="ListParagraph"/>
        <w:numPr>
          <w:ilvl w:val="2"/>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all subjects have completed all research-related interventions; </w:t>
      </w:r>
      <w:r w:rsidRPr="00AA4677">
        <w:rPr>
          <w:rFonts w:eastAsia="Times New Roman" w:cs="Times New Roman"/>
          <w:b/>
          <w:szCs w:val="24"/>
        </w:rPr>
        <w:t>and</w:t>
      </w:r>
      <w:r w:rsidRPr="00AA4677">
        <w:rPr>
          <w:rFonts w:eastAsia="Times New Roman" w:cs="Times New Roman"/>
          <w:szCs w:val="24"/>
        </w:rPr>
        <w:t xml:space="preserve"> </w:t>
      </w:r>
    </w:p>
    <w:p w14:paraId="02A0A18E" w14:textId="7698EE8E" w:rsidR="00F67931" w:rsidRPr="00AA4677" w:rsidRDefault="003E7C9E">
      <w:pPr>
        <w:pStyle w:val="ListParagraph"/>
        <w:numPr>
          <w:ilvl w:val="2"/>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research remains active only for long-term follow-up of subjects</w:t>
      </w:r>
      <w:r w:rsidR="00F67931" w:rsidRPr="00AA4677">
        <w:rPr>
          <w:rFonts w:eastAsia="Times New Roman" w:cs="Times New Roman"/>
          <w:szCs w:val="24"/>
        </w:rPr>
        <w:t xml:space="preserve"> (Note: </w:t>
      </w:r>
      <w:r w:rsidR="00F67931" w:rsidRPr="00AA4677">
        <w:t xml:space="preserve">“Long-term follow-up” includes research </w:t>
      </w:r>
      <w:r w:rsidR="00F67931" w:rsidRPr="00AA4677">
        <w:rPr>
          <w:i/>
          <w:iCs/>
        </w:rPr>
        <w:t xml:space="preserve">interactions </w:t>
      </w:r>
      <w:r w:rsidR="00F67931" w:rsidRPr="00AA4677">
        <w:t>that involve no more than minimal risk to subjects (e.g., quality of life surveys); and collectio</w:t>
      </w:r>
      <w:r w:rsidR="00F67931" w:rsidRPr="00AA4677">
        <w:rPr>
          <w:i/>
          <w:iCs/>
        </w:rPr>
        <w:t>n of follow-u</w:t>
      </w:r>
      <w:r w:rsidR="00F67931" w:rsidRPr="00AA4677">
        <w:t xml:space="preserve">p data from procedures or interventions that would have been done as part of routine clinical practice to monitor a subject for disease progression or recurrence, regardless of whether the procedures or interventions are described in the research study, but not </w:t>
      </w:r>
      <w:r w:rsidR="00F67931" w:rsidRPr="00AA4677">
        <w:rPr>
          <w:i/>
          <w:iCs/>
        </w:rPr>
        <w:t xml:space="preserve">interventions </w:t>
      </w:r>
      <w:r w:rsidR="00F67931" w:rsidRPr="00AA4677">
        <w:t xml:space="preserve">that would </w:t>
      </w:r>
      <w:r w:rsidR="00F67931" w:rsidRPr="00AA4677">
        <w:rPr>
          <w:b/>
        </w:rPr>
        <w:t>not</w:t>
      </w:r>
      <w:r w:rsidR="00F67931" w:rsidRPr="00AA4677">
        <w:t xml:space="preserve"> have been performed for clinical purposes, even if the research interventions involve no more than minimal risk.)</w:t>
      </w:r>
      <w:r w:rsidRPr="00AA4677">
        <w:rPr>
          <w:rFonts w:eastAsia="Times New Roman" w:cs="Times New Roman"/>
          <w:szCs w:val="24"/>
        </w:rPr>
        <w:t xml:space="preserve">; </w:t>
      </w:r>
    </w:p>
    <w:p w14:paraId="4A2B9263" w14:textId="77777777" w:rsidR="00F67931" w:rsidRPr="00AA4677" w:rsidRDefault="00F67931" w:rsidP="00F67931">
      <w:pPr>
        <w:pStyle w:val="ListParagraph"/>
        <w:shd w:val="clear" w:color="auto" w:fill="FFFFFF"/>
        <w:spacing w:before="100" w:beforeAutospacing="1" w:after="100" w:afterAutospacing="1" w:line="240" w:lineRule="auto"/>
        <w:ind w:left="1080"/>
        <w:rPr>
          <w:rFonts w:eastAsia="Times New Roman" w:cs="Times New Roman"/>
          <w:b/>
          <w:szCs w:val="24"/>
        </w:rPr>
      </w:pPr>
    </w:p>
    <w:p w14:paraId="2A87B524" w14:textId="4D0EDA9F" w:rsidR="003E7C9E" w:rsidRPr="00AA4677" w:rsidRDefault="00887DA1" w:rsidP="00F67931">
      <w:pPr>
        <w:pStyle w:val="ListParagraph"/>
        <w:shd w:val="clear" w:color="auto" w:fill="FFFFFF"/>
        <w:spacing w:before="100" w:beforeAutospacing="1" w:after="100" w:afterAutospacing="1" w:line="240" w:lineRule="auto"/>
        <w:ind w:left="1080"/>
        <w:rPr>
          <w:rFonts w:eastAsia="Times New Roman" w:cs="Times New Roman"/>
          <w:b/>
          <w:szCs w:val="24"/>
        </w:rPr>
      </w:pPr>
      <w:r w:rsidRPr="00AA4677">
        <w:rPr>
          <w:rFonts w:eastAsia="Times New Roman" w:cs="Times New Roman"/>
          <w:b/>
          <w:szCs w:val="24"/>
        </w:rPr>
        <w:t>O</w:t>
      </w:r>
      <w:r w:rsidR="003E7C9E" w:rsidRPr="00AA4677">
        <w:rPr>
          <w:rFonts w:eastAsia="Times New Roman" w:cs="Times New Roman"/>
          <w:b/>
          <w:szCs w:val="24"/>
        </w:rPr>
        <w:t>r</w:t>
      </w:r>
    </w:p>
    <w:p w14:paraId="679B09D4" w14:textId="77777777" w:rsidR="00F67931" w:rsidRPr="00AA4677" w:rsidRDefault="00F67931" w:rsidP="00F67931">
      <w:pPr>
        <w:pStyle w:val="ListParagraph"/>
        <w:shd w:val="clear" w:color="auto" w:fill="FFFFFF"/>
        <w:spacing w:before="100" w:beforeAutospacing="1" w:after="100" w:afterAutospacing="1" w:line="240" w:lineRule="auto"/>
        <w:ind w:left="1080"/>
        <w:rPr>
          <w:rFonts w:eastAsia="Times New Roman" w:cs="Times New Roman"/>
          <w:szCs w:val="24"/>
        </w:rPr>
      </w:pPr>
    </w:p>
    <w:p w14:paraId="24F5D804" w14:textId="35D91DAE" w:rsidR="00F67931" w:rsidRPr="00AA4677" w:rsidRDefault="00E16F71">
      <w:pPr>
        <w:pStyle w:val="ListParagraph"/>
        <w:numPr>
          <w:ilvl w:val="1"/>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w:t>
      </w:r>
      <w:r w:rsidR="003E7C9E" w:rsidRPr="00AA4677">
        <w:rPr>
          <w:rFonts w:eastAsia="Times New Roman" w:cs="Times New Roman"/>
          <w:szCs w:val="24"/>
        </w:rPr>
        <w:t>here no subjects have been enrolled</w:t>
      </w:r>
      <w:r w:rsidR="004D5779" w:rsidRPr="00AA4677">
        <w:rPr>
          <w:rFonts w:eastAsia="Times New Roman" w:cs="Times New Roman"/>
          <w:szCs w:val="24"/>
        </w:rPr>
        <w:t xml:space="preserve"> at SBU</w:t>
      </w:r>
      <w:r w:rsidR="003E7C9E" w:rsidRPr="00AA4677">
        <w:rPr>
          <w:rFonts w:eastAsia="Times New Roman" w:cs="Times New Roman"/>
          <w:szCs w:val="24"/>
        </w:rPr>
        <w:t xml:space="preserve"> and no additional risks have been identified</w:t>
      </w:r>
      <w:r w:rsidR="004D5779" w:rsidRPr="00AA4677">
        <w:rPr>
          <w:rFonts w:eastAsia="Times New Roman" w:cs="Times New Roman"/>
          <w:szCs w:val="24"/>
        </w:rPr>
        <w:t xml:space="preserve"> </w:t>
      </w:r>
      <w:r w:rsidR="004D5779" w:rsidRPr="00AA4677">
        <w:t>(Note: “no additional risks have been identified” means that neither the investigator nor the IRB has identified any additional risks from any institution engaged in the research project or from any other relevant source since the IRB’s most recent prior review</w:t>
      </w:r>
      <w:proofErr w:type="gramStart"/>
      <w:r w:rsidR="004D5779" w:rsidRPr="00AA4677">
        <w:t>)</w:t>
      </w:r>
      <w:r w:rsidR="003E7C9E" w:rsidRPr="00AA4677">
        <w:rPr>
          <w:rFonts w:eastAsia="Times New Roman" w:cs="Times New Roman"/>
          <w:szCs w:val="24"/>
        </w:rPr>
        <w:t>;</w:t>
      </w:r>
      <w:proofErr w:type="gramEnd"/>
      <w:r w:rsidR="003E7C9E" w:rsidRPr="00AA4677">
        <w:rPr>
          <w:rFonts w:eastAsia="Times New Roman" w:cs="Times New Roman"/>
          <w:szCs w:val="24"/>
        </w:rPr>
        <w:t xml:space="preserve"> </w:t>
      </w:r>
    </w:p>
    <w:p w14:paraId="1B7A2EB2" w14:textId="77777777" w:rsidR="00F67931" w:rsidRPr="00AA4677" w:rsidRDefault="00F67931" w:rsidP="00F67931">
      <w:pPr>
        <w:pStyle w:val="ListParagraph"/>
        <w:shd w:val="clear" w:color="auto" w:fill="FFFFFF"/>
        <w:spacing w:before="100" w:beforeAutospacing="1" w:after="100" w:afterAutospacing="1" w:line="240" w:lineRule="auto"/>
        <w:rPr>
          <w:rFonts w:eastAsia="Times New Roman" w:cs="Times New Roman"/>
          <w:b/>
          <w:szCs w:val="24"/>
        </w:rPr>
      </w:pPr>
    </w:p>
    <w:p w14:paraId="333CF0EF" w14:textId="7FA8945B" w:rsidR="003E7C9E" w:rsidRPr="00AA4677" w:rsidRDefault="00F67931" w:rsidP="00F67931">
      <w:pPr>
        <w:pStyle w:val="ListParagraph"/>
        <w:shd w:val="clear" w:color="auto" w:fill="FFFFFF"/>
        <w:spacing w:before="100" w:beforeAutospacing="1" w:after="100" w:afterAutospacing="1" w:line="240" w:lineRule="auto"/>
        <w:rPr>
          <w:rFonts w:eastAsia="Times New Roman" w:cs="Times New Roman"/>
          <w:b/>
          <w:szCs w:val="24"/>
        </w:rPr>
      </w:pPr>
      <w:r w:rsidRPr="00AA4677">
        <w:rPr>
          <w:rFonts w:eastAsia="Times New Roman" w:cs="Times New Roman"/>
          <w:b/>
          <w:szCs w:val="24"/>
        </w:rPr>
        <w:t>O</w:t>
      </w:r>
      <w:r w:rsidR="003E7C9E" w:rsidRPr="00AA4677">
        <w:rPr>
          <w:rFonts w:eastAsia="Times New Roman" w:cs="Times New Roman"/>
          <w:b/>
          <w:szCs w:val="24"/>
        </w:rPr>
        <w:t>r</w:t>
      </w:r>
    </w:p>
    <w:p w14:paraId="3243F416" w14:textId="77777777" w:rsidR="00F67931" w:rsidRPr="00AA4677" w:rsidRDefault="00F67931" w:rsidP="00F67931">
      <w:pPr>
        <w:pStyle w:val="ListParagraph"/>
        <w:shd w:val="clear" w:color="auto" w:fill="FFFFFF"/>
        <w:spacing w:before="100" w:beforeAutospacing="1" w:after="100" w:afterAutospacing="1" w:line="240" w:lineRule="auto"/>
        <w:rPr>
          <w:rFonts w:eastAsia="Times New Roman" w:cs="Times New Roman"/>
          <w:szCs w:val="24"/>
        </w:rPr>
      </w:pPr>
    </w:p>
    <w:p w14:paraId="4FC0926C" w14:textId="04532869" w:rsidR="004D5779" w:rsidRPr="00AA4677" w:rsidRDefault="00E16F71">
      <w:pPr>
        <w:pStyle w:val="ListParagraph"/>
        <w:numPr>
          <w:ilvl w:val="1"/>
          <w:numId w:val="76"/>
        </w:numPr>
        <w:shd w:val="clear" w:color="auto" w:fill="FFFFFF"/>
        <w:spacing w:before="100" w:beforeAutospacing="1" w:after="100" w:afterAutospacing="1" w:line="240" w:lineRule="auto"/>
        <w:ind w:left="360" w:firstLine="0"/>
        <w:rPr>
          <w:rFonts w:eastAsia="Times New Roman" w:cs="Times New Roman"/>
          <w:szCs w:val="24"/>
        </w:rPr>
      </w:pPr>
      <w:r w:rsidRPr="00AA4677">
        <w:rPr>
          <w:rFonts w:eastAsia="Times New Roman" w:cs="Times New Roman"/>
          <w:szCs w:val="24"/>
        </w:rPr>
        <w:t>W</w:t>
      </w:r>
      <w:r w:rsidR="003E7C9E" w:rsidRPr="00AA4677">
        <w:rPr>
          <w:rFonts w:eastAsia="Times New Roman" w:cs="Times New Roman"/>
          <w:szCs w:val="24"/>
        </w:rPr>
        <w:t>here the remaining research activities</w:t>
      </w:r>
      <w:r w:rsidR="004D5779" w:rsidRPr="00AA4677">
        <w:rPr>
          <w:rFonts w:eastAsia="Times New Roman" w:cs="Times New Roman"/>
          <w:szCs w:val="24"/>
        </w:rPr>
        <w:t xml:space="preserve"> at SBU</w:t>
      </w:r>
      <w:r w:rsidR="003E7C9E" w:rsidRPr="00AA4677">
        <w:rPr>
          <w:rFonts w:eastAsia="Times New Roman" w:cs="Times New Roman"/>
          <w:szCs w:val="24"/>
        </w:rPr>
        <w:t xml:space="preserve"> are limited to data analysis</w:t>
      </w:r>
      <w:r w:rsidR="004D5779" w:rsidRPr="00AA4677">
        <w:rPr>
          <w:rFonts w:eastAsia="Times New Roman" w:cs="Times New Roman"/>
          <w:szCs w:val="24"/>
        </w:rPr>
        <w:t xml:space="preserve"> </w:t>
      </w:r>
    </w:p>
    <w:p w14:paraId="0542081C" w14:textId="77777777" w:rsidR="0093206D" w:rsidRPr="00AA4677" w:rsidRDefault="0093206D" w:rsidP="0093206D">
      <w:pPr>
        <w:pStyle w:val="ListParagraph"/>
        <w:shd w:val="clear" w:color="auto" w:fill="FFFFFF"/>
        <w:spacing w:before="100" w:beforeAutospacing="1" w:after="100" w:afterAutospacing="1" w:line="240" w:lineRule="auto"/>
        <w:ind w:left="360"/>
        <w:rPr>
          <w:rFonts w:eastAsia="Times New Roman" w:cs="Times New Roman"/>
          <w:szCs w:val="24"/>
        </w:rPr>
      </w:pPr>
    </w:p>
    <w:p w14:paraId="4D5088C1" w14:textId="1AB29310" w:rsidR="003E7C9E" w:rsidRPr="00AA4677" w:rsidRDefault="003E7C9E">
      <w:pPr>
        <w:pStyle w:val="ListParagraph"/>
        <w:numPr>
          <w:ilvl w:val="0"/>
          <w:numId w:val="7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Continuing review of research, not conducted under an investigational new drug application or investigational device exemption where categories two (2) through eight (8) do not appl</w:t>
      </w:r>
      <w:r w:rsidR="00C60DBC" w:rsidRPr="00AA4677">
        <w:rPr>
          <w:rFonts w:eastAsia="Times New Roman" w:cs="Times New Roman"/>
          <w:szCs w:val="24"/>
        </w:rPr>
        <w:t xml:space="preserve">y but the </w:t>
      </w:r>
      <w:r w:rsidR="00EE7207" w:rsidRPr="00AA4677">
        <w:rPr>
          <w:rFonts w:eastAsia="Times New Roman" w:cs="Times New Roman"/>
          <w:szCs w:val="24"/>
        </w:rPr>
        <w:t>IRB</w:t>
      </w:r>
      <w:r w:rsidR="00C60DBC" w:rsidRPr="00AA4677">
        <w:rPr>
          <w:rFonts w:eastAsia="Times New Roman" w:cs="Times New Roman"/>
          <w:szCs w:val="24"/>
        </w:rPr>
        <w:t xml:space="preserve"> </w:t>
      </w:r>
      <w:r w:rsidRPr="00AA4677">
        <w:rPr>
          <w:rFonts w:eastAsia="Times New Roman" w:cs="Times New Roman"/>
          <w:szCs w:val="24"/>
        </w:rPr>
        <w:t>has determined and documented at a convened meeting that the research involves no greater than minimal risk and no additional risks have been identified.</w:t>
      </w:r>
    </w:p>
    <w:p w14:paraId="259B3047" w14:textId="35F3292E" w:rsidR="003E7C9E" w:rsidRPr="00AA4677" w:rsidRDefault="003E7C9E" w:rsidP="001347C9">
      <w:p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Under Category (9), an expedited review procedure may be used for continuing review of research not conducted under an investigational new drug application or investigational device exemption where categories (2) through (8) do not apply but </w:t>
      </w:r>
      <w:r w:rsidR="00C60DBC"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has determined and </w:t>
      </w:r>
      <w:r w:rsidRPr="00AA4677">
        <w:rPr>
          <w:rFonts w:eastAsia="Times New Roman" w:cs="Times New Roman"/>
          <w:szCs w:val="24"/>
        </w:rPr>
        <w:lastRenderedPageBreak/>
        <w:t xml:space="preserve">documented at a convened meeting that the research involves no greater than minimal risk and no additional risks have been identified. The </w:t>
      </w:r>
      <w:proofErr w:type="gramStart"/>
      <w:r w:rsidRPr="00AA4677">
        <w:rPr>
          <w:rFonts w:eastAsia="Times New Roman" w:cs="Times New Roman"/>
          <w:szCs w:val="24"/>
        </w:rPr>
        <w:t>determination</w:t>
      </w:r>
      <w:proofErr w:type="gramEnd"/>
      <w:r w:rsidRPr="00AA4677">
        <w:rPr>
          <w:rFonts w:eastAsia="Times New Roman" w:cs="Times New Roman"/>
          <w:szCs w:val="24"/>
        </w:rPr>
        <w:t xml:space="preserve"> that "no additional risks have been identified" does not need to be made by </w:t>
      </w:r>
      <w:proofErr w:type="gramStart"/>
      <w:r w:rsidRPr="00AA4677">
        <w:rPr>
          <w:rFonts w:eastAsia="Times New Roman" w:cs="Times New Roman"/>
          <w:szCs w:val="24"/>
        </w:rPr>
        <w:t xml:space="preserve">the convened </w:t>
      </w:r>
      <w:r w:rsidR="00C60DBC" w:rsidRPr="00AA4677">
        <w:rPr>
          <w:rFonts w:eastAsia="Times New Roman" w:cs="Times New Roman"/>
          <w:szCs w:val="24"/>
        </w:rPr>
        <w:t>the</w:t>
      </w:r>
      <w:proofErr w:type="gramEnd"/>
      <w:r w:rsidR="00C60DBC"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w:t>
      </w:r>
    </w:p>
    <w:p w14:paraId="4D97D74E" w14:textId="1334F459" w:rsidR="003E7C9E" w:rsidRPr="00AA4677" w:rsidRDefault="003E7C9E" w:rsidP="00C57C98">
      <w:pPr>
        <w:pStyle w:val="Heading3"/>
      </w:pPr>
      <w:r w:rsidRPr="00AA4677">
        <w:t xml:space="preserve">3.6.2 Materials to be </w:t>
      </w:r>
      <w:r w:rsidR="009A684D" w:rsidRPr="00AA4677">
        <w:t>Submitted</w:t>
      </w:r>
      <w:r w:rsidRPr="00AA4677">
        <w:t xml:space="preserve"> </w:t>
      </w:r>
      <w:r w:rsidR="00C60DBC" w:rsidRPr="00AA4677">
        <w:t xml:space="preserve">for </w:t>
      </w:r>
      <w:r w:rsidR="00EE7207" w:rsidRPr="00AA4677">
        <w:t>IRB</w:t>
      </w:r>
      <w:r w:rsidRPr="00AA4677">
        <w:t xml:space="preserve"> Expedited</w:t>
      </w:r>
      <w:r w:rsidR="00923041" w:rsidRPr="00AA4677">
        <w:t xml:space="preserve"> /Limited</w:t>
      </w:r>
      <w:r w:rsidRPr="00AA4677">
        <w:t xml:space="preserve"> Review</w:t>
      </w:r>
    </w:p>
    <w:p w14:paraId="552B9810" w14:textId="7A4DE4D0"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following summarize</w:t>
      </w:r>
      <w:r w:rsidR="00CA30D4" w:rsidRPr="00AA4677">
        <w:rPr>
          <w:rFonts w:eastAsia="Times New Roman" w:cs="Times New Roman"/>
          <w:szCs w:val="24"/>
        </w:rPr>
        <w:t>s</w:t>
      </w:r>
      <w:r w:rsidRPr="00AA4677">
        <w:rPr>
          <w:rFonts w:eastAsia="Times New Roman" w:cs="Times New Roman"/>
          <w:szCs w:val="24"/>
        </w:rPr>
        <w:t xml:space="preserve"> the document requirements for submission to </w:t>
      </w:r>
      <w:r w:rsidR="00EF4A2A"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w:t>
      </w:r>
    </w:p>
    <w:p w14:paraId="3FDECF30" w14:textId="4433AA8F" w:rsidR="00172791" w:rsidRPr="00AA4677" w:rsidRDefault="003B467C" w:rsidP="008337B3">
      <w:pPr>
        <w:shd w:val="clear" w:color="auto" w:fill="FFFFFF"/>
        <w:spacing w:after="0" w:line="240" w:lineRule="auto"/>
        <w:rPr>
          <w:rFonts w:eastAsia="Times New Roman" w:cs="Times New Roman"/>
          <w:szCs w:val="24"/>
        </w:rPr>
      </w:pPr>
      <w:r w:rsidRPr="00AA4677">
        <w:rPr>
          <w:b/>
        </w:rPr>
        <w:t>For initial submissions</w:t>
      </w:r>
      <w:r w:rsidR="00CA30D4" w:rsidRPr="00AA4677">
        <w:rPr>
          <w:b/>
        </w:rPr>
        <w:t xml:space="preserve">:  </w:t>
      </w:r>
    </w:p>
    <w:p w14:paraId="61BF3A4E" w14:textId="18B76697" w:rsidR="00172791" w:rsidRPr="00AA4677" w:rsidRDefault="00172791" w:rsidP="00EF3973">
      <w:pPr>
        <w:shd w:val="clear" w:color="auto" w:fill="FFFFFF"/>
        <w:spacing w:after="0" w:line="240" w:lineRule="auto"/>
        <w:rPr>
          <w:rFonts w:eastAsia="Times New Roman" w:cs="Times New Roman"/>
          <w:szCs w:val="24"/>
        </w:rPr>
      </w:pPr>
      <w:r w:rsidRPr="00AA4677">
        <w:rPr>
          <w:rFonts w:eastAsia="Times New Roman" w:cs="Times New Roman"/>
          <w:szCs w:val="24"/>
        </w:rPr>
        <w:t>Application</w:t>
      </w:r>
      <w:r w:rsidR="00923041" w:rsidRPr="00AA4677">
        <w:rPr>
          <w:rFonts w:eastAsia="Times New Roman" w:cs="Times New Roman"/>
          <w:szCs w:val="24"/>
        </w:rPr>
        <w:t xml:space="preserve"> form</w:t>
      </w:r>
      <w:r w:rsidR="00CA30D4" w:rsidRPr="00AA4677">
        <w:rPr>
          <w:rFonts w:eastAsia="Times New Roman" w:cs="Times New Roman"/>
          <w:szCs w:val="24"/>
        </w:rPr>
        <w:t xml:space="preserve"> </w:t>
      </w:r>
    </w:p>
    <w:p w14:paraId="2149503E" w14:textId="42807000" w:rsidR="00172791" w:rsidRPr="00AA4677" w:rsidRDefault="00172791" w:rsidP="00EF3973">
      <w:pPr>
        <w:shd w:val="clear" w:color="auto" w:fill="FFFFFF"/>
        <w:spacing w:after="0" w:line="240" w:lineRule="auto"/>
        <w:rPr>
          <w:rFonts w:eastAsia="Times New Roman" w:cs="Times New Roman"/>
          <w:szCs w:val="24"/>
        </w:rPr>
      </w:pPr>
      <w:r w:rsidRPr="00AA4677">
        <w:rPr>
          <w:rFonts w:eastAsia="Times New Roman" w:cs="Times New Roman"/>
          <w:szCs w:val="24"/>
        </w:rPr>
        <w:t>Study protocol</w:t>
      </w:r>
    </w:p>
    <w:p w14:paraId="2CE511E3" w14:textId="07ADDD79" w:rsidR="00030EA8" w:rsidRPr="00AA4677" w:rsidRDefault="00030EA8" w:rsidP="00EF3973">
      <w:pPr>
        <w:shd w:val="clear" w:color="auto" w:fill="FFFFFF"/>
        <w:spacing w:after="0" w:line="240" w:lineRule="auto"/>
        <w:rPr>
          <w:rFonts w:eastAsia="Times New Roman" w:cs="Times New Roman"/>
          <w:szCs w:val="24"/>
        </w:rPr>
      </w:pPr>
      <w:r w:rsidRPr="00AA4677">
        <w:rPr>
          <w:rFonts w:eastAsia="Times New Roman" w:cs="Times New Roman"/>
          <w:szCs w:val="24"/>
        </w:rPr>
        <w:t>Consent/permission/assent documents</w:t>
      </w:r>
    </w:p>
    <w:p w14:paraId="6AEC0B87" w14:textId="58D034AD" w:rsidR="00030EA8" w:rsidRPr="00AA4677" w:rsidRDefault="00030EA8" w:rsidP="00EF3973">
      <w:pPr>
        <w:shd w:val="clear" w:color="auto" w:fill="FFFFFF"/>
        <w:spacing w:after="0" w:line="240" w:lineRule="auto"/>
        <w:rPr>
          <w:rFonts w:eastAsia="Times New Roman" w:cs="Times New Roman"/>
          <w:szCs w:val="24"/>
        </w:rPr>
      </w:pPr>
      <w:r w:rsidRPr="00AA4677">
        <w:rPr>
          <w:rFonts w:eastAsia="Times New Roman" w:cs="Times New Roman"/>
          <w:szCs w:val="24"/>
        </w:rPr>
        <w:t>Recruitment materials</w:t>
      </w:r>
    </w:p>
    <w:p w14:paraId="4D8740DD" w14:textId="069DE03B" w:rsidR="00030EA8" w:rsidRPr="00AA4677" w:rsidRDefault="00030EA8" w:rsidP="00EF3973">
      <w:pPr>
        <w:shd w:val="clear" w:color="auto" w:fill="FFFFFF"/>
        <w:spacing w:after="0" w:line="240" w:lineRule="auto"/>
        <w:rPr>
          <w:rFonts w:eastAsia="Times New Roman" w:cs="Times New Roman"/>
          <w:szCs w:val="24"/>
        </w:rPr>
      </w:pPr>
      <w:r w:rsidRPr="00AA4677">
        <w:rPr>
          <w:rFonts w:eastAsia="Times New Roman" w:cs="Times New Roman"/>
          <w:szCs w:val="24"/>
        </w:rPr>
        <w:t>Data collection sheets (e.g., spreadsheets, case report forms)</w:t>
      </w:r>
    </w:p>
    <w:p w14:paraId="4681BB3F" w14:textId="4C004E00" w:rsidR="00030EA8" w:rsidRPr="00AA4677" w:rsidRDefault="00030EA8" w:rsidP="00EF3973">
      <w:pPr>
        <w:shd w:val="clear" w:color="auto" w:fill="FFFFFF"/>
        <w:spacing w:after="0" w:line="240" w:lineRule="auto"/>
        <w:rPr>
          <w:rFonts w:eastAsia="Times New Roman" w:cs="Times New Roman"/>
          <w:szCs w:val="24"/>
        </w:rPr>
      </w:pPr>
      <w:r w:rsidRPr="00AA4677">
        <w:rPr>
          <w:rFonts w:eastAsia="Times New Roman" w:cs="Times New Roman"/>
          <w:szCs w:val="24"/>
        </w:rPr>
        <w:t>Surveys, questionnaires</w:t>
      </w:r>
    </w:p>
    <w:p w14:paraId="1E1E35FA" w14:textId="7256ECA7" w:rsidR="00030EA8" w:rsidRPr="00AA4677" w:rsidRDefault="00030EA8" w:rsidP="00EF3973">
      <w:pPr>
        <w:shd w:val="clear" w:color="auto" w:fill="FFFFFF"/>
        <w:spacing w:after="0" w:line="240" w:lineRule="auto"/>
        <w:rPr>
          <w:rFonts w:eastAsia="Times New Roman" w:cs="Times New Roman"/>
          <w:szCs w:val="24"/>
        </w:rPr>
      </w:pPr>
      <w:r w:rsidRPr="00AA4677">
        <w:rPr>
          <w:rFonts w:eastAsia="Times New Roman" w:cs="Times New Roman"/>
          <w:szCs w:val="24"/>
        </w:rPr>
        <w:t>As applicable:</w:t>
      </w:r>
    </w:p>
    <w:p w14:paraId="2D62CDDD" w14:textId="5F9BAD5F" w:rsidR="00172791" w:rsidRPr="00AA4677" w:rsidRDefault="00172791" w:rsidP="00EF3973">
      <w:pPr>
        <w:shd w:val="clear" w:color="auto" w:fill="FFFFFF"/>
        <w:spacing w:after="0" w:line="240" w:lineRule="auto"/>
        <w:ind w:left="720"/>
        <w:rPr>
          <w:rFonts w:eastAsia="Times New Roman" w:cs="Times New Roman"/>
          <w:szCs w:val="24"/>
        </w:rPr>
      </w:pPr>
      <w:r w:rsidRPr="00AA4677">
        <w:rPr>
          <w:rFonts w:eastAsia="Times New Roman" w:cs="Times New Roman"/>
          <w:szCs w:val="24"/>
        </w:rPr>
        <w:t>Supplemental Forms</w:t>
      </w:r>
      <w:r w:rsidR="00030EA8" w:rsidRPr="00AA4677">
        <w:rPr>
          <w:rFonts w:eastAsia="Times New Roman" w:cs="Times New Roman"/>
          <w:szCs w:val="24"/>
        </w:rPr>
        <w:t>:</w:t>
      </w:r>
    </w:p>
    <w:p w14:paraId="06F7BE30" w14:textId="39FC8673" w:rsidR="00172791" w:rsidRPr="00AA4677" w:rsidRDefault="00172791">
      <w:pPr>
        <w:pStyle w:val="ListParagraph"/>
        <w:numPr>
          <w:ilvl w:val="2"/>
          <w:numId w:val="287"/>
        </w:numPr>
        <w:shd w:val="clear" w:color="auto" w:fill="FFFFFF"/>
        <w:spacing w:after="0" w:line="240" w:lineRule="auto"/>
        <w:ind w:left="1080"/>
        <w:rPr>
          <w:rFonts w:eastAsia="Times New Roman" w:cs="Times New Roman"/>
          <w:szCs w:val="24"/>
        </w:rPr>
      </w:pPr>
      <w:r w:rsidRPr="00AA4677">
        <w:rPr>
          <w:rFonts w:eastAsia="Times New Roman" w:cs="Times New Roman"/>
          <w:szCs w:val="24"/>
        </w:rPr>
        <w:t>A: Pregnant Women, Fetuses, Non and Questionably Viable Neonates</w:t>
      </w:r>
    </w:p>
    <w:p w14:paraId="1A106342" w14:textId="5D82E024" w:rsidR="00172791" w:rsidRPr="00AA4677" w:rsidRDefault="00172791">
      <w:pPr>
        <w:pStyle w:val="ListParagraph"/>
        <w:numPr>
          <w:ilvl w:val="2"/>
          <w:numId w:val="287"/>
        </w:numPr>
        <w:shd w:val="clear" w:color="auto" w:fill="FFFFFF"/>
        <w:spacing w:after="0" w:line="240" w:lineRule="auto"/>
        <w:ind w:left="1080"/>
        <w:rPr>
          <w:rFonts w:eastAsia="Times New Roman" w:cs="Times New Roman"/>
          <w:szCs w:val="24"/>
        </w:rPr>
      </w:pPr>
      <w:r w:rsidRPr="00AA4677">
        <w:rPr>
          <w:rFonts w:eastAsia="Times New Roman" w:cs="Times New Roman"/>
          <w:szCs w:val="24"/>
        </w:rPr>
        <w:t>B: Prisoners</w:t>
      </w:r>
    </w:p>
    <w:p w14:paraId="27BECB1D" w14:textId="71DEE3D6" w:rsidR="00172791" w:rsidRPr="00AA4677" w:rsidRDefault="00172791">
      <w:pPr>
        <w:pStyle w:val="ListParagraph"/>
        <w:numPr>
          <w:ilvl w:val="2"/>
          <w:numId w:val="287"/>
        </w:numPr>
        <w:shd w:val="clear" w:color="auto" w:fill="FFFFFF"/>
        <w:spacing w:after="0" w:line="240" w:lineRule="auto"/>
        <w:ind w:left="1080"/>
        <w:rPr>
          <w:rFonts w:eastAsia="Times New Roman" w:cs="Times New Roman"/>
          <w:szCs w:val="24"/>
        </w:rPr>
      </w:pPr>
      <w:r w:rsidRPr="00AA4677">
        <w:rPr>
          <w:rFonts w:eastAsia="Times New Roman" w:cs="Times New Roman"/>
          <w:szCs w:val="24"/>
        </w:rPr>
        <w:t>C: International Research</w:t>
      </w:r>
    </w:p>
    <w:p w14:paraId="5134CE65" w14:textId="7DEF9AC2" w:rsidR="00172791" w:rsidRPr="00AA4677" w:rsidRDefault="00172791">
      <w:pPr>
        <w:pStyle w:val="ListParagraph"/>
        <w:numPr>
          <w:ilvl w:val="2"/>
          <w:numId w:val="287"/>
        </w:numPr>
        <w:shd w:val="clear" w:color="auto" w:fill="FFFFFF"/>
        <w:spacing w:after="0" w:line="240" w:lineRule="auto"/>
        <w:ind w:left="1080"/>
        <w:rPr>
          <w:rFonts w:eastAsia="Times New Roman" w:cs="Times New Roman"/>
          <w:szCs w:val="24"/>
        </w:rPr>
      </w:pPr>
      <w:r w:rsidRPr="00AA4677">
        <w:rPr>
          <w:rFonts w:eastAsia="Times New Roman" w:cs="Times New Roman"/>
          <w:szCs w:val="24"/>
        </w:rPr>
        <w:t>D: ICH-GCP</w:t>
      </w:r>
    </w:p>
    <w:p w14:paraId="0ED78AAC" w14:textId="633E00EB" w:rsidR="00172791" w:rsidRPr="00AA4677" w:rsidRDefault="00172791">
      <w:pPr>
        <w:pStyle w:val="ListParagraph"/>
        <w:numPr>
          <w:ilvl w:val="2"/>
          <w:numId w:val="287"/>
        </w:numPr>
        <w:shd w:val="clear" w:color="auto" w:fill="FFFFFF"/>
        <w:spacing w:after="0" w:line="240" w:lineRule="auto"/>
        <w:ind w:left="1080"/>
        <w:rPr>
          <w:rFonts w:eastAsia="Times New Roman" w:cs="Times New Roman"/>
          <w:szCs w:val="24"/>
        </w:rPr>
      </w:pPr>
      <w:r w:rsidRPr="00AA4677">
        <w:rPr>
          <w:rFonts w:eastAsia="Times New Roman" w:cs="Times New Roman"/>
          <w:szCs w:val="24"/>
        </w:rPr>
        <w:t>E: Minors</w:t>
      </w:r>
    </w:p>
    <w:p w14:paraId="6C11001B" w14:textId="5CB633FA" w:rsidR="00172791" w:rsidRPr="00AA4677" w:rsidRDefault="00172791">
      <w:pPr>
        <w:pStyle w:val="ListParagraph"/>
        <w:numPr>
          <w:ilvl w:val="2"/>
          <w:numId w:val="287"/>
        </w:numPr>
        <w:shd w:val="clear" w:color="auto" w:fill="FFFFFF"/>
        <w:spacing w:after="0" w:line="240" w:lineRule="auto"/>
        <w:ind w:left="1080"/>
        <w:rPr>
          <w:rFonts w:eastAsia="Times New Roman" w:cs="Times New Roman"/>
          <w:szCs w:val="24"/>
        </w:rPr>
      </w:pPr>
      <w:r w:rsidRPr="00AA4677">
        <w:rPr>
          <w:rFonts w:eastAsia="Times New Roman" w:cs="Times New Roman"/>
          <w:szCs w:val="24"/>
        </w:rPr>
        <w:t>G: Consent Waivers</w:t>
      </w:r>
    </w:p>
    <w:p w14:paraId="6A32C4B5" w14:textId="0D4031FE" w:rsidR="00030EA8" w:rsidRPr="00AA4677" w:rsidRDefault="00030EA8" w:rsidP="00EF3973">
      <w:pPr>
        <w:shd w:val="clear" w:color="auto" w:fill="FFFFFF"/>
        <w:spacing w:after="0" w:line="240" w:lineRule="auto"/>
        <w:ind w:left="720"/>
        <w:rPr>
          <w:rFonts w:eastAsia="Times New Roman" w:cs="Times New Roman"/>
          <w:szCs w:val="24"/>
        </w:rPr>
      </w:pPr>
      <w:r w:rsidRPr="00AA4677">
        <w:rPr>
          <w:rFonts w:eastAsia="Times New Roman" w:cs="Times New Roman"/>
          <w:szCs w:val="24"/>
        </w:rPr>
        <w:t xml:space="preserve">HIPAA forms </w:t>
      </w:r>
    </w:p>
    <w:p w14:paraId="0BC1A607" w14:textId="77777777" w:rsidR="00030EA8" w:rsidRPr="00AA4677" w:rsidRDefault="00030EA8" w:rsidP="00EF3973">
      <w:pPr>
        <w:shd w:val="clear" w:color="auto" w:fill="FFFFFF"/>
        <w:spacing w:after="0" w:line="240" w:lineRule="auto"/>
        <w:ind w:left="720"/>
        <w:rPr>
          <w:rFonts w:eastAsia="Times New Roman" w:cs="Times New Roman"/>
          <w:szCs w:val="24"/>
        </w:rPr>
      </w:pPr>
      <w:r w:rsidRPr="00AA4677">
        <w:rPr>
          <w:rFonts w:eastAsia="Times New Roman" w:cs="Times New Roman"/>
          <w:szCs w:val="24"/>
        </w:rPr>
        <w:t>University Hospital Approval form</w:t>
      </w:r>
    </w:p>
    <w:p w14:paraId="4A7A055F" w14:textId="7100DB19" w:rsidR="00030EA8" w:rsidRPr="00AA4677" w:rsidRDefault="00030EA8" w:rsidP="00EF3973">
      <w:pPr>
        <w:shd w:val="clear" w:color="auto" w:fill="FFFFFF"/>
        <w:spacing w:after="0" w:line="240" w:lineRule="auto"/>
        <w:ind w:left="720"/>
        <w:rPr>
          <w:rFonts w:eastAsia="Times New Roman" w:cs="Times New Roman"/>
          <w:szCs w:val="24"/>
        </w:rPr>
      </w:pPr>
      <w:r w:rsidRPr="00AA4677">
        <w:rPr>
          <w:rFonts w:eastAsia="Times New Roman" w:cs="Times New Roman"/>
          <w:szCs w:val="24"/>
        </w:rPr>
        <w:t xml:space="preserve">Protocol Review Committee (PRC) Approval (oncology studies only) </w:t>
      </w:r>
    </w:p>
    <w:p w14:paraId="56114B7C" w14:textId="36CA369C" w:rsidR="00030EA8" w:rsidRPr="00AA4677" w:rsidRDefault="00030EA8" w:rsidP="00EF3973">
      <w:pPr>
        <w:shd w:val="clear" w:color="auto" w:fill="FFFFFF"/>
        <w:spacing w:after="0" w:line="240" w:lineRule="auto"/>
        <w:ind w:left="720"/>
        <w:rPr>
          <w:rFonts w:eastAsia="Times New Roman" w:cs="Times New Roman"/>
          <w:szCs w:val="24"/>
        </w:rPr>
      </w:pPr>
      <w:r w:rsidRPr="00AA4677">
        <w:rPr>
          <w:rFonts w:eastAsia="Times New Roman" w:cs="Times New Roman"/>
          <w:szCs w:val="24"/>
        </w:rPr>
        <w:t>Fee authorization form (for industry studies going to CRRI)</w:t>
      </w:r>
    </w:p>
    <w:p w14:paraId="4154D150" w14:textId="35CDB56E" w:rsidR="00CA30D4" w:rsidRPr="00AA4677" w:rsidRDefault="00CA30D4" w:rsidP="00EF3973">
      <w:pPr>
        <w:shd w:val="clear" w:color="auto" w:fill="FFFFFF"/>
        <w:spacing w:after="0" w:line="240" w:lineRule="auto"/>
        <w:ind w:left="720"/>
        <w:rPr>
          <w:rFonts w:eastAsia="Times New Roman" w:cs="Times New Roman"/>
          <w:szCs w:val="24"/>
        </w:rPr>
      </w:pPr>
      <w:r w:rsidRPr="00AA4677">
        <w:rPr>
          <w:rFonts w:eastAsia="Times New Roman" w:cs="Times New Roman"/>
          <w:szCs w:val="24"/>
        </w:rPr>
        <w:t xml:space="preserve">Scientific merit review (for industry studies going to CRRI or NCI CIRB) </w:t>
      </w:r>
    </w:p>
    <w:p w14:paraId="05B95711" w14:textId="051DFAC8" w:rsidR="00341A8F" w:rsidRPr="00AA4677" w:rsidRDefault="00341A8F" w:rsidP="00EF3973">
      <w:pPr>
        <w:shd w:val="clear" w:color="auto" w:fill="FFFFFF"/>
        <w:spacing w:after="0" w:line="240" w:lineRule="auto"/>
        <w:ind w:firstLine="720"/>
        <w:rPr>
          <w:rFonts w:eastAsia="Times New Roman" w:cs="Times New Roman"/>
          <w:szCs w:val="24"/>
        </w:rPr>
      </w:pPr>
      <w:r w:rsidRPr="00AA4677">
        <w:rPr>
          <w:rFonts w:eastAsia="Times New Roman" w:cs="Times New Roman"/>
          <w:szCs w:val="24"/>
        </w:rPr>
        <w:t>Inclusion/exclusion checklist (if requested by IRB reviewer)</w:t>
      </w:r>
    </w:p>
    <w:p w14:paraId="306AA143" w14:textId="77777777" w:rsidR="00341A8F" w:rsidRPr="00AA4677" w:rsidRDefault="00341A8F" w:rsidP="008337B3">
      <w:pPr>
        <w:shd w:val="clear" w:color="auto" w:fill="FFFFFF"/>
        <w:spacing w:after="0" w:line="240" w:lineRule="auto"/>
        <w:ind w:left="1440"/>
        <w:rPr>
          <w:rFonts w:eastAsia="Times New Roman" w:cs="Times New Roman"/>
          <w:szCs w:val="24"/>
        </w:rPr>
      </w:pPr>
    </w:p>
    <w:p w14:paraId="616E6B38" w14:textId="01DD9120" w:rsidR="003B467C" w:rsidRPr="00AA4677" w:rsidRDefault="003B467C" w:rsidP="003B467C">
      <w:pPr>
        <w:shd w:val="clear" w:color="auto" w:fill="FFFFFF"/>
        <w:spacing w:after="0" w:line="240" w:lineRule="auto"/>
        <w:rPr>
          <w:rFonts w:eastAsia="Times New Roman" w:cs="Times New Roman"/>
          <w:b/>
          <w:szCs w:val="24"/>
        </w:rPr>
      </w:pPr>
      <w:r w:rsidRPr="00AA4677">
        <w:rPr>
          <w:b/>
        </w:rPr>
        <w:t>For continuing review submissions</w:t>
      </w:r>
      <w:r w:rsidR="006A69D1" w:rsidRPr="00AA4677">
        <w:rPr>
          <w:b/>
        </w:rPr>
        <w:t xml:space="preserve"> (If continuing review applies)</w:t>
      </w:r>
      <w:r w:rsidRPr="00AA4677">
        <w:rPr>
          <w:b/>
        </w:rPr>
        <w:t xml:space="preserve">:  </w:t>
      </w:r>
    </w:p>
    <w:p w14:paraId="51FD740E" w14:textId="77777777" w:rsidR="00EE02D9" w:rsidRPr="00AA4677" w:rsidRDefault="00EE02D9" w:rsidP="00EE02D9">
      <w:pPr>
        <w:shd w:val="clear" w:color="auto" w:fill="FFFFFF"/>
        <w:spacing w:after="0" w:line="240" w:lineRule="auto"/>
        <w:rPr>
          <w:rFonts w:eastAsia="Times New Roman" w:cs="Times New Roman"/>
          <w:szCs w:val="24"/>
        </w:rPr>
      </w:pPr>
      <w:r w:rsidRPr="00AA4677">
        <w:rPr>
          <w:rFonts w:eastAsia="Times New Roman" w:cs="Times New Roman"/>
          <w:szCs w:val="24"/>
        </w:rPr>
        <w:t xml:space="preserve">Registration Form and /or Application </w:t>
      </w:r>
    </w:p>
    <w:p w14:paraId="035A1FC5" w14:textId="77777777" w:rsidR="00EE02D9" w:rsidRPr="00AA4677" w:rsidRDefault="00EE02D9" w:rsidP="00EE02D9">
      <w:pPr>
        <w:shd w:val="clear" w:color="auto" w:fill="FFFFFF"/>
        <w:spacing w:after="0" w:line="240" w:lineRule="auto"/>
        <w:rPr>
          <w:rFonts w:eastAsia="Times New Roman" w:cs="Times New Roman"/>
          <w:szCs w:val="24"/>
        </w:rPr>
      </w:pPr>
      <w:r w:rsidRPr="00AA4677">
        <w:rPr>
          <w:rFonts w:eastAsia="Times New Roman" w:cs="Times New Roman"/>
          <w:szCs w:val="24"/>
        </w:rPr>
        <w:t>Study protocol</w:t>
      </w:r>
    </w:p>
    <w:p w14:paraId="33818483" w14:textId="77777777" w:rsidR="00EE02D9" w:rsidRPr="00AA4677" w:rsidRDefault="00EE02D9" w:rsidP="00EE02D9">
      <w:pPr>
        <w:shd w:val="clear" w:color="auto" w:fill="FFFFFF"/>
        <w:spacing w:after="0" w:line="240" w:lineRule="auto"/>
        <w:rPr>
          <w:rFonts w:eastAsia="Times New Roman" w:cs="Times New Roman"/>
          <w:szCs w:val="24"/>
        </w:rPr>
      </w:pPr>
      <w:r w:rsidRPr="00AA4677">
        <w:rPr>
          <w:rFonts w:eastAsia="Times New Roman" w:cs="Times New Roman"/>
          <w:szCs w:val="24"/>
        </w:rPr>
        <w:t>Recruitment materials</w:t>
      </w:r>
    </w:p>
    <w:p w14:paraId="0AC5550F" w14:textId="77777777" w:rsidR="00EE02D9" w:rsidRPr="00AA4677" w:rsidRDefault="00EE02D9" w:rsidP="00EE02D9">
      <w:pPr>
        <w:shd w:val="clear" w:color="auto" w:fill="FFFFFF"/>
        <w:spacing w:after="0" w:line="240" w:lineRule="auto"/>
        <w:rPr>
          <w:rFonts w:eastAsia="Times New Roman" w:cs="Times New Roman"/>
          <w:szCs w:val="24"/>
        </w:rPr>
      </w:pPr>
      <w:r w:rsidRPr="00AA4677">
        <w:rPr>
          <w:rFonts w:eastAsia="Times New Roman" w:cs="Times New Roman"/>
          <w:szCs w:val="24"/>
        </w:rPr>
        <w:t>Current and/or proposed consent</w:t>
      </w:r>
    </w:p>
    <w:p w14:paraId="4F5CCE28" w14:textId="77777777" w:rsidR="00EE02D9" w:rsidRPr="00AA4677" w:rsidRDefault="00EE02D9" w:rsidP="00EE02D9">
      <w:pPr>
        <w:shd w:val="clear" w:color="auto" w:fill="FFFFFF"/>
        <w:spacing w:after="0" w:line="240" w:lineRule="auto"/>
        <w:rPr>
          <w:rFonts w:eastAsia="Times New Roman" w:cs="Times New Roman"/>
          <w:szCs w:val="24"/>
        </w:rPr>
      </w:pPr>
      <w:r w:rsidRPr="00AA4677">
        <w:rPr>
          <w:rFonts w:eastAsia="Times New Roman" w:cs="Times New Roman"/>
          <w:szCs w:val="24"/>
        </w:rPr>
        <w:t>Previously approved protocol modifications</w:t>
      </w:r>
    </w:p>
    <w:p w14:paraId="365DA6BA" w14:textId="77777777" w:rsidR="00EE02D9" w:rsidRPr="00AA4677" w:rsidRDefault="00EE02D9" w:rsidP="00EE02D9">
      <w:pPr>
        <w:shd w:val="clear" w:color="auto" w:fill="FFFFFF"/>
        <w:spacing w:after="0" w:line="240" w:lineRule="auto"/>
        <w:rPr>
          <w:rFonts w:eastAsia="Times New Roman" w:cstheme="minorHAnsi"/>
          <w:szCs w:val="24"/>
        </w:rPr>
      </w:pPr>
      <w:r w:rsidRPr="00AA4677">
        <w:rPr>
          <w:rFonts w:eastAsia="Times New Roman" w:cs="Times New Roman"/>
          <w:szCs w:val="24"/>
        </w:rPr>
        <w:t xml:space="preserve">Redacted </w:t>
      </w:r>
      <w:r w:rsidRPr="00AA4677">
        <w:rPr>
          <w:rFonts w:eastAsia="Times New Roman" w:cstheme="minorHAnsi"/>
          <w:szCs w:val="24"/>
        </w:rPr>
        <w:t>consent/permission/assent documents of last subject enrolled</w:t>
      </w:r>
    </w:p>
    <w:p w14:paraId="41D21160" w14:textId="77777777" w:rsidR="00EE02D9" w:rsidRPr="00AA4677" w:rsidRDefault="00EE02D9">
      <w:pPr>
        <w:pStyle w:val="ListParagraph"/>
        <w:numPr>
          <w:ilvl w:val="2"/>
          <w:numId w:val="284"/>
        </w:numPr>
        <w:shd w:val="clear" w:color="auto" w:fill="FFFFFF"/>
        <w:spacing w:after="0" w:line="240" w:lineRule="auto"/>
        <w:ind w:left="360"/>
        <w:rPr>
          <w:rFonts w:eastAsia="Times New Roman" w:cstheme="minorHAnsi"/>
          <w:szCs w:val="24"/>
        </w:rPr>
      </w:pPr>
      <w:r w:rsidRPr="00AA4677">
        <w:rPr>
          <w:rFonts w:eastAsia="Times New Roman" w:cstheme="minorHAnsi"/>
          <w:szCs w:val="24"/>
        </w:rPr>
        <w:t>Inclusion/exclusion checklist (clean, current)</w:t>
      </w:r>
    </w:p>
    <w:p w14:paraId="32F1679E" w14:textId="77777777" w:rsidR="00EE02D9" w:rsidRPr="00AA4677" w:rsidRDefault="00EE02D9">
      <w:pPr>
        <w:pStyle w:val="ListParagraph"/>
        <w:numPr>
          <w:ilvl w:val="2"/>
          <w:numId w:val="284"/>
        </w:numPr>
        <w:shd w:val="clear" w:color="auto" w:fill="FFFFFF"/>
        <w:spacing w:after="0" w:line="240" w:lineRule="auto"/>
        <w:ind w:left="360"/>
        <w:rPr>
          <w:rFonts w:eastAsia="Times New Roman" w:cstheme="minorHAnsi"/>
          <w:szCs w:val="24"/>
        </w:rPr>
      </w:pPr>
      <w:r w:rsidRPr="00AA4677">
        <w:rPr>
          <w:rFonts w:eastAsia="Times New Roman" w:cstheme="minorHAnsi"/>
          <w:szCs w:val="24"/>
        </w:rPr>
        <w:t xml:space="preserve">Redacted I/E checklist of last subject enrolled  </w:t>
      </w:r>
    </w:p>
    <w:p w14:paraId="7220E6C5" w14:textId="77777777" w:rsidR="00EE02D9" w:rsidRPr="00AA4677" w:rsidRDefault="00EE02D9" w:rsidP="00EE02D9">
      <w:pPr>
        <w:shd w:val="clear" w:color="auto" w:fill="FFFFFF"/>
        <w:spacing w:after="0" w:line="240" w:lineRule="auto"/>
        <w:rPr>
          <w:rFonts w:eastAsia="Times New Roman" w:cstheme="minorHAnsi"/>
          <w:szCs w:val="24"/>
        </w:rPr>
      </w:pPr>
      <w:r w:rsidRPr="00AA4677">
        <w:rPr>
          <w:rFonts w:eastAsia="Times New Roman" w:cstheme="minorHAnsi"/>
          <w:szCs w:val="24"/>
        </w:rPr>
        <w:lastRenderedPageBreak/>
        <w:t>As applicable:</w:t>
      </w:r>
    </w:p>
    <w:p w14:paraId="7342139E" w14:textId="77777777" w:rsidR="00EE02D9" w:rsidRPr="00AA4677" w:rsidRDefault="00EE02D9">
      <w:pPr>
        <w:pStyle w:val="ListParagraph"/>
        <w:numPr>
          <w:ilvl w:val="2"/>
          <w:numId w:val="285"/>
        </w:numPr>
        <w:shd w:val="clear" w:color="auto" w:fill="FFFFFF"/>
        <w:spacing w:after="0" w:line="240" w:lineRule="auto"/>
        <w:ind w:left="720"/>
        <w:rPr>
          <w:rFonts w:eastAsia="Times New Roman" w:cstheme="minorHAnsi"/>
          <w:szCs w:val="24"/>
        </w:rPr>
      </w:pPr>
      <w:r w:rsidRPr="00AA4677">
        <w:rPr>
          <w:rFonts w:eastAsia="Times New Roman" w:cstheme="minorHAnsi"/>
          <w:szCs w:val="24"/>
        </w:rPr>
        <w:t>Data safety monitoring board reports</w:t>
      </w:r>
    </w:p>
    <w:p w14:paraId="48F77E92" w14:textId="77777777" w:rsidR="00EE02D9" w:rsidRPr="00AA4677" w:rsidRDefault="00EE02D9">
      <w:pPr>
        <w:pStyle w:val="ListParagraph"/>
        <w:numPr>
          <w:ilvl w:val="2"/>
          <w:numId w:val="285"/>
        </w:numPr>
        <w:shd w:val="clear" w:color="auto" w:fill="FFFFFF"/>
        <w:spacing w:after="0" w:line="240" w:lineRule="auto"/>
        <w:ind w:left="720"/>
        <w:rPr>
          <w:rFonts w:eastAsia="Times New Roman" w:cstheme="minorHAnsi"/>
          <w:szCs w:val="24"/>
        </w:rPr>
      </w:pPr>
      <w:r w:rsidRPr="00AA4677">
        <w:rPr>
          <w:rFonts w:eastAsia="Times New Roman" w:cstheme="minorHAnsi"/>
          <w:szCs w:val="24"/>
        </w:rPr>
        <w:t>Gov’t or sponsor audit/monitoring reports</w:t>
      </w:r>
    </w:p>
    <w:p w14:paraId="59BF8FB6" w14:textId="77777777" w:rsidR="00EE02D9" w:rsidRPr="00AA4677" w:rsidRDefault="00EE02D9" w:rsidP="00EE02D9">
      <w:pPr>
        <w:pStyle w:val="Bullet2"/>
        <w:numPr>
          <w:ilvl w:val="0"/>
          <w:numId w:val="0"/>
        </w:numPr>
        <w:tabs>
          <w:tab w:val="clear" w:pos="1177"/>
          <w:tab w:val="clear" w:pos="2880"/>
        </w:tabs>
        <w:ind w:left="1080" w:hanging="360"/>
        <w:rPr>
          <w:rFonts w:asciiTheme="minorHAnsi" w:hAnsiTheme="minorHAnsi" w:cstheme="minorHAnsi"/>
        </w:rPr>
      </w:pPr>
      <w:r w:rsidRPr="00AA4677">
        <w:rPr>
          <w:rFonts w:asciiTheme="minorHAnsi" w:hAnsiTheme="minorHAnsi" w:cstheme="minorHAnsi"/>
        </w:rPr>
        <w:t>The status report on the progress of the research includes:</w:t>
      </w:r>
    </w:p>
    <w:p w14:paraId="24F92FCE" w14:textId="77777777" w:rsidR="00EE02D9" w:rsidRPr="00AA4677" w:rsidRDefault="00EE02D9">
      <w:pPr>
        <w:pStyle w:val="Bullet3"/>
        <w:numPr>
          <w:ilvl w:val="2"/>
          <w:numId w:val="87"/>
        </w:numPr>
        <w:tabs>
          <w:tab w:val="clear" w:pos="1800"/>
        </w:tabs>
        <w:ind w:left="1440"/>
        <w:rPr>
          <w:rFonts w:asciiTheme="minorHAnsi" w:hAnsiTheme="minorHAnsi" w:cstheme="minorHAnsi"/>
        </w:rPr>
      </w:pPr>
      <w:r w:rsidRPr="00AA4677">
        <w:rPr>
          <w:rFonts w:asciiTheme="minorHAnsi" w:hAnsiTheme="minorHAnsi" w:cstheme="minorHAnsi"/>
        </w:rPr>
        <w:t>The number of participants accrued.</w:t>
      </w:r>
    </w:p>
    <w:p w14:paraId="06ABC0E4" w14:textId="77777777" w:rsidR="00EE02D9" w:rsidRPr="00AA4677" w:rsidRDefault="00EE02D9">
      <w:pPr>
        <w:pStyle w:val="Bullet3"/>
        <w:numPr>
          <w:ilvl w:val="2"/>
          <w:numId w:val="87"/>
        </w:numPr>
        <w:tabs>
          <w:tab w:val="clear" w:pos="1800"/>
        </w:tabs>
        <w:ind w:left="1440"/>
        <w:rPr>
          <w:rFonts w:asciiTheme="minorHAnsi" w:hAnsiTheme="minorHAnsi" w:cstheme="minorHAnsi"/>
        </w:rPr>
      </w:pPr>
      <w:r w:rsidRPr="00AA4677">
        <w:rPr>
          <w:rFonts w:asciiTheme="minorHAnsi" w:hAnsiTheme="minorHAnsi" w:cstheme="minorHAnsi"/>
        </w:rPr>
        <w:t xml:space="preserve">A summary </w:t>
      </w:r>
      <w:proofErr w:type="gramStart"/>
      <w:r w:rsidRPr="00AA4677">
        <w:rPr>
          <w:rFonts w:asciiTheme="minorHAnsi" w:hAnsiTheme="minorHAnsi" w:cstheme="minorHAnsi"/>
        </w:rPr>
        <w:t>since</w:t>
      </w:r>
      <w:proofErr w:type="gramEnd"/>
      <w:r w:rsidRPr="00AA4677">
        <w:rPr>
          <w:rFonts w:asciiTheme="minorHAnsi" w:hAnsiTheme="minorHAnsi" w:cstheme="minorHAnsi"/>
        </w:rPr>
        <w:t xml:space="preserve"> the last IRB review of:</w:t>
      </w:r>
    </w:p>
    <w:p w14:paraId="06139025" w14:textId="77777777" w:rsidR="00EE02D9" w:rsidRPr="00AA4677" w:rsidRDefault="00EE02D9">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Adverse events and adverse outcomes experienced by participants.</w:t>
      </w:r>
    </w:p>
    <w:p w14:paraId="378DA074" w14:textId="77777777" w:rsidR="00EE02D9" w:rsidRPr="00AA4677" w:rsidRDefault="00EE02D9">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Unanticipated problems involving risks to participants or others.</w:t>
      </w:r>
    </w:p>
    <w:p w14:paraId="4F5140C8" w14:textId="77777777" w:rsidR="00EE02D9" w:rsidRPr="00AA4677" w:rsidRDefault="00EE02D9">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Participant withdrawals.</w:t>
      </w:r>
    </w:p>
    <w:p w14:paraId="7B2F0CCC" w14:textId="77777777" w:rsidR="00EE02D9" w:rsidRPr="00AA4677" w:rsidRDefault="00EE02D9">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The reasons for withdrawals.</w:t>
      </w:r>
    </w:p>
    <w:p w14:paraId="570AEDA3" w14:textId="77777777" w:rsidR="00EE02D9" w:rsidRPr="00AA4677" w:rsidRDefault="00EE02D9">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Complaints about the research.</w:t>
      </w:r>
    </w:p>
    <w:p w14:paraId="594B660C" w14:textId="77777777" w:rsidR="00EE02D9" w:rsidRPr="00AA4677" w:rsidRDefault="00EE02D9">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Amendments or modifications.</w:t>
      </w:r>
    </w:p>
    <w:p w14:paraId="3C96C06A" w14:textId="77777777" w:rsidR="00EE02D9" w:rsidRPr="00AA4677" w:rsidRDefault="00EE02D9">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Any relevant recent literature.</w:t>
      </w:r>
    </w:p>
    <w:p w14:paraId="7E60651E" w14:textId="77777777" w:rsidR="00EE02D9" w:rsidRPr="00AA4677" w:rsidRDefault="00EE02D9">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Any interim findings.</w:t>
      </w:r>
    </w:p>
    <w:p w14:paraId="53141C18" w14:textId="77777777" w:rsidR="00EE02D9" w:rsidRPr="00AA4677" w:rsidRDefault="00EE02D9">
      <w:pPr>
        <w:pStyle w:val="Bullet3"/>
        <w:numPr>
          <w:ilvl w:val="2"/>
          <w:numId w:val="87"/>
        </w:numPr>
        <w:tabs>
          <w:tab w:val="clear" w:pos="1800"/>
        </w:tabs>
        <w:ind w:left="1440" w:hanging="270"/>
        <w:rPr>
          <w:rFonts w:asciiTheme="minorHAnsi" w:hAnsiTheme="minorHAnsi" w:cstheme="minorHAnsi"/>
        </w:rPr>
      </w:pPr>
      <w:r w:rsidRPr="00AA4677">
        <w:rPr>
          <w:rFonts w:asciiTheme="minorHAnsi" w:hAnsiTheme="minorHAnsi" w:cstheme="minorHAnsi"/>
        </w:rPr>
        <w:t>Any relevant multi-center trial reports.</w:t>
      </w:r>
    </w:p>
    <w:p w14:paraId="4586A9A6" w14:textId="77777777" w:rsidR="00EE02D9" w:rsidRPr="00AA4677" w:rsidRDefault="00EE02D9">
      <w:pPr>
        <w:pStyle w:val="Bullet3"/>
        <w:numPr>
          <w:ilvl w:val="2"/>
          <w:numId w:val="87"/>
        </w:numPr>
        <w:tabs>
          <w:tab w:val="clear" w:pos="1800"/>
        </w:tabs>
        <w:ind w:left="1440" w:hanging="270"/>
        <w:rPr>
          <w:rFonts w:asciiTheme="minorHAnsi" w:hAnsiTheme="minorHAnsi" w:cstheme="minorHAnsi"/>
          <w:szCs w:val="24"/>
        </w:rPr>
      </w:pPr>
      <w:r w:rsidRPr="00AA4677">
        <w:rPr>
          <w:rFonts w:asciiTheme="minorHAnsi" w:hAnsiTheme="minorHAnsi" w:cstheme="minorHAnsi"/>
          <w:szCs w:val="24"/>
        </w:rPr>
        <w:t>The researcher’s current risk-potential benefit assessment based on study results.</w:t>
      </w:r>
    </w:p>
    <w:p w14:paraId="48E23136" w14:textId="26CD745F" w:rsidR="00030EA8" w:rsidRPr="00AA4677" w:rsidRDefault="006A69D1" w:rsidP="00EE02D9">
      <w:pPr>
        <w:shd w:val="clear" w:color="auto" w:fill="FFFFFF"/>
        <w:spacing w:after="0" w:line="240" w:lineRule="auto"/>
        <w:rPr>
          <w:rFonts w:eastAsia="Times New Roman" w:cs="Times New Roman"/>
          <w:szCs w:val="24"/>
        </w:rPr>
      </w:pPr>
      <w:r w:rsidRPr="00AA4677">
        <w:rPr>
          <w:rFonts w:eastAsia="Times New Roman" w:cs="Times New Roman"/>
          <w:szCs w:val="24"/>
        </w:rPr>
        <w:t xml:space="preserve"> </w:t>
      </w:r>
    </w:p>
    <w:p w14:paraId="17FEC9FF" w14:textId="512F2ED5" w:rsidR="003E7C9E" w:rsidRPr="00AA4677" w:rsidRDefault="003E7C9E" w:rsidP="008031ED">
      <w:pPr>
        <w:shd w:val="clear" w:color="auto" w:fill="FFFFFF"/>
        <w:spacing w:after="0" w:line="240" w:lineRule="auto"/>
        <w:rPr>
          <w:rFonts w:eastAsia="Times New Roman" w:cs="Times New Roman"/>
          <w:szCs w:val="24"/>
        </w:rPr>
      </w:pPr>
      <w:r w:rsidRPr="00AA4677">
        <w:rPr>
          <w:rFonts w:eastAsia="Times New Roman" w:cs="Times New Roman"/>
          <w:szCs w:val="24"/>
        </w:rPr>
        <w:t xml:space="preserve">Prior to </w:t>
      </w:r>
      <w:r w:rsidR="00AD24BB" w:rsidRPr="00AA4677">
        <w:rPr>
          <w:rFonts w:eastAsia="Times New Roman" w:cs="Times New Roman"/>
          <w:szCs w:val="24"/>
        </w:rPr>
        <w:t>access</w:t>
      </w:r>
      <w:r w:rsidRPr="00AA4677">
        <w:rPr>
          <w:rFonts w:eastAsia="Times New Roman" w:cs="Times New Roman"/>
          <w:szCs w:val="24"/>
        </w:rPr>
        <w:t xml:space="preserve"> of materials </w:t>
      </w:r>
      <w:r w:rsidR="00AD24BB" w:rsidRPr="00AA4677">
        <w:rPr>
          <w:rFonts w:eastAsia="Times New Roman" w:cs="Times New Roman"/>
          <w:szCs w:val="24"/>
        </w:rPr>
        <w:t>by</w:t>
      </w:r>
      <w:r w:rsidRPr="00AA4677">
        <w:rPr>
          <w:rFonts w:eastAsia="Times New Roman" w:cs="Times New Roman"/>
          <w:szCs w:val="24"/>
        </w:rPr>
        <w:t xml:space="preserve"> the </w:t>
      </w:r>
      <w:r w:rsidR="00EE7207" w:rsidRPr="00AA4677">
        <w:rPr>
          <w:rFonts w:eastAsia="Times New Roman" w:cs="Times New Roman"/>
          <w:szCs w:val="24"/>
        </w:rPr>
        <w:t>IRB</w:t>
      </w:r>
      <w:r w:rsidRPr="00AA4677">
        <w:rPr>
          <w:rFonts w:eastAsia="Times New Roman" w:cs="Times New Roman"/>
          <w:szCs w:val="24"/>
        </w:rPr>
        <w:t xml:space="preserve"> members, </w:t>
      </w:r>
      <w:r w:rsidR="009A684D" w:rsidRPr="00AA4677">
        <w:rPr>
          <w:rFonts w:eastAsia="Times New Roman" w:cs="Times New Roman"/>
          <w:szCs w:val="24"/>
        </w:rPr>
        <w:t>IRB</w:t>
      </w:r>
      <w:r w:rsidR="00EF4A2A" w:rsidRPr="00AA4677">
        <w:rPr>
          <w:rFonts w:eastAsia="Times New Roman" w:cs="Times New Roman"/>
          <w:szCs w:val="24"/>
        </w:rPr>
        <w:t xml:space="preserve"> staff</w:t>
      </w:r>
      <w:r w:rsidRPr="00AA4677">
        <w:rPr>
          <w:rFonts w:eastAsia="Times New Roman" w:cs="Times New Roman"/>
          <w:szCs w:val="24"/>
        </w:rPr>
        <w:t xml:space="preserve"> will ver</w:t>
      </w:r>
      <w:r w:rsidR="006A69D1" w:rsidRPr="00AA4677">
        <w:rPr>
          <w:rFonts w:eastAsia="Times New Roman" w:cs="Times New Roman"/>
          <w:szCs w:val="24"/>
        </w:rPr>
        <w:t>ify that the application</w:t>
      </w:r>
      <w:r w:rsidR="006A7B34" w:rsidRPr="00AA4677">
        <w:rPr>
          <w:rFonts w:eastAsia="Times New Roman" w:cs="Times New Roman"/>
          <w:szCs w:val="24"/>
        </w:rPr>
        <w:t xml:space="preserve"> </w:t>
      </w:r>
      <w:r w:rsidRPr="00AA4677">
        <w:rPr>
          <w:rFonts w:eastAsia="Times New Roman" w:cs="Times New Roman"/>
          <w:szCs w:val="24"/>
        </w:rPr>
        <w:t xml:space="preserve"> is e</w:t>
      </w:r>
      <w:r w:rsidR="00EF4A2A" w:rsidRPr="00AA4677">
        <w:rPr>
          <w:rFonts w:eastAsia="Times New Roman" w:cs="Times New Roman"/>
          <w:szCs w:val="24"/>
        </w:rPr>
        <w:t xml:space="preserve">lectronically </w:t>
      </w:r>
      <w:r w:rsidRPr="00AA4677">
        <w:rPr>
          <w:rFonts w:eastAsia="Times New Roman" w:cs="Times New Roman"/>
          <w:szCs w:val="24"/>
        </w:rPr>
        <w:t xml:space="preserve">signed by the </w:t>
      </w:r>
      <w:r w:rsidR="005B39C8" w:rsidRPr="00AA4677">
        <w:rPr>
          <w:rFonts w:eastAsia="Times New Roman" w:cs="Times New Roman"/>
          <w:szCs w:val="24"/>
        </w:rPr>
        <w:t>r</w:t>
      </w:r>
      <w:r w:rsidRPr="00AA4677">
        <w:rPr>
          <w:rFonts w:eastAsia="Times New Roman" w:cs="Times New Roman"/>
          <w:szCs w:val="24"/>
        </w:rPr>
        <w:t xml:space="preserve">esponsible </w:t>
      </w:r>
      <w:r w:rsidR="005B39C8" w:rsidRPr="00AA4677">
        <w:rPr>
          <w:rFonts w:eastAsia="Times New Roman" w:cs="Times New Roman"/>
          <w:szCs w:val="24"/>
        </w:rPr>
        <w:t>p</w:t>
      </w:r>
      <w:r w:rsidRPr="00AA4677">
        <w:rPr>
          <w:rFonts w:eastAsia="Times New Roman" w:cs="Times New Roman"/>
          <w:szCs w:val="24"/>
        </w:rPr>
        <w:t xml:space="preserve">rincipal </w:t>
      </w:r>
      <w:r w:rsidR="005B39C8" w:rsidRPr="00AA4677">
        <w:rPr>
          <w:rFonts w:eastAsia="Times New Roman" w:cs="Times New Roman"/>
          <w:szCs w:val="24"/>
        </w:rPr>
        <w:t>i</w:t>
      </w:r>
      <w:r w:rsidRPr="00AA4677">
        <w:rPr>
          <w:rFonts w:eastAsia="Times New Roman" w:cs="Times New Roman"/>
          <w:szCs w:val="24"/>
        </w:rPr>
        <w:t>nvestigator and the departmental/departmental review committee chair</w:t>
      </w:r>
      <w:r w:rsidR="00030EA8" w:rsidRPr="00AA4677">
        <w:rPr>
          <w:rFonts w:eastAsia="Times New Roman" w:cs="Times New Roman"/>
          <w:szCs w:val="24"/>
        </w:rPr>
        <w:t>;</w:t>
      </w:r>
      <w:r w:rsidRPr="00AA4677">
        <w:rPr>
          <w:rFonts w:eastAsia="Times New Roman" w:cs="Times New Roman"/>
          <w:szCs w:val="24"/>
        </w:rPr>
        <w:t xml:space="preserve"> If the activity will impact another department (</w:t>
      </w:r>
      <w:r w:rsidR="009A684D" w:rsidRPr="00AA4677">
        <w:rPr>
          <w:rFonts w:eastAsia="Times New Roman" w:cs="Times New Roman"/>
          <w:szCs w:val="24"/>
        </w:rPr>
        <w:t xml:space="preserve">through </w:t>
      </w:r>
      <w:r w:rsidRPr="00AA4677">
        <w:rPr>
          <w:rFonts w:eastAsia="Times New Roman" w:cs="Times New Roman"/>
          <w:szCs w:val="24"/>
        </w:rPr>
        <w:t xml:space="preserve">use of their </w:t>
      </w:r>
      <w:r w:rsidR="009A684D" w:rsidRPr="00AA4677">
        <w:rPr>
          <w:rFonts w:eastAsia="Times New Roman" w:cs="Times New Roman"/>
          <w:szCs w:val="24"/>
        </w:rPr>
        <w:t xml:space="preserve">resources, e.g., </w:t>
      </w:r>
      <w:r w:rsidRPr="00AA4677">
        <w:rPr>
          <w:rFonts w:eastAsia="Times New Roman" w:cs="Times New Roman"/>
          <w:szCs w:val="24"/>
        </w:rPr>
        <w:t>facilities, patient populations, faculty, and/or st</w:t>
      </w:r>
      <w:r w:rsidR="00C54D4F" w:rsidRPr="00AA4677">
        <w:rPr>
          <w:rFonts w:eastAsia="Times New Roman" w:cs="Times New Roman"/>
          <w:szCs w:val="24"/>
        </w:rPr>
        <w:t>aff, etc.) e-signature of that d</w:t>
      </w:r>
      <w:r w:rsidRPr="00AA4677">
        <w:rPr>
          <w:rFonts w:eastAsia="Times New Roman" w:cs="Times New Roman"/>
          <w:szCs w:val="24"/>
        </w:rPr>
        <w:t xml:space="preserve">epartment’s chair will be required as well. </w:t>
      </w:r>
    </w:p>
    <w:p w14:paraId="76E30204" w14:textId="69866BFF" w:rsidR="00AD24BB" w:rsidRPr="00AA4677" w:rsidRDefault="00AD24BB"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determination of which committee receives an initial study for expedited review is made by the IRB staff on an alternating basis. </w:t>
      </w:r>
    </w:p>
    <w:p w14:paraId="249809DD" w14:textId="7E9D1A4E" w:rsidR="003E7C9E" w:rsidRPr="00AA4677" w:rsidRDefault="003E7C9E" w:rsidP="00C57C98">
      <w:pPr>
        <w:pStyle w:val="Heading3"/>
      </w:pPr>
      <w:r w:rsidRPr="00AA4677">
        <w:t>3.6.3 Expedited Review Procedures</w:t>
      </w:r>
    </w:p>
    <w:p w14:paraId="77BF2F09" w14:textId="0BF8AA1D" w:rsidR="003E7C9E" w:rsidRPr="00AA4677" w:rsidRDefault="00EF2A9D" w:rsidP="003E7C9E">
      <w:pPr>
        <w:shd w:val="clear" w:color="auto" w:fill="FFFFFF"/>
        <w:spacing w:before="100" w:beforeAutospacing="1" w:after="100" w:afterAutospacing="1" w:line="240" w:lineRule="auto"/>
        <w:rPr>
          <w:rFonts w:eastAsia="Times New Roman" w:cs="Times New Roman"/>
          <w:szCs w:val="24"/>
        </w:rPr>
      </w:pPr>
      <w:r w:rsidRPr="00AA4677">
        <w:t xml:space="preserve">Under an expedited review procedure, IRB review is carried out by the IRB Chair or by one or more reviewers designated by the Chair from among experienced members and alternate members of the IRB.  Designated reviewers must be professionally competent (i.e., experienced with and having demonstrated the ability to apply IRB review requirements and with appropriate scientific or scholarly expertise) to conduct expedited reviews. </w:t>
      </w:r>
      <w:r w:rsidRPr="00AA4677" w:rsidDel="00EF2A9D">
        <w:rPr>
          <w:rFonts w:eastAsia="Times New Roman" w:cs="Times New Roman"/>
          <w:szCs w:val="24"/>
        </w:rPr>
        <w:t xml:space="preserve"> </w:t>
      </w:r>
      <w:r w:rsidR="000D32A1" w:rsidRPr="00AA4677">
        <w:rPr>
          <w:rFonts w:eastAsia="Times New Roman" w:cs="Times New Roman"/>
          <w:szCs w:val="24"/>
        </w:rPr>
        <w:t xml:space="preserve"> </w:t>
      </w:r>
    </w:p>
    <w:p w14:paraId="7C7C5E9B" w14:textId="5DA2C9A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reviewing research under an expedited review procedure, the designated </w:t>
      </w:r>
      <w:r w:rsidR="00EE7207" w:rsidRPr="00AA4677">
        <w:rPr>
          <w:rFonts w:eastAsia="Times New Roman" w:cs="Times New Roman"/>
          <w:szCs w:val="24"/>
        </w:rPr>
        <w:t>IRB</w:t>
      </w:r>
      <w:r w:rsidRPr="00AA4677">
        <w:rPr>
          <w:rFonts w:eastAsia="Times New Roman" w:cs="Times New Roman"/>
          <w:szCs w:val="24"/>
        </w:rPr>
        <w:t xml:space="preserve"> member(</w:t>
      </w:r>
      <w:proofErr w:type="gramStart"/>
      <w:r w:rsidRPr="00AA4677">
        <w:rPr>
          <w:rFonts w:eastAsia="Times New Roman" w:cs="Times New Roman"/>
          <w:szCs w:val="24"/>
        </w:rPr>
        <w:t>s),</w:t>
      </w:r>
      <w:proofErr w:type="gramEnd"/>
      <w:r w:rsidRPr="00AA4677">
        <w:rPr>
          <w:rFonts w:eastAsia="Times New Roman" w:cs="Times New Roman"/>
          <w:szCs w:val="24"/>
        </w:rPr>
        <w:t xml:space="preserve"> will have access to all </w:t>
      </w:r>
      <w:r w:rsidR="00AD24BB" w:rsidRPr="00AA4677">
        <w:rPr>
          <w:rFonts w:eastAsia="Times New Roman" w:cs="Times New Roman"/>
          <w:szCs w:val="24"/>
        </w:rPr>
        <w:t xml:space="preserve">submitted </w:t>
      </w:r>
      <w:r w:rsidRPr="00AA4677">
        <w:rPr>
          <w:rFonts w:eastAsia="Times New Roman" w:cs="Times New Roman"/>
          <w:szCs w:val="24"/>
        </w:rPr>
        <w:t>documentation, as well as pre-</w:t>
      </w:r>
      <w:r w:rsidR="00AD24BB" w:rsidRPr="00AA4677">
        <w:rPr>
          <w:rFonts w:eastAsia="Times New Roman" w:cs="Times New Roman"/>
          <w:szCs w:val="24"/>
        </w:rPr>
        <w:t>review</w:t>
      </w:r>
      <w:r w:rsidRPr="00AA4677">
        <w:rPr>
          <w:rFonts w:eastAsia="Times New Roman" w:cs="Times New Roman"/>
          <w:szCs w:val="24"/>
        </w:rPr>
        <w:t xml:space="preserve"> comments from the </w:t>
      </w:r>
      <w:r w:rsidR="00AD24BB" w:rsidRPr="00AA4677">
        <w:rPr>
          <w:rFonts w:eastAsia="Times New Roman" w:cs="Times New Roman"/>
          <w:szCs w:val="24"/>
        </w:rPr>
        <w:t>IRB</w:t>
      </w:r>
      <w:r w:rsidRPr="00AA4677">
        <w:rPr>
          <w:rFonts w:eastAsia="Times New Roman" w:cs="Times New Roman"/>
          <w:szCs w:val="24"/>
        </w:rPr>
        <w:t xml:space="preserve"> staff, and, in the case of a continuing review, all study history, which resides in </w:t>
      </w:r>
      <w:r w:rsidR="001B1D7E" w:rsidRPr="00AA4677">
        <w:rPr>
          <w:rFonts w:eastAsia="Times New Roman" w:cs="Times New Roman"/>
          <w:szCs w:val="24"/>
        </w:rPr>
        <w:t xml:space="preserve">the </w:t>
      </w:r>
      <w:r w:rsidR="00DC5138" w:rsidRPr="00AA4677">
        <w:rPr>
          <w:rFonts w:eastAsia="Times New Roman" w:cs="Times New Roman"/>
          <w:szCs w:val="24"/>
        </w:rPr>
        <w:t>electronic management system</w:t>
      </w:r>
      <w:r w:rsidR="001B1D7E" w:rsidRPr="00AA4677">
        <w:rPr>
          <w:rFonts w:eastAsia="Times New Roman" w:cs="Times New Roman"/>
          <w:szCs w:val="24"/>
        </w:rPr>
        <w:t xml:space="preserve">.  </w:t>
      </w:r>
    </w:p>
    <w:p w14:paraId="4A4667B4" w14:textId="027684E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In reviewing initial, or continuing research, the reviewers will follow the Review Procedures described in Sections 3.8 </w:t>
      </w:r>
      <w:r w:rsidR="00C54D4F" w:rsidRPr="00AA4677">
        <w:rPr>
          <w:rFonts w:eastAsia="Times New Roman" w:cs="Times New Roman"/>
          <w:szCs w:val="24"/>
        </w:rPr>
        <w:t>and</w:t>
      </w:r>
      <w:r w:rsidRPr="00AA4677">
        <w:rPr>
          <w:rFonts w:eastAsia="Times New Roman" w:cs="Times New Roman"/>
          <w:szCs w:val="24"/>
        </w:rPr>
        <w:t xml:space="preserve"> 3.9 and may exercise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authorities of </w:t>
      </w:r>
      <w:r w:rsidR="005B39C8"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except that the reviewers may not </w:t>
      </w:r>
      <w:proofErr w:type="gramStart"/>
      <w:r w:rsidRPr="00AA4677">
        <w:rPr>
          <w:rFonts w:eastAsia="Times New Roman" w:cs="Times New Roman"/>
          <w:szCs w:val="24"/>
        </w:rPr>
        <w:t>disapprove</w:t>
      </w:r>
      <w:proofErr w:type="gramEnd"/>
      <w:r w:rsidRPr="00AA4677">
        <w:rPr>
          <w:rFonts w:eastAsia="Times New Roman" w:cs="Times New Roman"/>
          <w:szCs w:val="24"/>
        </w:rPr>
        <w:t xml:space="preserve"> the research. A research activity ma</w:t>
      </w:r>
      <w:r w:rsidR="005B39C8" w:rsidRPr="00AA4677">
        <w:rPr>
          <w:rFonts w:eastAsia="Times New Roman" w:cs="Times New Roman"/>
          <w:szCs w:val="24"/>
        </w:rPr>
        <w:t xml:space="preserve">y only be disapproved by the </w:t>
      </w:r>
      <w:r w:rsidR="00EE7207" w:rsidRPr="00AA4677">
        <w:rPr>
          <w:rFonts w:eastAsia="Times New Roman" w:cs="Times New Roman"/>
          <w:szCs w:val="24"/>
        </w:rPr>
        <w:t>IRB</w:t>
      </w:r>
      <w:r w:rsidR="005B39C8" w:rsidRPr="00AA4677">
        <w:rPr>
          <w:rFonts w:eastAsia="Times New Roman" w:cs="Times New Roman"/>
          <w:szCs w:val="24"/>
        </w:rPr>
        <w:t xml:space="preserve"> </w:t>
      </w:r>
      <w:r w:rsidRPr="00AA4677">
        <w:rPr>
          <w:rFonts w:eastAsia="Times New Roman" w:cs="Times New Roman"/>
          <w:szCs w:val="24"/>
        </w:rPr>
        <w:t>following review at a convened meeting.</w:t>
      </w:r>
    </w:p>
    <w:p w14:paraId="0A0546ED" w14:textId="078C47E4"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Reviewers will </w:t>
      </w:r>
      <w:r w:rsidR="006A7B34" w:rsidRPr="00AA4677">
        <w:rPr>
          <w:rFonts w:eastAsia="Times New Roman" w:cs="Times New Roman"/>
          <w:szCs w:val="24"/>
        </w:rPr>
        <w:t>use the IRB</w:t>
      </w:r>
      <w:r w:rsidRPr="00AA4677">
        <w:rPr>
          <w:rFonts w:eastAsia="Times New Roman" w:cs="Times New Roman"/>
          <w:szCs w:val="24"/>
        </w:rPr>
        <w:t xml:space="preserve"> Reviewer Checklist </w:t>
      </w:r>
      <w:r w:rsidR="0093347F" w:rsidRPr="00AA4677">
        <w:rPr>
          <w:rFonts w:eastAsia="Times New Roman" w:cs="Times New Roman"/>
          <w:szCs w:val="24"/>
        </w:rPr>
        <w:t xml:space="preserve">as an aid to complete the </w:t>
      </w:r>
      <w:r w:rsidR="00221FCA" w:rsidRPr="00AA4677">
        <w:rPr>
          <w:rFonts w:eastAsia="Times New Roman" w:cs="Times New Roman"/>
          <w:szCs w:val="24"/>
        </w:rPr>
        <w:t xml:space="preserve">IRB Member Worksheet(s) for </w:t>
      </w:r>
      <w:r w:rsidR="006A7B34" w:rsidRPr="00AA4677">
        <w:rPr>
          <w:rFonts w:eastAsia="Times New Roman" w:cs="Times New Roman"/>
          <w:szCs w:val="24"/>
        </w:rPr>
        <w:t>Expedited Reviews</w:t>
      </w:r>
      <w:r w:rsidRPr="00AA4677">
        <w:rPr>
          <w:rFonts w:eastAsia="Times New Roman" w:cs="Times New Roman"/>
          <w:szCs w:val="24"/>
        </w:rPr>
        <w:t xml:space="preserve">, including assessment that the regulatory criteria </w:t>
      </w:r>
      <w:r w:rsidR="00AD24BB" w:rsidRPr="00AA4677">
        <w:rPr>
          <w:rFonts w:eastAsia="Times New Roman" w:cs="Times New Roman"/>
          <w:szCs w:val="24"/>
        </w:rPr>
        <w:t xml:space="preserve">necessary </w:t>
      </w:r>
      <w:r w:rsidRPr="00AA4677">
        <w:rPr>
          <w:rFonts w:eastAsia="Times New Roman" w:cs="Times New Roman"/>
          <w:szCs w:val="24"/>
        </w:rPr>
        <w:t>for expedited review and IRB appr</w:t>
      </w:r>
      <w:r w:rsidR="00C54D4F" w:rsidRPr="00AA4677">
        <w:rPr>
          <w:rFonts w:eastAsia="Times New Roman" w:cs="Times New Roman"/>
          <w:szCs w:val="24"/>
        </w:rPr>
        <w:t xml:space="preserve">oval have all been met, and indicate </w:t>
      </w:r>
      <w:r w:rsidRPr="00AA4677">
        <w:rPr>
          <w:rFonts w:eastAsia="Times New Roman" w:cs="Times New Roman"/>
          <w:szCs w:val="24"/>
        </w:rPr>
        <w:t xml:space="preserve">approval, required modifications or ‘deferred to full committee’. The Worksheet </w:t>
      </w:r>
      <w:r w:rsidR="00AD24BB" w:rsidRPr="00AA4677">
        <w:rPr>
          <w:rFonts w:eastAsia="Times New Roman" w:cs="Times New Roman"/>
          <w:szCs w:val="24"/>
        </w:rPr>
        <w:t xml:space="preserve">will be retained within </w:t>
      </w:r>
      <w:r w:rsidR="001B1D7E" w:rsidRPr="00AA4677">
        <w:rPr>
          <w:rFonts w:eastAsia="Times New Roman" w:cs="Times New Roman"/>
          <w:szCs w:val="24"/>
        </w:rPr>
        <w:t xml:space="preserve">the </w:t>
      </w:r>
      <w:r w:rsidR="00DC5138" w:rsidRPr="00AA4677">
        <w:rPr>
          <w:rFonts w:eastAsia="Times New Roman" w:cs="Times New Roman"/>
          <w:szCs w:val="24"/>
        </w:rPr>
        <w:t>electronic management system</w:t>
      </w:r>
      <w:r w:rsidR="00AD24BB" w:rsidRPr="00AA4677">
        <w:rPr>
          <w:rFonts w:eastAsia="Times New Roman" w:cs="Times New Roman"/>
          <w:szCs w:val="24"/>
        </w:rPr>
        <w:t xml:space="preserve"> to ensure documentation of regulatory determinations</w:t>
      </w:r>
      <w:r w:rsidR="005B39C8" w:rsidRPr="00AA4677">
        <w:rPr>
          <w:rFonts w:eastAsia="Times New Roman" w:cs="Times New Roman"/>
          <w:szCs w:val="24"/>
        </w:rPr>
        <w:t>. The IRB</w:t>
      </w:r>
      <w:r w:rsidRPr="00AA4677">
        <w:rPr>
          <w:rFonts w:eastAsia="Times New Roman" w:cs="Times New Roman"/>
          <w:szCs w:val="24"/>
        </w:rPr>
        <w:t xml:space="preserve"> </w:t>
      </w:r>
      <w:r w:rsidR="00C54D4F" w:rsidRPr="00AA4677">
        <w:rPr>
          <w:rFonts w:eastAsia="Times New Roman" w:cs="Times New Roman"/>
          <w:szCs w:val="24"/>
        </w:rPr>
        <w:t>A</w:t>
      </w:r>
      <w:r w:rsidRPr="00AA4677">
        <w:rPr>
          <w:rFonts w:eastAsia="Times New Roman" w:cs="Times New Roman"/>
          <w:szCs w:val="24"/>
        </w:rPr>
        <w:t>dministrators/</w:t>
      </w:r>
      <w:r w:rsidR="00C54D4F" w:rsidRPr="00AA4677">
        <w:rPr>
          <w:rFonts w:eastAsia="Times New Roman" w:cs="Times New Roman"/>
          <w:szCs w:val="24"/>
        </w:rPr>
        <w:t>A</w:t>
      </w:r>
      <w:r w:rsidRPr="00AA4677">
        <w:rPr>
          <w:rFonts w:eastAsia="Times New Roman" w:cs="Times New Roman"/>
          <w:szCs w:val="24"/>
        </w:rPr>
        <w:t>ssistant will draft an applicable letter and post it, along with associated documents (e.g., track-changed consent forms, etc</w:t>
      </w:r>
      <w:r w:rsidR="005B39C8" w:rsidRPr="00AA4677">
        <w:rPr>
          <w:rFonts w:eastAsia="Times New Roman" w:cs="Times New Roman"/>
          <w:szCs w:val="24"/>
        </w:rPr>
        <w:t>.</w:t>
      </w:r>
      <w:r w:rsidRPr="00AA4677">
        <w:rPr>
          <w:rFonts w:eastAsia="Times New Roman" w:cs="Times New Roman"/>
          <w:szCs w:val="24"/>
        </w:rPr>
        <w:t>)</w:t>
      </w:r>
      <w:r w:rsidR="00AD24BB" w:rsidRPr="00AA4677">
        <w:rPr>
          <w:rFonts w:eastAsia="Times New Roman" w:cs="Times New Roman"/>
          <w:szCs w:val="24"/>
        </w:rPr>
        <w:t>,</w:t>
      </w:r>
      <w:r w:rsidRPr="00AA4677">
        <w:rPr>
          <w:rFonts w:eastAsia="Times New Roman" w:cs="Times New Roman"/>
          <w:szCs w:val="24"/>
        </w:rPr>
        <w:t xml:space="preserve"> </w:t>
      </w:r>
      <w:r w:rsidR="00AD24BB" w:rsidRPr="00AA4677">
        <w:rPr>
          <w:rFonts w:eastAsia="Times New Roman" w:cs="Times New Roman"/>
          <w:szCs w:val="24"/>
        </w:rPr>
        <w:t>within</w:t>
      </w:r>
      <w:r w:rsidRPr="00AA4677">
        <w:rPr>
          <w:rFonts w:eastAsia="Times New Roman" w:cs="Times New Roman"/>
          <w:szCs w:val="24"/>
        </w:rPr>
        <w:t xml:space="preserve"> </w:t>
      </w:r>
      <w:r w:rsidR="001B1D7E" w:rsidRPr="00AA4677">
        <w:rPr>
          <w:rFonts w:eastAsia="Times New Roman" w:cs="Times New Roman"/>
          <w:szCs w:val="24"/>
        </w:rPr>
        <w:t xml:space="preserve">the </w:t>
      </w:r>
      <w:r w:rsidR="00DC5138" w:rsidRPr="00AA4677">
        <w:rPr>
          <w:rFonts w:eastAsia="Times New Roman" w:cs="Times New Roman"/>
          <w:szCs w:val="24"/>
        </w:rPr>
        <w:t>electronic management system</w:t>
      </w:r>
      <w:r w:rsidR="001B1D7E" w:rsidRPr="00AA4677">
        <w:rPr>
          <w:rFonts w:eastAsia="Times New Roman" w:cs="Times New Roman"/>
          <w:szCs w:val="24"/>
        </w:rPr>
        <w:t xml:space="preserve">. </w:t>
      </w:r>
      <w:r w:rsidR="00EE02D9" w:rsidRPr="00AA4677">
        <w:rPr>
          <w:rFonts w:eastAsia="Times New Roman" w:cs="Times New Roman"/>
          <w:szCs w:val="24"/>
        </w:rPr>
        <w:t xml:space="preserve">The reviewer will determine if the protocol needs verification from sources other than the </w:t>
      </w:r>
      <w:r w:rsidR="00717203" w:rsidRPr="00AA4677">
        <w:rPr>
          <w:rFonts w:eastAsia="Times New Roman" w:cs="Times New Roman"/>
          <w:szCs w:val="24"/>
        </w:rPr>
        <w:t>research</w:t>
      </w:r>
      <w:r w:rsidR="00EE02D9" w:rsidRPr="00AA4677">
        <w:rPr>
          <w:rFonts w:eastAsia="Times New Roman" w:cs="Times New Roman"/>
          <w:szCs w:val="24"/>
        </w:rPr>
        <w:t>ers that no material changes had occurred since the previous</w:t>
      </w:r>
      <w:r w:rsidR="0074062A" w:rsidRPr="00AA4677">
        <w:rPr>
          <w:rFonts w:eastAsia="Times New Roman" w:cs="Times New Roman"/>
          <w:szCs w:val="24"/>
        </w:rPr>
        <w:t xml:space="preserve"> review</w:t>
      </w:r>
      <w:r w:rsidR="00EE02D9" w:rsidRPr="00AA4677">
        <w:rPr>
          <w:rFonts w:eastAsia="Times New Roman" w:cs="Times New Roman"/>
          <w:szCs w:val="24"/>
        </w:rPr>
        <w:t>, that the consent document is still accurate and complete and whether there are any significant new findings that might relate to the participant’s willingness to continue participation (this information would then be provided to the participant).</w:t>
      </w:r>
      <w:r w:rsidR="001B1D7E" w:rsidRPr="00AA4677">
        <w:rPr>
          <w:rFonts w:eastAsia="Times New Roman" w:cs="Times New Roman"/>
          <w:szCs w:val="24"/>
        </w:rPr>
        <w:t xml:space="preserve"> </w:t>
      </w:r>
    </w:p>
    <w:p w14:paraId="0C3840A7" w14:textId="300B636A" w:rsidR="00EF2A9D" w:rsidRPr="00AA4677" w:rsidRDefault="00EF2A9D" w:rsidP="003E7C9E">
      <w:pPr>
        <w:shd w:val="clear" w:color="auto" w:fill="FFFFFF"/>
        <w:spacing w:before="100" w:beforeAutospacing="1" w:after="100" w:afterAutospacing="1" w:line="240" w:lineRule="auto"/>
        <w:rPr>
          <w:rFonts w:eastAsia="Times New Roman" w:cs="Times New Roman"/>
          <w:szCs w:val="24"/>
        </w:rPr>
      </w:pPr>
      <w:r w:rsidRPr="00AA4677">
        <w:t xml:space="preserve">When a reviewer determines that research subject to the Common Rule falls within the expedited categories </w:t>
      </w:r>
      <w:r w:rsidRPr="00AA4677">
        <w:rPr>
          <w:b/>
          <w:bCs/>
        </w:rPr>
        <w:t>but involves more than minimal risk</w:t>
      </w:r>
      <w:r w:rsidRPr="00AA4677">
        <w:t xml:space="preserve">, the reviewer will document the rationale for that determination in the checklist and refer the research for review by the convened IRB.  </w:t>
      </w:r>
    </w:p>
    <w:p w14:paraId="077EA01B" w14:textId="6B2FB509"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Investigators are notified by </w:t>
      </w:r>
      <w:r w:rsidR="003A5400" w:rsidRPr="00AA4677">
        <w:rPr>
          <w:rFonts w:eastAsia="Times New Roman" w:cs="Times New Roman"/>
          <w:szCs w:val="24"/>
        </w:rPr>
        <w:t xml:space="preserve">the </w:t>
      </w:r>
      <w:r w:rsidR="00DC5138" w:rsidRPr="00AA4677">
        <w:rPr>
          <w:rFonts w:eastAsia="Times New Roman" w:cs="Times New Roman"/>
          <w:szCs w:val="24"/>
        </w:rPr>
        <w:t>electronic management system</w:t>
      </w:r>
      <w:r w:rsidR="003A5400" w:rsidRPr="00AA4677">
        <w:rPr>
          <w:rFonts w:eastAsia="Times New Roman" w:cs="Times New Roman"/>
          <w:szCs w:val="24"/>
        </w:rPr>
        <w:t xml:space="preserve"> </w:t>
      </w:r>
      <w:r w:rsidRPr="00AA4677">
        <w:rPr>
          <w:rFonts w:eastAsia="Times New Roman" w:cs="Times New Roman"/>
          <w:szCs w:val="24"/>
        </w:rPr>
        <w:t xml:space="preserve">when an action is taken on a study. If the modifications are </w:t>
      </w:r>
      <w:r w:rsidR="00AD24BB" w:rsidRPr="00AA4677">
        <w:rPr>
          <w:rFonts w:eastAsia="Times New Roman" w:cs="Times New Roman"/>
          <w:szCs w:val="24"/>
        </w:rPr>
        <w:t xml:space="preserve">prescriptive, </w:t>
      </w:r>
      <w:r w:rsidRPr="00AA4677">
        <w:rPr>
          <w:rFonts w:eastAsia="Times New Roman" w:cs="Times New Roman"/>
          <w:szCs w:val="24"/>
        </w:rPr>
        <w:t xml:space="preserve">the </w:t>
      </w:r>
      <w:r w:rsidR="005B39C8" w:rsidRPr="00AA4677">
        <w:rPr>
          <w:rFonts w:eastAsia="Times New Roman" w:cs="Times New Roman"/>
          <w:szCs w:val="24"/>
        </w:rPr>
        <w:t>IRB</w:t>
      </w:r>
      <w:r w:rsidRPr="00AA4677">
        <w:rPr>
          <w:rFonts w:eastAsia="Times New Roman" w:cs="Times New Roman"/>
          <w:szCs w:val="24"/>
        </w:rPr>
        <w:t xml:space="preserve"> </w:t>
      </w:r>
      <w:r w:rsidR="001A55F2" w:rsidRPr="00AA4677">
        <w:rPr>
          <w:rFonts w:eastAsia="Times New Roman" w:cs="Times New Roman"/>
          <w:szCs w:val="24"/>
        </w:rPr>
        <w:t>s</w:t>
      </w:r>
      <w:r w:rsidR="00AD24BB" w:rsidRPr="00AA4677">
        <w:rPr>
          <w:rFonts w:eastAsia="Times New Roman" w:cs="Times New Roman"/>
          <w:szCs w:val="24"/>
        </w:rPr>
        <w:t>taff</w:t>
      </w:r>
      <w:r w:rsidRPr="00AA4677">
        <w:rPr>
          <w:rFonts w:eastAsia="Times New Roman" w:cs="Times New Roman"/>
          <w:szCs w:val="24"/>
        </w:rPr>
        <w:t xml:space="preserve">, as </w:t>
      </w:r>
      <w:r w:rsidR="00EE7207" w:rsidRPr="00AA4677">
        <w:rPr>
          <w:rFonts w:eastAsia="Times New Roman" w:cs="Times New Roman"/>
          <w:szCs w:val="24"/>
        </w:rPr>
        <w:t>IRB</w:t>
      </w:r>
      <w:r w:rsidRPr="00AA4677">
        <w:rPr>
          <w:rFonts w:eastAsia="Times New Roman" w:cs="Times New Roman"/>
          <w:szCs w:val="24"/>
        </w:rPr>
        <w:t xml:space="preserve"> members, may serve as final reviewers to determine if the investigator has</w:t>
      </w:r>
      <w:r w:rsidR="00AD24BB" w:rsidRPr="00AA4677">
        <w:rPr>
          <w:rFonts w:eastAsia="Times New Roman" w:cs="Times New Roman"/>
          <w:szCs w:val="24"/>
        </w:rPr>
        <w:t xml:space="preserve"> satisfied the conditions for approval. </w:t>
      </w:r>
      <w:r w:rsidRPr="00AA4677">
        <w:rPr>
          <w:rFonts w:eastAsia="Times New Roman" w:cs="Times New Roman"/>
          <w:szCs w:val="24"/>
        </w:rPr>
        <w:t xml:space="preserve">If the modifications are </w:t>
      </w:r>
      <w:r w:rsidR="00AD24BB" w:rsidRPr="00AA4677">
        <w:rPr>
          <w:rFonts w:eastAsia="Times New Roman" w:cs="Times New Roman"/>
          <w:szCs w:val="24"/>
        </w:rPr>
        <w:t xml:space="preserve">substantive, </w:t>
      </w:r>
      <w:r w:rsidRPr="00AA4677">
        <w:rPr>
          <w:rFonts w:eastAsia="Times New Roman" w:cs="Times New Roman"/>
          <w:szCs w:val="24"/>
        </w:rPr>
        <w:t xml:space="preserve">if the reviewer(s) request it, or if the </w:t>
      </w:r>
      <w:r w:rsidR="005B39C8" w:rsidRPr="00AA4677">
        <w:rPr>
          <w:rFonts w:eastAsia="Times New Roman" w:cs="Times New Roman"/>
          <w:szCs w:val="24"/>
        </w:rPr>
        <w:t>IRB</w:t>
      </w:r>
      <w:r w:rsidRPr="00AA4677">
        <w:rPr>
          <w:rFonts w:eastAsia="Times New Roman" w:cs="Times New Roman"/>
          <w:szCs w:val="24"/>
        </w:rPr>
        <w:t xml:space="preserve"> </w:t>
      </w:r>
      <w:r w:rsidR="001A55F2" w:rsidRPr="00AA4677">
        <w:rPr>
          <w:rFonts w:eastAsia="Times New Roman" w:cs="Times New Roman"/>
          <w:szCs w:val="24"/>
        </w:rPr>
        <w:t>s</w:t>
      </w:r>
      <w:r w:rsidR="00AD24BB" w:rsidRPr="00AA4677">
        <w:rPr>
          <w:rFonts w:eastAsia="Times New Roman" w:cs="Times New Roman"/>
          <w:szCs w:val="24"/>
        </w:rPr>
        <w:t xml:space="preserve">taff </w:t>
      </w:r>
      <w:r w:rsidRPr="00AA4677">
        <w:rPr>
          <w:rFonts w:eastAsia="Times New Roman" w:cs="Times New Roman"/>
          <w:szCs w:val="24"/>
        </w:rPr>
        <w:t xml:space="preserve">deem it necessary, the modified submission will be sent back to the </w:t>
      </w:r>
      <w:r w:rsidR="005B39C8" w:rsidRPr="00AA4677">
        <w:rPr>
          <w:rFonts w:eastAsia="Times New Roman" w:cs="Times New Roman"/>
          <w:szCs w:val="24"/>
        </w:rPr>
        <w:t>IRB</w:t>
      </w:r>
      <w:r w:rsidRPr="00AA4677">
        <w:rPr>
          <w:rFonts w:eastAsia="Times New Roman" w:cs="Times New Roman"/>
          <w:szCs w:val="24"/>
        </w:rPr>
        <w:t xml:space="preserve"> member(s) for further review. If the reviewer determines that the research does not meet the criteria for expedited review</w:t>
      </w:r>
      <w:r w:rsidR="00AD24BB" w:rsidRPr="00AA4677">
        <w:rPr>
          <w:rFonts w:eastAsia="Times New Roman" w:cs="Times New Roman"/>
          <w:szCs w:val="24"/>
        </w:rPr>
        <w:t xml:space="preserve"> (or for any other reason), </w:t>
      </w:r>
      <w:r w:rsidRPr="00AA4677">
        <w:rPr>
          <w:rFonts w:eastAsia="Times New Roman" w:cs="Times New Roman"/>
          <w:szCs w:val="24"/>
        </w:rPr>
        <w:t xml:space="preserve">then the reviewer will indicate that the research requires full review by </w:t>
      </w:r>
      <w:r w:rsidR="005B39C8"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the </w:t>
      </w:r>
      <w:r w:rsidR="005B39C8" w:rsidRPr="00AA4677">
        <w:rPr>
          <w:rFonts w:eastAsia="Times New Roman" w:cs="Times New Roman"/>
          <w:szCs w:val="24"/>
        </w:rPr>
        <w:t>study</w:t>
      </w:r>
      <w:r w:rsidRPr="00AA4677">
        <w:rPr>
          <w:rFonts w:eastAsia="Times New Roman" w:cs="Times New Roman"/>
          <w:szCs w:val="24"/>
        </w:rPr>
        <w:t xml:space="preserve"> will be placed </w:t>
      </w:r>
      <w:r w:rsidR="00AD24BB" w:rsidRPr="00AA4677">
        <w:rPr>
          <w:rFonts w:eastAsia="Times New Roman" w:cs="Times New Roman"/>
          <w:szCs w:val="24"/>
        </w:rPr>
        <w:t xml:space="preserve">by the IRB Staff </w:t>
      </w:r>
      <w:r w:rsidRPr="00AA4677">
        <w:rPr>
          <w:rFonts w:eastAsia="Times New Roman" w:cs="Times New Roman"/>
          <w:szCs w:val="24"/>
        </w:rPr>
        <w:t>on the next available agenda for a</w:t>
      </w:r>
      <w:r w:rsidR="00AD24BB" w:rsidRPr="00AA4677">
        <w:rPr>
          <w:rFonts w:eastAsia="Times New Roman" w:cs="Times New Roman"/>
          <w:szCs w:val="24"/>
        </w:rPr>
        <w:t>n</w:t>
      </w:r>
      <w:r w:rsidR="005B39C8" w:rsidRPr="00AA4677">
        <w:rPr>
          <w:rFonts w:eastAsia="Times New Roman" w:cs="Times New Roman"/>
          <w:szCs w:val="24"/>
        </w:rPr>
        <w:t xml:space="preserve"> IRB </w:t>
      </w:r>
      <w:r w:rsidRPr="00AA4677">
        <w:rPr>
          <w:rFonts w:eastAsia="Times New Roman" w:cs="Times New Roman"/>
          <w:szCs w:val="24"/>
        </w:rPr>
        <w:t>meeting.</w:t>
      </w:r>
    </w:p>
    <w:p w14:paraId="2E1AE246" w14:textId="78582A1E" w:rsidR="003E7C9E" w:rsidRPr="00AA4677" w:rsidRDefault="003E7C9E" w:rsidP="00C57C98">
      <w:pPr>
        <w:pStyle w:val="Heading3"/>
      </w:pPr>
      <w:r w:rsidRPr="00AA4677">
        <w:t>3.6.4</w:t>
      </w:r>
      <w:r w:rsidR="00EA7ABF" w:rsidRPr="00AA4677">
        <w:t xml:space="preserve"> </w:t>
      </w:r>
      <w:r w:rsidRPr="00AA4677">
        <w:t xml:space="preserve">Informing </w:t>
      </w:r>
      <w:r w:rsidR="005E64CB" w:rsidRPr="00AA4677">
        <w:t xml:space="preserve">the </w:t>
      </w:r>
      <w:r w:rsidR="00EE7207" w:rsidRPr="00AA4677">
        <w:t>IRB</w:t>
      </w:r>
    </w:p>
    <w:p w14:paraId="33506AA7" w14:textId="65A4DC31" w:rsidR="00055CCD" w:rsidRPr="00AA4677" w:rsidRDefault="003E7C9E" w:rsidP="006A7B34">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All members of </w:t>
      </w:r>
      <w:r w:rsidR="005B39C8"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be </w:t>
      </w:r>
      <w:proofErr w:type="gramStart"/>
      <w:r w:rsidRPr="00AA4677">
        <w:rPr>
          <w:rFonts w:eastAsia="Times New Roman" w:cs="Times New Roman"/>
          <w:szCs w:val="24"/>
        </w:rPr>
        <w:t>apprised</w:t>
      </w:r>
      <w:proofErr w:type="gramEnd"/>
      <w:r w:rsidRPr="00AA4677">
        <w:rPr>
          <w:rFonts w:eastAsia="Times New Roman" w:cs="Times New Roman"/>
          <w:szCs w:val="24"/>
        </w:rPr>
        <w:t xml:space="preserve"> of all expedited review approvals</w:t>
      </w:r>
      <w:r w:rsidR="00545BF6" w:rsidRPr="00AA4677">
        <w:rPr>
          <w:rFonts w:eastAsia="Times New Roman" w:cs="Times New Roman"/>
          <w:szCs w:val="24"/>
        </w:rPr>
        <w:t xml:space="preserve"> (e.g., initial, continuing review, amendments)</w:t>
      </w:r>
      <w:r w:rsidR="00A57B73" w:rsidRPr="00AA4677">
        <w:rPr>
          <w:rFonts w:eastAsia="Times New Roman" w:cs="Times New Roman"/>
          <w:szCs w:val="24"/>
        </w:rPr>
        <w:t xml:space="preserve"> including limited IRB reviews conducted using expedited review procedures</w:t>
      </w:r>
      <w:r w:rsidRPr="00AA4677">
        <w:rPr>
          <w:rFonts w:eastAsia="Times New Roman" w:cs="Times New Roman"/>
          <w:szCs w:val="24"/>
        </w:rPr>
        <w:t xml:space="preserve"> by means of a list in the agenda for the next scheduled meeting.  Any </w:t>
      </w:r>
      <w:r w:rsidR="00EE7207" w:rsidRPr="00AA4677">
        <w:rPr>
          <w:rFonts w:eastAsia="Times New Roman" w:cs="Times New Roman"/>
          <w:szCs w:val="24"/>
        </w:rPr>
        <w:t>IRB</w:t>
      </w:r>
      <w:r w:rsidRPr="00AA4677">
        <w:rPr>
          <w:rFonts w:eastAsia="Times New Roman" w:cs="Times New Roman"/>
          <w:szCs w:val="24"/>
        </w:rPr>
        <w:t xml:space="preserve"> member can request to review the full </w:t>
      </w:r>
      <w:r w:rsidR="006A7B34" w:rsidRPr="00AA4677">
        <w:rPr>
          <w:rFonts w:eastAsia="Times New Roman" w:cs="Times New Roman"/>
          <w:szCs w:val="24"/>
        </w:rPr>
        <w:t>protocol by contacting the ORC.</w:t>
      </w:r>
    </w:p>
    <w:p w14:paraId="135A36C7" w14:textId="2A643474" w:rsidR="003E7C9E" w:rsidRPr="00AA4677" w:rsidRDefault="003E7C9E" w:rsidP="00696B35">
      <w:pPr>
        <w:pStyle w:val="Heading2"/>
      </w:pPr>
      <w:bookmarkStart w:id="62" w:name="_Toc192678175"/>
      <w:r w:rsidRPr="00AA4677">
        <w:lastRenderedPageBreak/>
        <w:t xml:space="preserve">3.7 Convened </w:t>
      </w:r>
      <w:r w:rsidR="00EE7207" w:rsidRPr="00AA4677">
        <w:t>IRB</w:t>
      </w:r>
      <w:r w:rsidRPr="00AA4677">
        <w:t xml:space="preserve"> Meetings</w:t>
      </w:r>
      <w:bookmarkEnd w:id="62"/>
    </w:p>
    <w:p w14:paraId="5E2CD853" w14:textId="51EF359E"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Except when an exped</w:t>
      </w:r>
      <w:r w:rsidR="005B39C8" w:rsidRPr="00AA4677">
        <w:rPr>
          <w:rFonts w:eastAsia="Times New Roman" w:cs="Times New Roman"/>
          <w:szCs w:val="24"/>
        </w:rPr>
        <w:t>ited review procedure is used</w:t>
      </w:r>
      <w:r w:rsidR="00A57B73" w:rsidRPr="00AA4677">
        <w:rPr>
          <w:rFonts w:eastAsia="Times New Roman" w:cs="Times New Roman"/>
          <w:szCs w:val="24"/>
        </w:rPr>
        <w:t xml:space="preserve"> (including exempt research subject to limited IRB review)</w:t>
      </w:r>
      <w:r w:rsidR="005B39C8" w:rsidRPr="00AA4677">
        <w:rPr>
          <w:rFonts w:eastAsia="Times New Roman" w:cs="Times New Roman"/>
          <w:szCs w:val="24"/>
        </w:rPr>
        <w:t xml:space="preserve">, the </w:t>
      </w:r>
      <w:r w:rsidR="00EE7207" w:rsidRPr="00AA4677">
        <w:rPr>
          <w:rFonts w:eastAsia="Times New Roman" w:cs="Times New Roman"/>
          <w:szCs w:val="24"/>
        </w:rPr>
        <w:t>IRB</w:t>
      </w:r>
      <w:r w:rsidR="005B39C8" w:rsidRPr="00AA4677">
        <w:rPr>
          <w:rFonts w:eastAsia="Times New Roman" w:cs="Times New Roman"/>
          <w:szCs w:val="24"/>
        </w:rPr>
        <w:t xml:space="preserve"> </w:t>
      </w:r>
      <w:r w:rsidRPr="00AA4677">
        <w:rPr>
          <w:rFonts w:eastAsia="Times New Roman" w:cs="Times New Roman"/>
          <w:szCs w:val="24"/>
        </w:rPr>
        <w:t xml:space="preserve">will conduct initial and continuing reviews of all </w:t>
      </w:r>
      <w:r w:rsidR="00A57B73" w:rsidRPr="00AA4677">
        <w:rPr>
          <w:rFonts w:eastAsia="Times New Roman" w:cs="Times New Roman"/>
          <w:szCs w:val="24"/>
        </w:rPr>
        <w:t xml:space="preserve">non-exempt </w:t>
      </w:r>
      <w:r w:rsidRPr="00AA4677">
        <w:rPr>
          <w:rFonts w:eastAsia="Times New Roman" w:cs="Times New Roman"/>
          <w:szCs w:val="24"/>
        </w:rPr>
        <w:t>research</w:t>
      </w:r>
      <w:r w:rsidR="00A57B73" w:rsidRPr="00AA4677">
        <w:rPr>
          <w:rFonts w:eastAsia="Times New Roman" w:cs="Times New Roman"/>
          <w:szCs w:val="24"/>
        </w:rPr>
        <w:t xml:space="preserve"> </w:t>
      </w:r>
      <w:r w:rsidRPr="00AA4677">
        <w:rPr>
          <w:rFonts w:eastAsia="Times New Roman" w:cs="Times New Roman"/>
          <w:szCs w:val="24"/>
        </w:rPr>
        <w:t>at convened meetings at which a quorum (see below) of the members is present.</w:t>
      </w:r>
    </w:p>
    <w:p w14:paraId="7973D013" w14:textId="7BCD676E" w:rsidR="003E7C9E" w:rsidRPr="00AA4677" w:rsidRDefault="003E7C9E" w:rsidP="00C57C98">
      <w:pPr>
        <w:pStyle w:val="Heading3"/>
      </w:pPr>
      <w:r w:rsidRPr="00AA4677">
        <w:t>3.7.1 </w:t>
      </w:r>
      <w:r w:rsidR="00EE7207" w:rsidRPr="00AA4677">
        <w:t>IRB</w:t>
      </w:r>
      <w:r w:rsidRPr="00AA4677">
        <w:t xml:space="preserve"> Meeting Schedule</w:t>
      </w:r>
    </w:p>
    <w:p w14:paraId="181E9F8D" w14:textId="6761EE27" w:rsidR="00A56B91" w:rsidRPr="00AA4677" w:rsidRDefault="00291AB8"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6A7B34" w:rsidRPr="00AA4677">
        <w:rPr>
          <w:rFonts w:eastAsia="Times New Roman" w:cs="Times New Roman"/>
          <w:szCs w:val="24"/>
        </w:rPr>
        <w:t>he</w:t>
      </w:r>
      <w:r w:rsidR="003E7C9E" w:rsidRPr="00AA4677">
        <w:rPr>
          <w:rFonts w:eastAsia="Times New Roman" w:cs="Times New Roman"/>
          <w:szCs w:val="24"/>
        </w:rPr>
        <w:t xml:space="preserve"> </w:t>
      </w:r>
      <w:r w:rsidR="005B39C8" w:rsidRPr="00AA4677">
        <w:rPr>
          <w:rFonts w:eastAsia="Times New Roman" w:cs="Times New Roman"/>
          <w:szCs w:val="24"/>
        </w:rPr>
        <w:t>IRB</w:t>
      </w:r>
      <w:r w:rsidR="006A7B34" w:rsidRPr="00AA4677">
        <w:rPr>
          <w:rFonts w:eastAsia="Times New Roman" w:cs="Times New Roman"/>
          <w:szCs w:val="24"/>
        </w:rPr>
        <w:t xml:space="preserve"> meets weekly</w:t>
      </w:r>
      <w:r w:rsidR="003E7C9E" w:rsidRPr="00AA4677">
        <w:rPr>
          <w:rFonts w:eastAsia="Times New Roman" w:cs="Times New Roman"/>
          <w:szCs w:val="24"/>
        </w:rPr>
        <w:t xml:space="preserve"> throughout the year. The meeting schedule for </w:t>
      </w:r>
      <w:r w:rsidR="005B39C8" w:rsidRPr="00AA4677">
        <w:rPr>
          <w:rFonts w:eastAsia="Times New Roman" w:cs="Times New Roman"/>
          <w:szCs w:val="24"/>
        </w:rPr>
        <w:t>the IRB</w:t>
      </w:r>
      <w:r w:rsidR="006B6D48" w:rsidRPr="00AA4677">
        <w:rPr>
          <w:rFonts w:eastAsia="Times New Roman" w:cs="Times New Roman"/>
          <w:szCs w:val="24"/>
        </w:rPr>
        <w:t>s</w:t>
      </w:r>
      <w:r w:rsidR="003E7C9E" w:rsidRPr="00AA4677">
        <w:rPr>
          <w:rFonts w:eastAsia="Times New Roman" w:cs="Times New Roman"/>
          <w:szCs w:val="24"/>
        </w:rPr>
        <w:t xml:space="preserve"> may vary due t</w:t>
      </w:r>
      <w:r w:rsidR="00A56B91" w:rsidRPr="00AA4677">
        <w:rPr>
          <w:rFonts w:eastAsia="Times New Roman" w:cs="Times New Roman"/>
          <w:szCs w:val="24"/>
        </w:rPr>
        <w:t xml:space="preserve">o holidays or lack of quorum.  </w:t>
      </w:r>
      <w:r w:rsidR="006B6D48" w:rsidRPr="00AA4677">
        <w:rPr>
          <w:rFonts w:eastAsia="Times New Roman" w:cs="Times New Roman"/>
          <w:szCs w:val="24"/>
        </w:rPr>
        <w:t xml:space="preserve">The schedule of meeting deadlines and meeting dates is available on the ORC website. </w:t>
      </w:r>
      <w:r w:rsidR="00361731" w:rsidRPr="00AA4677">
        <w:rPr>
          <w:rFonts w:eastAsia="Times New Roman" w:cs="Times New Roman"/>
          <w:szCs w:val="24"/>
        </w:rPr>
        <w:t>There are no limits on the number of agenda items.</w:t>
      </w:r>
    </w:p>
    <w:p w14:paraId="6B0266A1" w14:textId="1D3C5FBD" w:rsidR="003E7C9E" w:rsidRPr="00AA4677" w:rsidRDefault="00A56B91"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Special meeting</w:t>
      </w:r>
      <w:r w:rsidR="00852620" w:rsidRPr="00AA4677">
        <w:rPr>
          <w:rFonts w:eastAsia="Times New Roman" w:cs="Times New Roman"/>
          <w:szCs w:val="24"/>
        </w:rPr>
        <w:t>s</w:t>
      </w:r>
      <w:r w:rsidRPr="00AA4677">
        <w:rPr>
          <w:rFonts w:eastAsia="Times New Roman" w:cs="Times New Roman"/>
          <w:szCs w:val="24"/>
        </w:rPr>
        <w:t xml:space="preserve"> can be called </w:t>
      </w:r>
      <w:r w:rsidR="003E7C9E" w:rsidRPr="00AA4677">
        <w:rPr>
          <w:rFonts w:eastAsia="Times New Roman" w:cs="Times New Roman"/>
          <w:szCs w:val="24"/>
        </w:rPr>
        <w:t>at any</w:t>
      </w:r>
      <w:r w:rsidR="006B6D48" w:rsidRPr="00AA4677">
        <w:rPr>
          <w:rFonts w:eastAsia="Times New Roman" w:cs="Times New Roman"/>
          <w:szCs w:val="24"/>
        </w:rPr>
        <w:t xml:space="preserve"> </w:t>
      </w:r>
      <w:r w:rsidR="003E7C9E" w:rsidRPr="00AA4677">
        <w:rPr>
          <w:rFonts w:eastAsia="Times New Roman" w:cs="Times New Roman"/>
          <w:szCs w:val="24"/>
        </w:rPr>
        <w:t xml:space="preserve">time by the </w:t>
      </w:r>
      <w:r w:rsidR="00EE7207" w:rsidRPr="00AA4677">
        <w:rPr>
          <w:rFonts w:eastAsia="Times New Roman" w:cs="Times New Roman"/>
          <w:szCs w:val="24"/>
        </w:rPr>
        <w:t>IRB</w:t>
      </w:r>
      <w:r w:rsidRPr="00AA4677">
        <w:rPr>
          <w:rFonts w:eastAsia="Times New Roman" w:cs="Times New Roman"/>
          <w:szCs w:val="24"/>
        </w:rPr>
        <w:t xml:space="preserve"> </w:t>
      </w:r>
      <w:r w:rsidR="003E7C9E" w:rsidRPr="00AA4677">
        <w:rPr>
          <w:rFonts w:eastAsia="Times New Roman" w:cs="Times New Roman"/>
          <w:szCs w:val="24"/>
        </w:rPr>
        <w:t>Chair</w:t>
      </w:r>
      <w:r w:rsidR="00E71CAB" w:rsidRPr="00AA4677">
        <w:rPr>
          <w:rFonts w:eastAsia="Times New Roman" w:cs="Times New Roman"/>
          <w:szCs w:val="24"/>
        </w:rPr>
        <w:t>, the</w:t>
      </w:r>
      <w:r w:rsidR="00C66572" w:rsidRPr="00AA4677">
        <w:rPr>
          <w:rFonts w:eastAsia="Times New Roman" w:cs="Times New Roman"/>
          <w:szCs w:val="24"/>
        </w:rPr>
        <w:t xml:space="preserve"> AVP-RC</w:t>
      </w:r>
      <w:r w:rsidR="00E71CAB" w:rsidRPr="00AA4677">
        <w:rPr>
          <w:rFonts w:eastAsia="Times New Roman" w:cs="Times New Roman"/>
          <w:szCs w:val="24"/>
        </w:rPr>
        <w:t>,</w:t>
      </w:r>
      <w:r w:rsidR="003E7C9E" w:rsidRPr="00AA4677">
        <w:rPr>
          <w:rFonts w:eastAsia="Times New Roman" w:cs="Times New Roman"/>
          <w:szCs w:val="24"/>
        </w:rPr>
        <w:t xml:space="preserve"> or the IO.</w:t>
      </w:r>
      <w:r w:rsidR="00852620" w:rsidRPr="00AA4677">
        <w:rPr>
          <w:rFonts w:eastAsia="Times New Roman" w:cs="Times New Roman"/>
          <w:szCs w:val="24"/>
        </w:rPr>
        <w:t xml:space="preserve"> During an emergency, it may be required to hold meetings remotely instead of meeting in-person. </w:t>
      </w:r>
    </w:p>
    <w:p w14:paraId="562826E6" w14:textId="0BE52F2F" w:rsidR="003E7C9E" w:rsidRPr="00AA4677" w:rsidRDefault="003E7C9E" w:rsidP="00C57C98">
      <w:pPr>
        <w:pStyle w:val="Heading3"/>
      </w:pPr>
      <w:r w:rsidRPr="00AA4677">
        <w:t>3.7.2</w:t>
      </w:r>
      <w:r w:rsidR="00EA7ABF" w:rsidRPr="00AA4677">
        <w:t xml:space="preserve"> </w:t>
      </w:r>
      <w:r w:rsidRPr="00AA4677">
        <w:t>Preliminary Review</w:t>
      </w:r>
    </w:p>
    <w:p w14:paraId="5D691B7F" w14:textId="10923D25"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ORC </w:t>
      </w:r>
      <w:r w:rsidR="00E9013D" w:rsidRPr="00AA4677">
        <w:rPr>
          <w:rFonts w:eastAsia="Times New Roman" w:cs="Times New Roman"/>
          <w:szCs w:val="24"/>
        </w:rPr>
        <w:t>s</w:t>
      </w:r>
      <w:r w:rsidRPr="00AA4677">
        <w:rPr>
          <w:rFonts w:eastAsia="Times New Roman" w:cs="Times New Roman"/>
          <w:szCs w:val="24"/>
        </w:rPr>
        <w:t xml:space="preserve">taff will perform a preliminary review of all </w:t>
      </w:r>
      <w:r w:rsidR="005B39C8" w:rsidRPr="00AA4677">
        <w:rPr>
          <w:rFonts w:eastAsia="Times New Roman" w:cs="Times New Roman"/>
          <w:szCs w:val="24"/>
        </w:rPr>
        <w:t>study</w:t>
      </w:r>
      <w:r w:rsidRPr="00AA4677">
        <w:rPr>
          <w:rFonts w:eastAsia="Times New Roman" w:cs="Times New Roman"/>
          <w:szCs w:val="24"/>
        </w:rPr>
        <w:t xml:space="preserve"> materials </w:t>
      </w:r>
      <w:r w:rsidR="006B6D48" w:rsidRPr="00AA4677">
        <w:rPr>
          <w:rFonts w:eastAsia="Times New Roman" w:cs="Times New Roman"/>
          <w:szCs w:val="24"/>
        </w:rPr>
        <w:t xml:space="preserve">submitted </w:t>
      </w:r>
      <w:r w:rsidR="005B39C8" w:rsidRPr="00AA4677">
        <w:rPr>
          <w:rFonts w:eastAsia="Times New Roman" w:cs="Times New Roman"/>
          <w:szCs w:val="24"/>
        </w:rPr>
        <w:t xml:space="preserve">for </w:t>
      </w:r>
      <w:r w:rsidR="00EE7207" w:rsidRPr="00AA4677">
        <w:rPr>
          <w:rFonts w:eastAsia="Times New Roman" w:cs="Times New Roman"/>
          <w:szCs w:val="24"/>
        </w:rPr>
        <w:t>IRB</w:t>
      </w:r>
      <w:r w:rsidRPr="00AA4677">
        <w:rPr>
          <w:rFonts w:eastAsia="Times New Roman" w:cs="Times New Roman"/>
          <w:szCs w:val="24"/>
        </w:rPr>
        <w:t xml:space="preserve"> review for determination of completeness, accuracy, </w:t>
      </w:r>
      <w:r w:rsidR="00F71C49" w:rsidRPr="00AA4677">
        <w:rPr>
          <w:rFonts w:eastAsia="Times New Roman" w:cs="Times New Roman"/>
          <w:szCs w:val="24"/>
        </w:rPr>
        <w:t xml:space="preserve">special regulatory considerations, </w:t>
      </w:r>
      <w:r w:rsidRPr="00AA4677">
        <w:rPr>
          <w:rFonts w:eastAsia="Times New Roman" w:cs="Times New Roman"/>
          <w:szCs w:val="24"/>
        </w:rPr>
        <w:t xml:space="preserve">and required </w:t>
      </w:r>
      <w:r w:rsidR="005B39C8" w:rsidRPr="00AA4677">
        <w:rPr>
          <w:rFonts w:eastAsia="Times New Roman" w:cs="Times New Roman"/>
          <w:szCs w:val="24"/>
        </w:rPr>
        <w:t xml:space="preserve">electronic </w:t>
      </w:r>
      <w:r w:rsidRPr="00AA4677">
        <w:rPr>
          <w:rFonts w:eastAsia="Times New Roman" w:cs="Times New Roman"/>
          <w:szCs w:val="24"/>
        </w:rPr>
        <w:t xml:space="preserve">signatures (department chair, </w:t>
      </w:r>
      <w:r w:rsidR="00E9013D" w:rsidRPr="00AA4677">
        <w:rPr>
          <w:rFonts w:eastAsia="Times New Roman" w:cs="Times New Roman"/>
          <w:szCs w:val="24"/>
        </w:rPr>
        <w:t>p</w:t>
      </w:r>
      <w:r w:rsidRPr="00AA4677">
        <w:rPr>
          <w:rFonts w:eastAsia="Times New Roman" w:cs="Times New Roman"/>
          <w:szCs w:val="24"/>
        </w:rPr>
        <w:t xml:space="preserve">rincipal </w:t>
      </w:r>
      <w:r w:rsidR="00E9013D" w:rsidRPr="00AA4677">
        <w:rPr>
          <w:rFonts w:eastAsia="Times New Roman" w:cs="Times New Roman"/>
          <w:szCs w:val="24"/>
        </w:rPr>
        <w:t>i</w:t>
      </w:r>
      <w:r w:rsidRPr="00AA4677">
        <w:rPr>
          <w:rFonts w:eastAsia="Times New Roman" w:cs="Times New Roman"/>
          <w:szCs w:val="24"/>
        </w:rPr>
        <w:t>nvestigator).  Only complete submissions will be placed on a</w:t>
      </w:r>
      <w:r w:rsidR="006A7B34" w:rsidRPr="00AA4677">
        <w:rPr>
          <w:rFonts w:eastAsia="Times New Roman" w:cs="Times New Roman"/>
          <w:szCs w:val="24"/>
        </w:rPr>
        <w:t>n</w:t>
      </w:r>
      <w:r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agenda for review.  The investigator will be </w:t>
      </w:r>
      <w:r w:rsidR="00F71C49" w:rsidRPr="00AA4677">
        <w:rPr>
          <w:rFonts w:eastAsia="Times New Roman" w:cs="Times New Roman"/>
          <w:szCs w:val="24"/>
        </w:rPr>
        <w:t xml:space="preserve">notified of missing information through the </w:t>
      </w:r>
      <w:r w:rsidR="00DC5138" w:rsidRPr="00AA4677">
        <w:rPr>
          <w:rFonts w:eastAsia="Times New Roman" w:cs="Times New Roman"/>
          <w:szCs w:val="24"/>
        </w:rPr>
        <w:t>electronic management system</w:t>
      </w:r>
      <w:r w:rsidR="00F71C49" w:rsidRPr="00AA4677">
        <w:rPr>
          <w:rFonts w:eastAsia="Times New Roman" w:cs="Times New Roman"/>
          <w:szCs w:val="24"/>
        </w:rPr>
        <w:t xml:space="preserve">. </w:t>
      </w:r>
    </w:p>
    <w:p w14:paraId="489941DC" w14:textId="4B261343" w:rsidR="003E7C9E" w:rsidRPr="00AA4677" w:rsidRDefault="003E7C9E" w:rsidP="00C57C98">
      <w:pPr>
        <w:pStyle w:val="Heading3"/>
      </w:pPr>
      <w:r w:rsidRPr="00AA4677">
        <w:t>3.7.3 Primary and Secondary Reviewers</w:t>
      </w:r>
    </w:p>
    <w:p w14:paraId="3A807608" w14:textId="6B9C2464"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After it has been determined that the </w:t>
      </w:r>
      <w:r w:rsidR="006A478A" w:rsidRPr="00AA4677">
        <w:rPr>
          <w:rFonts w:eastAsia="Times New Roman" w:cs="Times New Roman"/>
          <w:szCs w:val="24"/>
        </w:rPr>
        <w:t>research study</w:t>
      </w:r>
      <w:r w:rsidRPr="00AA4677">
        <w:rPr>
          <w:rFonts w:eastAsia="Times New Roman" w:cs="Times New Roman"/>
          <w:szCs w:val="24"/>
        </w:rPr>
        <w:t xml:space="preserve"> submission is complete, the </w:t>
      </w:r>
      <w:r w:rsidR="006A478A" w:rsidRPr="00AA4677">
        <w:rPr>
          <w:rFonts w:eastAsia="Times New Roman" w:cs="Times New Roman"/>
          <w:szCs w:val="24"/>
        </w:rPr>
        <w:t>IRB</w:t>
      </w:r>
      <w:r w:rsidRPr="00AA4677">
        <w:rPr>
          <w:rFonts w:eastAsia="Times New Roman" w:cs="Times New Roman"/>
          <w:szCs w:val="24"/>
        </w:rPr>
        <w:t xml:space="preserve"> </w:t>
      </w:r>
      <w:r w:rsidR="00DA116F" w:rsidRPr="00AA4677">
        <w:rPr>
          <w:rFonts w:eastAsia="Times New Roman" w:cs="Times New Roman"/>
          <w:szCs w:val="24"/>
        </w:rPr>
        <w:t xml:space="preserve">Staff </w:t>
      </w:r>
      <w:r w:rsidR="006A478A" w:rsidRPr="00AA4677">
        <w:rPr>
          <w:rFonts w:eastAsia="Times New Roman" w:cs="Times New Roman"/>
          <w:szCs w:val="24"/>
        </w:rPr>
        <w:t>will assign the research study</w:t>
      </w:r>
      <w:r w:rsidRPr="00AA4677">
        <w:rPr>
          <w:rFonts w:eastAsia="Times New Roman" w:cs="Times New Roman"/>
          <w:szCs w:val="24"/>
        </w:rPr>
        <w:t xml:space="preserve"> </w:t>
      </w:r>
      <w:r w:rsidR="00DA116F" w:rsidRPr="00AA4677">
        <w:rPr>
          <w:rFonts w:eastAsia="Times New Roman" w:cs="Times New Roman"/>
          <w:szCs w:val="24"/>
        </w:rPr>
        <w:t xml:space="preserve">to reviewers </w:t>
      </w:r>
      <w:r w:rsidRPr="00AA4677">
        <w:rPr>
          <w:rFonts w:eastAsia="Times New Roman" w:cs="Times New Roman"/>
          <w:szCs w:val="24"/>
        </w:rPr>
        <w:t xml:space="preserve">paying close attention to the scientific content of the protocol, the potential reviewer’s area of expertise, and ensuring, where applicable, that a scientific and non-scientific perspective is represented.  Two reviewers will be assigned to each </w:t>
      </w:r>
      <w:r w:rsidR="001353EB" w:rsidRPr="00AA4677">
        <w:rPr>
          <w:rFonts w:eastAsia="Times New Roman" w:cs="Times New Roman"/>
          <w:szCs w:val="24"/>
        </w:rPr>
        <w:t xml:space="preserve">initial or continuing </w:t>
      </w:r>
      <w:proofErr w:type="gramStart"/>
      <w:r w:rsidRPr="00AA4677">
        <w:rPr>
          <w:rFonts w:eastAsia="Times New Roman" w:cs="Times New Roman"/>
          <w:szCs w:val="24"/>
        </w:rPr>
        <w:t>protocol</w:t>
      </w:r>
      <w:proofErr w:type="gramEnd"/>
      <w:r w:rsidRPr="00AA4677">
        <w:rPr>
          <w:rFonts w:eastAsia="Times New Roman" w:cs="Times New Roman"/>
          <w:szCs w:val="24"/>
        </w:rPr>
        <w:t xml:space="preserve"> and a reviewer may be assigned several protocols or other research items for review</w:t>
      </w:r>
      <w:r w:rsidR="001353EB" w:rsidRPr="00AA4677">
        <w:rPr>
          <w:rFonts w:eastAsia="Times New Roman" w:cs="Times New Roman"/>
          <w:szCs w:val="24"/>
        </w:rPr>
        <w:t xml:space="preserve"> (generally, one r</w:t>
      </w:r>
      <w:r w:rsidRPr="00AA4677">
        <w:rPr>
          <w:rFonts w:eastAsia="Times New Roman" w:cs="Times New Roman"/>
          <w:szCs w:val="24"/>
        </w:rPr>
        <w:t>eviewer</w:t>
      </w:r>
      <w:r w:rsidR="001353EB" w:rsidRPr="00AA4677">
        <w:rPr>
          <w:rFonts w:eastAsia="Times New Roman" w:cs="Times New Roman"/>
          <w:szCs w:val="24"/>
        </w:rPr>
        <w:t xml:space="preserve"> is </w:t>
      </w:r>
      <w:r w:rsidRPr="00AA4677">
        <w:rPr>
          <w:rFonts w:eastAsia="Times New Roman" w:cs="Times New Roman"/>
          <w:szCs w:val="24"/>
        </w:rPr>
        <w:t xml:space="preserve">assigned to </w:t>
      </w:r>
      <w:r w:rsidR="001353EB" w:rsidRPr="00AA4677">
        <w:rPr>
          <w:rFonts w:eastAsia="Times New Roman" w:cs="Times New Roman"/>
          <w:szCs w:val="24"/>
        </w:rPr>
        <w:t>a protocol brought to committee for a modification/amendment review)</w:t>
      </w:r>
      <w:r w:rsidRPr="00AA4677">
        <w:rPr>
          <w:rFonts w:eastAsia="Times New Roman" w:cs="Times New Roman"/>
          <w:szCs w:val="24"/>
        </w:rPr>
        <w:t xml:space="preserve">.  </w:t>
      </w:r>
      <w:r w:rsidR="00BF1D2D" w:rsidRPr="00AA4677">
        <w:rPr>
          <w:rFonts w:eastAsia="Times New Roman" w:cs="Times New Roman"/>
          <w:szCs w:val="24"/>
        </w:rPr>
        <w:t>An outside consultant will be sought w</w:t>
      </w:r>
      <w:r w:rsidRPr="00AA4677">
        <w:rPr>
          <w:rFonts w:eastAsia="Times New Roman" w:cs="Times New Roman"/>
          <w:szCs w:val="24"/>
        </w:rPr>
        <w:t xml:space="preserve">hen </w:t>
      </w:r>
      <w:r w:rsidR="006A478A" w:rsidRPr="00AA4677">
        <w:rPr>
          <w:rFonts w:eastAsia="Times New Roman" w:cs="Times New Roman"/>
          <w:szCs w:val="24"/>
        </w:rPr>
        <w:t xml:space="preserve">the </w:t>
      </w:r>
      <w:r w:rsidR="001353EB" w:rsidRPr="00AA4677">
        <w:rPr>
          <w:rFonts w:eastAsia="Times New Roman" w:cs="Times New Roman"/>
          <w:szCs w:val="24"/>
        </w:rPr>
        <w:t xml:space="preserve">IRB </w:t>
      </w:r>
      <w:r w:rsidRPr="00AA4677">
        <w:rPr>
          <w:rFonts w:eastAsia="Times New Roman" w:cs="Times New Roman"/>
          <w:szCs w:val="24"/>
        </w:rPr>
        <w:t>is presented with a protocol</w:t>
      </w:r>
      <w:r w:rsidR="00BF1D2D" w:rsidRPr="00AA4677">
        <w:rPr>
          <w:rFonts w:eastAsia="Times New Roman" w:cs="Times New Roman"/>
          <w:szCs w:val="24"/>
        </w:rPr>
        <w:t xml:space="preserve"> where the scientific or scholarly expertise</w:t>
      </w:r>
      <w:r w:rsidRPr="00AA4677">
        <w:rPr>
          <w:rFonts w:eastAsia="Times New Roman" w:cs="Times New Roman"/>
          <w:szCs w:val="24"/>
        </w:rPr>
        <w:t xml:space="preserve"> may be outside of the knowledge base of any of the </w:t>
      </w:r>
      <w:r w:rsidR="00EE7207" w:rsidRPr="00AA4677">
        <w:rPr>
          <w:rFonts w:eastAsia="Times New Roman" w:cs="Times New Roman"/>
          <w:szCs w:val="24"/>
        </w:rPr>
        <w:t>IRB</w:t>
      </w:r>
      <w:r w:rsidRPr="00AA4677">
        <w:rPr>
          <w:rFonts w:eastAsia="Times New Roman" w:cs="Times New Roman"/>
          <w:szCs w:val="24"/>
        </w:rPr>
        <w:t xml:space="preserve"> members</w:t>
      </w:r>
      <w:r w:rsidR="00164DE8" w:rsidRPr="00AA4677">
        <w:rPr>
          <w:rFonts w:eastAsia="Times New Roman" w:cs="Times New Roman"/>
          <w:szCs w:val="24"/>
        </w:rPr>
        <w:t>.</w:t>
      </w:r>
    </w:p>
    <w:p w14:paraId="6D3CD3F7" w14:textId="5D871CD5"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Protocols for which appropriate </w:t>
      </w:r>
      <w:r w:rsidR="00BF1D2D" w:rsidRPr="00AA4677">
        <w:rPr>
          <w:rFonts w:eastAsia="Times New Roman" w:cs="Times New Roman"/>
          <w:szCs w:val="24"/>
        </w:rPr>
        <w:t xml:space="preserve">scholarly or scientific </w:t>
      </w:r>
      <w:r w:rsidRPr="00AA4677">
        <w:rPr>
          <w:rFonts w:eastAsia="Times New Roman" w:cs="Times New Roman"/>
          <w:szCs w:val="24"/>
        </w:rPr>
        <w:t xml:space="preserve">expertise cannot be obtained for a given meeting will be </w:t>
      </w:r>
      <w:r w:rsidR="001353EB" w:rsidRPr="00AA4677">
        <w:rPr>
          <w:rFonts w:eastAsia="Times New Roman" w:cs="Times New Roman"/>
          <w:szCs w:val="24"/>
        </w:rPr>
        <w:t xml:space="preserve">tabled and moved </w:t>
      </w:r>
      <w:r w:rsidRPr="00AA4677">
        <w:rPr>
          <w:rFonts w:eastAsia="Times New Roman" w:cs="Times New Roman"/>
          <w:szCs w:val="24"/>
        </w:rPr>
        <w:t>to a</w:t>
      </w:r>
      <w:r w:rsidR="001353EB" w:rsidRPr="00AA4677">
        <w:rPr>
          <w:rFonts w:eastAsia="Times New Roman" w:cs="Times New Roman"/>
          <w:szCs w:val="24"/>
        </w:rPr>
        <w:t xml:space="preserve"> subsequent</w:t>
      </w:r>
      <w:r w:rsidRPr="00AA4677">
        <w:rPr>
          <w:rFonts w:eastAsia="Times New Roman" w:cs="Times New Roman"/>
          <w:szCs w:val="24"/>
        </w:rPr>
        <w:t xml:space="preserve"> meeting</w:t>
      </w:r>
      <w:r w:rsidR="001353EB" w:rsidRPr="00AA4677">
        <w:rPr>
          <w:rFonts w:eastAsia="Times New Roman" w:cs="Times New Roman"/>
          <w:szCs w:val="24"/>
        </w:rPr>
        <w:t xml:space="preserve"> agenda</w:t>
      </w:r>
      <w:r w:rsidRPr="00AA4677">
        <w:rPr>
          <w:rFonts w:eastAsia="Times New Roman" w:cs="Times New Roman"/>
          <w:szCs w:val="24"/>
        </w:rPr>
        <w:t>.</w:t>
      </w:r>
    </w:p>
    <w:p w14:paraId="519C9A5F" w14:textId="1DE32270" w:rsidR="003E7C9E" w:rsidRPr="00AA4677" w:rsidRDefault="001353EB"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3E7C9E" w:rsidRPr="00AA4677">
        <w:rPr>
          <w:rFonts w:eastAsia="Times New Roman" w:cs="Times New Roman"/>
          <w:szCs w:val="24"/>
        </w:rPr>
        <w:t>he primary and secondary reviewers are responsible for:</w:t>
      </w:r>
    </w:p>
    <w:p w14:paraId="7FDB2139" w14:textId="77777777" w:rsidR="003E7C9E" w:rsidRPr="00AA4677" w:rsidRDefault="003E7C9E" w:rsidP="00C129F1">
      <w:pPr>
        <w:numPr>
          <w:ilvl w:val="0"/>
          <w:numId w:val="3"/>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Having a thorough knowledge of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details of the proposed research.</w:t>
      </w:r>
    </w:p>
    <w:p w14:paraId="14968B6F" w14:textId="77777777" w:rsidR="003E7C9E" w:rsidRPr="00AA4677" w:rsidRDefault="003E7C9E" w:rsidP="00C129F1">
      <w:pPr>
        <w:numPr>
          <w:ilvl w:val="0"/>
          <w:numId w:val="3"/>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Performing an in-depth review of the proposed research.</w:t>
      </w:r>
    </w:p>
    <w:p w14:paraId="6E6FE163" w14:textId="264DA681" w:rsidR="003E7C9E" w:rsidRPr="00AA4677" w:rsidRDefault="003E7C9E" w:rsidP="00C129F1">
      <w:pPr>
        <w:numPr>
          <w:ilvl w:val="0"/>
          <w:numId w:val="3"/>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Leading the discussion of the proposed research at the convened meeting, presenting both positive and negative aspects of the research, and leading </w:t>
      </w:r>
      <w:r w:rsidR="006A478A" w:rsidRPr="00AA4677">
        <w:rPr>
          <w:rFonts w:eastAsia="Times New Roman" w:cs="Times New Roman"/>
          <w:szCs w:val="24"/>
        </w:rPr>
        <w:t>the IRB</w:t>
      </w:r>
      <w:r w:rsidRPr="00AA4677">
        <w:rPr>
          <w:rFonts w:eastAsia="Times New Roman" w:cs="Times New Roman"/>
          <w:szCs w:val="24"/>
        </w:rPr>
        <w:t xml:space="preserve"> through the regulatory criteri</w:t>
      </w:r>
      <w:r w:rsidR="006A7B34" w:rsidRPr="00AA4677">
        <w:rPr>
          <w:rFonts w:eastAsia="Times New Roman" w:cs="Times New Roman"/>
          <w:szCs w:val="24"/>
        </w:rPr>
        <w:t>a for approval</w:t>
      </w:r>
      <w:r w:rsidRPr="00AA4677">
        <w:rPr>
          <w:rFonts w:eastAsia="Times New Roman" w:cs="Times New Roman"/>
          <w:szCs w:val="24"/>
        </w:rPr>
        <w:t>.</w:t>
      </w:r>
    </w:p>
    <w:p w14:paraId="5526786B" w14:textId="77777777" w:rsidR="003E7C9E" w:rsidRPr="00AA4677" w:rsidRDefault="003E7C9E" w:rsidP="00C129F1">
      <w:pPr>
        <w:numPr>
          <w:ilvl w:val="0"/>
          <w:numId w:val="3"/>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Making suggestions for changes to the proposed research, where applicable.</w:t>
      </w:r>
    </w:p>
    <w:p w14:paraId="3FE6789D" w14:textId="5B980FCE" w:rsidR="003E7C9E" w:rsidRPr="00AA4677" w:rsidRDefault="003E7C9E" w:rsidP="00C129F1">
      <w:pPr>
        <w:numPr>
          <w:ilvl w:val="0"/>
          <w:numId w:val="3"/>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Completing all applicable </w:t>
      </w:r>
      <w:r w:rsidR="00EE7207" w:rsidRPr="00AA4677">
        <w:rPr>
          <w:rFonts w:eastAsia="Times New Roman" w:cs="Times New Roman"/>
          <w:szCs w:val="24"/>
        </w:rPr>
        <w:t>IRB</w:t>
      </w:r>
      <w:r w:rsidR="006A478A" w:rsidRPr="00AA4677">
        <w:rPr>
          <w:rFonts w:eastAsia="Times New Roman" w:cs="Times New Roman"/>
          <w:szCs w:val="24"/>
        </w:rPr>
        <w:t xml:space="preserve"> </w:t>
      </w:r>
      <w:r w:rsidRPr="00AA4677">
        <w:rPr>
          <w:rFonts w:eastAsia="Times New Roman" w:cs="Times New Roman"/>
          <w:szCs w:val="24"/>
        </w:rPr>
        <w:t>reviewer forms.</w:t>
      </w:r>
    </w:p>
    <w:p w14:paraId="07ADED6A" w14:textId="0539253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both the primary and secondary </w:t>
      </w:r>
      <w:proofErr w:type="gramStart"/>
      <w:r w:rsidRPr="00AA4677">
        <w:rPr>
          <w:rFonts w:eastAsia="Times New Roman" w:cs="Times New Roman"/>
          <w:szCs w:val="24"/>
        </w:rPr>
        <w:t>reviewer</w:t>
      </w:r>
      <w:proofErr w:type="gramEnd"/>
      <w:r w:rsidRPr="00AA4677">
        <w:rPr>
          <w:rFonts w:eastAsia="Times New Roman" w:cs="Times New Roman"/>
          <w:szCs w:val="24"/>
        </w:rPr>
        <w:t xml:space="preserve"> are absent from the meeting, consensus shall be taken to determi</w:t>
      </w:r>
      <w:r w:rsidR="006A7B34" w:rsidRPr="00AA4677">
        <w:rPr>
          <w:rFonts w:eastAsia="Times New Roman" w:cs="Times New Roman"/>
          <w:szCs w:val="24"/>
        </w:rPr>
        <w:t>ne if the study in question will</w:t>
      </w:r>
      <w:r w:rsidRPr="00AA4677">
        <w:rPr>
          <w:rFonts w:eastAsia="Times New Roman" w:cs="Times New Roman"/>
          <w:szCs w:val="24"/>
        </w:rPr>
        <w:t xml:space="preserve"> be tabled for a review at a future meeting, or if the present members have sufficient information and expertise</w:t>
      </w:r>
      <w:r w:rsidR="001353EB" w:rsidRPr="00AA4677">
        <w:rPr>
          <w:rFonts w:eastAsia="Times New Roman" w:cs="Times New Roman"/>
          <w:szCs w:val="24"/>
        </w:rPr>
        <w:t>,</w:t>
      </w:r>
      <w:r w:rsidRPr="00AA4677">
        <w:rPr>
          <w:rFonts w:eastAsia="Times New Roman" w:cs="Times New Roman"/>
          <w:szCs w:val="24"/>
        </w:rPr>
        <w:t xml:space="preserve"> then review will proceed.  Additionally, an absent reviewer can submit their written comments for presentation at the convened meeting, </w:t>
      </w:r>
      <w:proofErr w:type="gramStart"/>
      <w:r w:rsidRPr="00AA4677">
        <w:rPr>
          <w:rFonts w:eastAsia="Times New Roman" w:cs="Times New Roman"/>
          <w:szCs w:val="24"/>
        </w:rPr>
        <w:t>as long as</w:t>
      </w:r>
      <w:proofErr w:type="gramEnd"/>
      <w:r w:rsidRPr="00AA4677">
        <w:rPr>
          <w:rFonts w:eastAsia="Times New Roman" w:cs="Times New Roman"/>
          <w:szCs w:val="24"/>
        </w:rPr>
        <w:t xml:space="preserve"> there is another reviewer present at the convened meeting, who can serve as the primary reviewer.  It should be noted that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w:t>
      </w:r>
      <w:r w:rsidR="00EE7207" w:rsidRPr="00AA4677">
        <w:rPr>
          <w:rFonts w:eastAsia="Times New Roman" w:cs="Times New Roman"/>
          <w:szCs w:val="24"/>
        </w:rPr>
        <w:t>IRB</w:t>
      </w:r>
      <w:r w:rsidR="006A478A" w:rsidRPr="00AA4677">
        <w:rPr>
          <w:rFonts w:eastAsia="Times New Roman" w:cs="Times New Roman"/>
          <w:szCs w:val="24"/>
        </w:rPr>
        <w:t xml:space="preserve"> </w:t>
      </w:r>
      <w:r w:rsidRPr="00AA4677">
        <w:rPr>
          <w:rFonts w:eastAsia="Times New Roman" w:cs="Times New Roman"/>
          <w:szCs w:val="24"/>
        </w:rPr>
        <w:t xml:space="preserve">members receive and are expected to review all studies, not just the ones they </w:t>
      </w:r>
      <w:r w:rsidR="001353EB" w:rsidRPr="00AA4677">
        <w:rPr>
          <w:rFonts w:eastAsia="Times New Roman" w:cs="Times New Roman"/>
          <w:szCs w:val="24"/>
        </w:rPr>
        <w:t xml:space="preserve">for which they are assigned as primary or secondary </w:t>
      </w:r>
      <w:proofErr w:type="gramStart"/>
      <w:r w:rsidR="001353EB" w:rsidRPr="00AA4677">
        <w:rPr>
          <w:rFonts w:eastAsia="Times New Roman" w:cs="Times New Roman"/>
          <w:szCs w:val="24"/>
        </w:rPr>
        <w:t>reviewer</w:t>
      </w:r>
      <w:proofErr w:type="gramEnd"/>
      <w:r w:rsidRPr="00AA4677">
        <w:rPr>
          <w:rFonts w:eastAsia="Times New Roman" w:cs="Times New Roman"/>
          <w:szCs w:val="24"/>
        </w:rPr>
        <w:t>.</w:t>
      </w:r>
    </w:p>
    <w:p w14:paraId="3679AED6" w14:textId="26BF70D7" w:rsidR="003E7C9E" w:rsidRPr="00AA4677" w:rsidRDefault="003E7C9E" w:rsidP="00C57C98">
      <w:pPr>
        <w:pStyle w:val="Heading3"/>
      </w:pPr>
      <w:r w:rsidRPr="00AA4677">
        <w:t>3.7.4 Pre-Meeting Distribution of Documents</w:t>
      </w:r>
    </w:p>
    <w:p w14:paraId="75350B79" w14:textId="23316B5B"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study, including all required materials, needs to be submitted by the deadline for a particular meeting for inclusion on the applicable </w:t>
      </w:r>
      <w:r w:rsidR="00EE7207" w:rsidRPr="00AA4677">
        <w:rPr>
          <w:rFonts w:eastAsia="Times New Roman" w:cs="Times New Roman"/>
          <w:szCs w:val="24"/>
        </w:rPr>
        <w:t>IRB</w:t>
      </w:r>
      <w:r w:rsidRPr="00AA4677">
        <w:rPr>
          <w:rFonts w:eastAsia="Times New Roman" w:cs="Times New Roman"/>
          <w:szCs w:val="24"/>
        </w:rPr>
        <w:t xml:space="preserve"> agenda.  The meeting agenda will be prepa</w:t>
      </w:r>
      <w:r w:rsidR="00F370F7" w:rsidRPr="00AA4677">
        <w:rPr>
          <w:rFonts w:eastAsia="Times New Roman" w:cs="Times New Roman"/>
          <w:szCs w:val="24"/>
        </w:rPr>
        <w:t xml:space="preserve">red by the </w:t>
      </w:r>
      <w:r w:rsidR="006A478A" w:rsidRPr="00AA4677">
        <w:rPr>
          <w:rFonts w:eastAsia="Times New Roman" w:cs="Times New Roman"/>
          <w:szCs w:val="24"/>
        </w:rPr>
        <w:t>IRB</w:t>
      </w:r>
      <w:r w:rsidR="00F370F7" w:rsidRPr="00AA4677">
        <w:rPr>
          <w:rFonts w:eastAsia="Times New Roman" w:cs="Times New Roman"/>
          <w:szCs w:val="24"/>
        </w:rPr>
        <w:t xml:space="preserve"> </w:t>
      </w:r>
      <w:r w:rsidR="001353EB" w:rsidRPr="00AA4677">
        <w:rPr>
          <w:rFonts w:eastAsia="Times New Roman" w:cs="Times New Roman"/>
          <w:szCs w:val="24"/>
        </w:rPr>
        <w:t xml:space="preserve">Staff </w:t>
      </w:r>
      <w:r w:rsidRPr="00AA4677">
        <w:rPr>
          <w:rFonts w:eastAsia="Times New Roman" w:cs="Times New Roman"/>
          <w:szCs w:val="24"/>
        </w:rPr>
        <w:t xml:space="preserve">and made available to the </w:t>
      </w:r>
      <w:r w:rsidR="00EE7207" w:rsidRPr="00AA4677">
        <w:rPr>
          <w:rFonts w:eastAsia="Times New Roman" w:cs="Times New Roman"/>
          <w:szCs w:val="24"/>
        </w:rPr>
        <w:t>IRB</w:t>
      </w:r>
      <w:r w:rsidRPr="00AA4677">
        <w:rPr>
          <w:rFonts w:eastAsia="Times New Roman" w:cs="Times New Roman"/>
          <w:szCs w:val="24"/>
        </w:rPr>
        <w:t xml:space="preserve"> members via </w:t>
      </w:r>
      <w:r w:rsidR="002F34CC" w:rsidRPr="00AA4677">
        <w:rPr>
          <w:rFonts w:eastAsia="Times New Roman" w:cs="Times New Roman"/>
          <w:szCs w:val="24"/>
        </w:rPr>
        <w:t xml:space="preserve">the </w:t>
      </w:r>
      <w:r w:rsidR="00DC5138" w:rsidRPr="00AA4677">
        <w:rPr>
          <w:rFonts w:eastAsia="Times New Roman" w:cs="Times New Roman"/>
          <w:szCs w:val="24"/>
        </w:rPr>
        <w:t>electronic management system</w:t>
      </w:r>
      <w:r w:rsidR="002F34CC" w:rsidRPr="00AA4677">
        <w:rPr>
          <w:rFonts w:eastAsia="Times New Roman" w:cs="Times New Roman"/>
          <w:szCs w:val="24"/>
        </w:rPr>
        <w:t xml:space="preserve"> </w:t>
      </w:r>
      <w:r w:rsidRPr="00AA4677">
        <w:rPr>
          <w:rFonts w:eastAsia="Times New Roman" w:cs="Times New Roman"/>
          <w:szCs w:val="24"/>
        </w:rPr>
        <w:t xml:space="preserve">prior to the meeting.  All </w:t>
      </w:r>
      <w:r w:rsidR="00EE7207" w:rsidRPr="00AA4677">
        <w:rPr>
          <w:rFonts w:eastAsia="Times New Roman" w:cs="Times New Roman"/>
          <w:szCs w:val="24"/>
        </w:rPr>
        <w:t>IRB</w:t>
      </w:r>
      <w:r w:rsidRPr="00AA4677">
        <w:rPr>
          <w:rFonts w:eastAsia="Times New Roman" w:cs="Times New Roman"/>
          <w:szCs w:val="24"/>
        </w:rPr>
        <w:t xml:space="preserve"> members receive access to meeting protocol review materials, no later than </w:t>
      </w:r>
      <w:r w:rsidR="00F370F7" w:rsidRPr="00AA4677">
        <w:rPr>
          <w:rFonts w:eastAsia="Times New Roman" w:cs="Times New Roman"/>
          <w:szCs w:val="24"/>
        </w:rPr>
        <w:t>five (5)</w:t>
      </w:r>
      <w:r w:rsidRPr="00AA4677">
        <w:rPr>
          <w:rFonts w:eastAsia="Times New Roman" w:cs="Times New Roman"/>
          <w:szCs w:val="24"/>
        </w:rPr>
        <w:t xml:space="preserve"> business days before the scheduled meeting to allow sufficient time for the review process. Prior month’s meeting minutes, applicable business items and audits, and appropriate continuing education materials will be made available </w:t>
      </w:r>
      <w:r w:rsidR="001353EB" w:rsidRPr="00AA4677">
        <w:rPr>
          <w:rFonts w:eastAsia="Times New Roman" w:cs="Times New Roman"/>
          <w:szCs w:val="24"/>
        </w:rPr>
        <w:t xml:space="preserve">to the members as far ahead of the meeting as possible. </w:t>
      </w:r>
    </w:p>
    <w:p w14:paraId="0F0628F5" w14:textId="01C535FE" w:rsidR="003E7C9E" w:rsidRPr="00AA4677" w:rsidRDefault="006A478A" w:rsidP="001D3801">
      <w:pPr>
        <w:pStyle w:val="Heading4"/>
        <w:rPr>
          <w:sz w:val="27"/>
          <w:szCs w:val="27"/>
        </w:rPr>
      </w:pPr>
      <w:r w:rsidRPr="00AA4677">
        <w:t>3.7.4.1</w:t>
      </w:r>
      <w:r w:rsidR="003E7C9E" w:rsidRPr="00AA4677">
        <w:t xml:space="preserve"> Investigator Contact </w:t>
      </w:r>
      <w:r w:rsidR="001353EB" w:rsidRPr="00AA4677">
        <w:t xml:space="preserve">Before the </w:t>
      </w:r>
      <w:r w:rsidR="003E7C9E" w:rsidRPr="00AA4677">
        <w:t>Meeting</w:t>
      </w:r>
    </w:p>
    <w:p w14:paraId="7A5DE630" w14:textId="522C7C7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To improve efficiencies and communication between the IRB and investigators</w:t>
      </w:r>
      <w:r w:rsidR="001A55F2" w:rsidRPr="00AA4677">
        <w:rPr>
          <w:rFonts w:eastAsia="Times New Roman" w:cs="Times New Roman"/>
          <w:szCs w:val="24"/>
        </w:rPr>
        <w:t>, and to supplement the IRB’s review</w:t>
      </w:r>
      <w:r w:rsidRPr="00AA4677">
        <w:rPr>
          <w:rFonts w:eastAsia="Times New Roman" w:cs="Times New Roman"/>
          <w:szCs w:val="24"/>
        </w:rPr>
        <w:t>,</w:t>
      </w:r>
      <w:r w:rsidR="00BB6F14" w:rsidRPr="00AA4677">
        <w:rPr>
          <w:rFonts w:eastAsia="Times New Roman" w:cs="Times New Roman"/>
          <w:szCs w:val="24"/>
        </w:rPr>
        <w:t xml:space="preserve"> the IRB members are strongly encouraged to contact </w:t>
      </w:r>
      <w:r w:rsidRPr="00AA4677">
        <w:rPr>
          <w:rFonts w:eastAsia="Times New Roman" w:cs="Times New Roman"/>
          <w:szCs w:val="24"/>
        </w:rPr>
        <w:t xml:space="preserve">PIs </w:t>
      </w:r>
      <w:r w:rsidR="00BB6F14" w:rsidRPr="00AA4677">
        <w:rPr>
          <w:rFonts w:eastAsia="Times New Roman" w:cs="Times New Roman"/>
          <w:szCs w:val="24"/>
        </w:rPr>
        <w:t xml:space="preserve">with questions and clarifications ahead of the meeting </w:t>
      </w:r>
      <w:proofErr w:type="gramStart"/>
      <w:r w:rsidR="00BB6F14" w:rsidRPr="00AA4677">
        <w:rPr>
          <w:rFonts w:eastAsia="Times New Roman" w:cs="Times New Roman"/>
          <w:szCs w:val="24"/>
        </w:rPr>
        <w:t>in order to</w:t>
      </w:r>
      <w:proofErr w:type="gramEnd"/>
      <w:r w:rsidR="00BB6F14" w:rsidRPr="00AA4677">
        <w:rPr>
          <w:rFonts w:eastAsia="Times New Roman" w:cs="Times New Roman"/>
          <w:szCs w:val="24"/>
        </w:rPr>
        <w:t xml:space="preserve"> facilitate the review </w:t>
      </w:r>
      <w:proofErr w:type="gramStart"/>
      <w:r w:rsidR="00BB6F14" w:rsidRPr="00AA4677">
        <w:rPr>
          <w:rFonts w:eastAsia="Times New Roman" w:cs="Times New Roman"/>
          <w:szCs w:val="24"/>
        </w:rPr>
        <w:t>process, and</w:t>
      </w:r>
      <w:proofErr w:type="gramEnd"/>
      <w:r w:rsidR="00BB6F14" w:rsidRPr="00AA4677">
        <w:rPr>
          <w:rFonts w:eastAsia="Times New Roman" w:cs="Times New Roman"/>
          <w:szCs w:val="24"/>
        </w:rPr>
        <w:t xml:space="preserve"> decrease the probability of a deferral or disapproval determination. </w:t>
      </w:r>
    </w:p>
    <w:p w14:paraId="7F54BF90" w14:textId="6926E23A" w:rsidR="003E7C9E" w:rsidRPr="00AA4677" w:rsidRDefault="003E7C9E" w:rsidP="00C57C98">
      <w:pPr>
        <w:pStyle w:val="Heading3"/>
      </w:pPr>
      <w:r w:rsidRPr="00AA4677">
        <w:t xml:space="preserve">3.7.5 Materials to be </w:t>
      </w:r>
      <w:r w:rsidR="001353EB" w:rsidRPr="00AA4677">
        <w:t>Submitted</w:t>
      </w:r>
      <w:r w:rsidRPr="00AA4677">
        <w:t xml:space="preserve"> </w:t>
      </w:r>
      <w:r w:rsidR="005E64CB" w:rsidRPr="00AA4677">
        <w:t xml:space="preserve">for </w:t>
      </w:r>
      <w:r w:rsidR="00EE7207" w:rsidRPr="00AA4677">
        <w:t>IRB</w:t>
      </w:r>
      <w:r w:rsidRPr="00AA4677">
        <w:t xml:space="preserve"> Full Committee Review</w:t>
      </w:r>
    </w:p>
    <w:p w14:paraId="7145E887" w14:textId="0E198D15"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Each </w:t>
      </w:r>
      <w:r w:rsidR="00560DC7" w:rsidRPr="00AA4677">
        <w:rPr>
          <w:rFonts w:eastAsia="Times New Roman" w:cs="Times New Roman"/>
          <w:szCs w:val="24"/>
        </w:rPr>
        <w:t>IRB</w:t>
      </w:r>
      <w:r w:rsidRPr="00AA4677">
        <w:rPr>
          <w:rFonts w:eastAsia="Times New Roman" w:cs="Times New Roman"/>
          <w:szCs w:val="24"/>
        </w:rPr>
        <w:t xml:space="preserve"> member will be given access to </w:t>
      </w:r>
      <w:r w:rsidR="007F55B4" w:rsidRPr="00AA4677">
        <w:rPr>
          <w:rFonts w:eastAsia="Times New Roman" w:cs="Times New Roman"/>
          <w:szCs w:val="24"/>
        </w:rPr>
        <w:t xml:space="preserve">all submission materials </w:t>
      </w:r>
      <w:r w:rsidR="00560DC7" w:rsidRPr="00AA4677">
        <w:rPr>
          <w:rFonts w:eastAsia="Times New Roman" w:cs="Times New Roman"/>
          <w:szCs w:val="24"/>
        </w:rPr>
        <w:t>for all studies</w:t>
      </w:r>
      <w:r w:rsidRPr="00AA4677">
        <w:rPr>
          <w:rFonts w:eastAsia="Times New Roman" w:cs="Times New Roman"/>
          <w:szCs w:val="24"/>
        </w:rPr>
        <w:t xml:space="preserve"> on the agenda:</w:t>
      </w:r>
    </w:p>
    <w:p w14:paraId="21F66E91" w14:textId="2E4F60A2"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following checklists summarize the document requirements for submission to </w:t>
      </w:r>
      <w:r w:rsidR="00560DC7"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w:t>
      </w:r>
    </w:p>
    <w:p w14:paraId="0799E757" w14:textId="77777777" w:rsidR="00A72044" w:rsidRPr="00AA4677" w:rsidRDefault="00A72044" w:rsidP="00A72044">
      <w:pPr>
        <w:shd w:val="clear" w:color="auto" w:fill="FFFFFF"/>
        <w:spacing w:after="0" w:line="240" w:lineRule="auto"/>
        <w:rPr>
          <w:rFonts w:eastAsia="Times New Roman" w:cs="Times New Roman"/>
          <w:szCs w:val="24"/>
        </w:rPr>
      </w:pPr>
      <w:r w:rsidRPr="00AA4677">
        <w:rPr>
          <w:b/>
        </w:rPr>
        <w:lastRenderedPageBreak/>
        <w:t xml:space="preserve">For initial submissions:  </w:t>
      </w:r>
    </w:p>
    <w:p w14:paraId="364CA89B" w14:textId="77777777" w:rsidR="00A72044" w:rsidRPr="00AA4677" w:rsidRDefault="00A72044" w:rsidP="00A72044">
      <w:pPr>
        <w:shd w:val="clear" w:color="auto" w:fill="FFFFFF"/>
        <w:spacing w:after="0" w:line="240" w:lineRule="auto"/>
        <w:rPr>
          <w:rFonts w:eastAsia="Times New Roman" w:cs="Times New Roman"/>
          <w:szCs w:val="24"/>
        </w:rPr>
      </w:pPr>
      <w:r w:rsidRPr="00AA4677">
        <w:rPr>
          <w:rFonts w:eastAsia="Times New Roman" w:cs="Times New Roman"/>
          <w:szCs w:val="24"/>
        </w:rPr>
        <w:t xml:space="preserve"> </w:t>
      </w:r>
    </w:p>
    <w:p w14:paraId="35ED1E65" w14:textId="2DBEA48B" w:rsidR="00A72044" w:rsidRPr="00AA4677" w:rsidRDefault="006A7B34" w:rsidP="008B3BCA">
      <w:pPr>
        <w:shd w:val="clear" w:color="auto" w:fill="FFFFFF"/>
        <w:spacing w:after="0" w:line="240" w:lineRule="auto"/>
        <w:rPr>
          <w:rFonts w:eastAsia="Times New Roman" w:cs="Times New Roman"/>
          <w:szCs w:val="24"/>
        </w:rPr>
      </w:pPr>
      <w:r w:rsidRPr="00AA4677">
        <w:rPr>
          <w:rFonts w:eastAsia="Times New Roman" w:cs="Times New Roman"/>
          <w:szCs w:val="24"/>
        </w:rPr>
        <w:t>Registration Form and /or</w:t>
      </w:r>
      <w:r w:rsidR="00A72044" w:rsidRPr="00AA4677">
        <w:rPr>
          <w:rFonts w:eastAsia="Times New Roman" w:cs="Times New Roman"/>
          <w:szCs w:val="24"/>
        </w:rPr>
        <w:t xml:space="preserve"> Application </w:t>
      </w:r>
    </w:p>
    <w:p w14:paraId="64B3EB98" w14:textId="77777777" w:rsidR="00A72044" w:rsidRPr="00AA4677" w:rsidRDefault="00A72044" w:rsidP="008B3BCA">
      <w:pPr>
        <w:shd w:val="clear" w:color="auto" w:fill="FFFFFF"/>
        <w:spacing w:after="0" w:line="240" w:lineRule="auto"/>
        <w:rPr>
          <w:rFonts w:eastAsia="Times New Roman" w:cs="Times New Roman"/>
          <w:szCs w:val="24"/>
        </w:rPr>
      </w:pPr>
      <w:r w:rsidRPr="00AA4677">
        <w:rPr>
          <w:rFonts w:eastAsia="Times New Roman" w:cs="Times New Roman"/>
          <w:szCs w:val="24"/>
        </w:rPr>
        <w:t>Study protocol</w:t>
      </w:r>
    </w:p>
    <w:p w14:paraId="65621D6D" w14:textId="77777777" w:rsidR="00A72044" w:rsidRPr="00AA4677" w:rsidRDefault="00A72044" w:rsidP="008B3BCA">
      <w:pPr>
        <w:shd w:val="clear" w:color="auto" w:fill="FFFFFF"/>
        <w:spacing w:after="0" w:line="240" w:lineRule="auto"/>
        <w:rPr>
          <w:rFonts w:eastAsia="Times New Roman" w:cs="Times New Roman"/>
          <w:szCs w:val="24"/>
        </w:rPr>
      </w:pPr>
      <w:r w:rsidRPr="00AA4677">
        <w:rPr>
          <w:rFonts w:eastAsia="Times New Roman" w:cs="Times New Roman"/>
          <w:szCs w:val="24"/>
        </w:rPr>
        <w:t>Consent/permission/assent documents</w:t>
      </w:r>
    </w:p>
    <w:p w14:paraId="000FDE6E" w14:textId="77777777" w:rsidR="00A72044" w:rsidRPr="00AA4677" w:rsidRDefault="00A72044" w:rsidP="008B3BCA">
      <w:pPr>
        <w:shd w:val="clear" w:color="auto" w:fill="FFFFFF"/>
        <w:spacing w:after="0" w:line="240" w:lineRule="auto"/>
        <w:rPr>
          <w:rFonts w:eastAsia="Times New Roman" w:cs="Times New Roman"/>
          <w:szCs w:val="24"/>
        </w:rPr>
      </w:pPr>
      <w:r w:rsidRPr="00AA4677">
        <w:rPr>
          <w:rFonts w:eastAsia="Times New Roman" w:cs="Times New Roman"/>
          <w:szCs w:val="24"/>
        </w:rPr>
        <w:t>Recruitment materials</w:t>
      </w:r>
    </w:p>
    <w:p w14:paraId="7BD4D0CA" w14:textId="77777777" w:rsidR="00A72044" w:rsidRPr="00AA4677" w:rsidRDefault="00A72044" w:rsidP="008B3BCA">
      <w:pPr>
        <w:shd w:val="clear" w:color="auto" w:fill="FFFFFF"/>
        <w:spacing w:after="0" w:line="240" w:lineRule="auto"/>
        <w:rPr>
          <w:rFonts w:eastAsia="Times New Roman" w:cs="Times New Roman"/>
          <w:szCs w:val="24"/>
        </w:rPr>
      </w:pPr>
      <w:r w:rsidRPr="00AA4677">
        <w:rPr>
          <w:rFonts w:eastAsia="Times New Roman" w:cs="Times New Roman"/>
          <w:szCs w:val="24"/>
        </w:rPr>
        <w:t>Data collection sheets (e.g., spreadsheets, case report forms)</w:t>
      </w:r>
    </w:p>
    <w:p w14:paraId="2E5AC361" w14:textId="77777777" w:rsidR="00A72044" w:rsidRPr="00AA4677" w:rsidRDefault="00A72044" w:rsidP="008B3BCA">
      <w:pPr>
        <w:shd w:val="clear" w:color="auto" w:fill="FFFFFF"/>
        <w:spacing w:after="0" w:line="240" w:lineRule="auto"/>
        <w:rPr>
          <w:rFonts w:eastAsia="Times New Roman" w:cs="Times New Roman"/>
          <w:szCs w:val="24"/>
        </w:rPr>
      </w:pPr>
      <w:r w:rsidRPr="00AA4677">
        <w:rPr>
          <w:rFonts w:eastAsia="Times New Roman" w:cs="Times New Roman"/>
          <w:szCs w:val="24"/>
        </w:rPr>
        <w:t>Surveys, questionnaires</w:t>
      </w:r>
    </w:p>
    <w:p w14:paraId="68FA626B" w14:textId="77777777" w:rsidR="00A72044" w:rsidRPr="00AA4677" w:rsidRDefault="00A72044" w:rsidP="008B3BCA">
      <w:pPr>
        <w:shd w:val="clear" w:color="auto" w:fill="FFFFFF"/>
        <w:spacing w:after="0" w:line="240" w:lineRule="auto"/>
        <w:rPr>
          <w:rFonts w:eastAsia="Times New Roman" w:cs="Times New Roman"/>
          <w:szCs w:val="24"/>
        </w:rPr>
      </w:pPr>
      <w:r w:rsidRPr="00AA4677">
        <w:rPr>
          <w:rFonts w:eastAsia="Times New Roman" w:cs="Times New Roman"/>
          <w:szCs w:val="24"/>
        </w:rPr>
        <w:t>As applicable:</w:t>
      </w:r>
    </w:p>
    <w:p w14:paraId="689E924A" w14:textId="77777777" w:rsidR="00A72044" w:rsidRPr="00AA4677" w:rsidRDefault="00A72044" w:rsidP="00323652">
      <w:pPr>
        <w:shd w:val="clear" w:color="auto" w:fill="FFFFFF"/>
        <w:spacing w:after="0" w:line="240" w:lineRule="auto"/>
        <w:ind w:left="720"/>
        <w:rPr>
          <w:rFonts w:eastAsia="Times New Roman" w:cs="Times New Roman"/>
          <w:szCs w:val="24"/>
        </w:rPr>
      </w:pPr>
      <w:r w:rsidRPr="00AA4677">
        <w:rPr>
          <w:rFonts w:eastAsia="Times New Roman" w:cs="Times New Roman"/>
          <w:szCs w:val="24"/>
        </w:rPr>
        <w:t>Supplemental Forms:</w:t>
      </w:r>
    </w:p>
    <w:p w14:paraId="265EFE8C" w14:textId="0E8A8EBC" w:rsidR="00A72044" w:rsidRPr="00AA4677" w:rsidRDefault="00A72044">
      <w:pPr>
        <w:pStyle w:val="ListParagraph"/>
        <w:numPr>
          <w:ilvl w:val="2"/>
          <w:numId w:val="286"/>
        </w:numPr>
        <w:shd w:val="clear" w:color="auto" w:fill="FFFFFF"/>
        <w:spacing w:after="0" w:line="240" w:lineRule="auto"/>
        <w:ind w:left="1080"/>
        <w:rPr>
          <w:rFonts w:eastAsia="Times New Roman" w:cs="Times New Roman"/>
          <w:szCs w:val="24"/>
        </w:rPr>
      </w:pPr>
      <w:r w:rsidRPr="00AA4677">
        <w:rPr>
          <w:rFonts w:eastAsia="Times New Roman" w:cs="Times New Roman"/>
          <w:szCs w:val="24"/>
        </w:rPr>
        <w:t xml:space="preserve">A: Pregnant Women, Fetuses, </w:t>
      </w:r>
      <w:r w:rsidR="00877DBD" w:rsidRPr="00AA4677">
        <w:rPr>
          <w:rFonts w:eastAsia="Times New Roman" w:cs="Times New Roman"/>
          <w:szCs w:val="24"/>
        </w:rPr>
        <w:t>Viable, Non-viable and Neonates of Uncertain Viability</w:t>
      </w:r>
    </w:p>
    <w:p w14:paraId="2557F649" w14:textId="77777777" w:rsidR="00A72044" w:rsidRPr="00AA4677" w:rsidRDefault="00A72044">
      <w:pPr>
        <w:pStyle w:val="ListParagraph"/>
        <w:numPr>
          <w:ilvl w:val="2"/>
          <w:numId w:val="286"/>
        </w:numPr>
        <w:shd w:val="clear" w:color="auto" w:fill="FFFFFF"/>
        <w:spacing w:after="0" w:line="240" w:lineRule="auto"/>
        <w:ind w:left="1080"/>
        <w:rPr>
          <w:rFonts w:eastAsia="Times New Roman" w:cs="Times New Roman"/>
          <w:szCs w:val="24"/>
        </w:rPr>
      </w:pPr>
      <w:r w:rsidRPr="00AA4677">
        <w:rPr>
          <w:rFonts w:eastAsia="Times New Roman" w:cs="Times New Roman"/>
          <w:szCs w:val="24"/>
        </w:rPr>
        <w:t>B: Prisoners</w:t>
      </w:r>
    </w:p>
    <w:p w14:paraId="3A90158D" w14:textId="77777777" w:rsidR="00A72044" w:rsidRPr="00AA4677" w:rsidRDefault="00A72044">
      <w:pPr>
        <w:pStyle w:val="ListParagraph"/>
        <w:numPr>
          <w:ilvl w:val="2"/>
          <w:numId w:val="286"/>
        </w:numPr>
        <w:shd w:val="clear" w:color="auto" w:fill="FFFFFF"/>
        <w:spacing w:after="0" w:line="240" w:lineRule="auto"/>
        <w:ind w:left="1080"/>
        <w:rPr>
          <w:rFonts w:eastAsia="Times New Roman" w:cs="Times New Roman"/>
          <w:szCs w:val="24"/>
        </w:rPr>
      </w:pPr>
      <w:r w:rsidRPr="00AA4677">
        <w:rPr>
          <w:rFonts w:eastAsia="Times New Roman" w:cs="Times New Roman"/>
          <w:szCs w:val="24"/>
        </w:rPr>
        <w:t>C: International Research</w:t>
      </w:r>
    </w:p>
    <w:p w14:paraId="4497A38E" w14:textId="77777777" w:rsidR="00A72044" w:rsidRPr="00AA4677" w:rsidRDefault="00A72044">
      <w:pPr>
        <w:pStyle w:val="ListParagraph"/>
        <w:numPr>
          <w:ilvl w:val="2"/>
          <w:numId w:val="286"/>
        </w:numPr>
        <w:shd w:val="clear" w:color="auto" w:fill="FFFFFF"/>
        <w:spacing w:after="0" w:line="240" w:lineRule="auto"/>
        <w:ind w:left="1080"/>
        <w:rPr>
          <w:rFonts w:eastAsia="Times New Roman" w:cs="Times New Roman"/>
          <w:szCs w:val="24"/>
        </w:rPr>
      </w:pPr>
      <w:r w:rsidRPr="00AA4677">
        <w:rPr>
          <w:rFonts w:eastAsia="Times New Roman" w:cs="Times New Roman"/>
          <w:szCs w:val="24"/>
        </w:rPr>
        <w:t>D: ICH-GCP</w:t>
      </w:r>
    </w:p>
    <w:p w14:paraId="086A568E" w14:textId="045E1268" w:rsidR="00A72044" w:rsidRPr="00AA4677" w:rsidRDefault="00E2413E">
      <w:pPr>
        <w:pStyle w:val="ListParagraph"/>
        <w:numPr>
          <w:ilvl w:val="2"/>
          <w:numId w:val="286"/>
        </w:numPr>
        <w:shd w:val="clear" w:color="auto" w:fill="FFFFFF"/>
        <w:spacing w:after="0" w:line="240" w:lineRule="auto"/>
        <w:ind w:left="1080"/>
        <w:rPr>
          <w:rFonts w:eastAsia="Times New Roman" w:cs="Times New Roman"/>
          <w:szCs w:val="24"/>
        </w:rPr>
      </w:pPr>
      <w:r w:rsidRPr="00AA4677">
        <w:rPr>
          <w:rFonts w:eastAsia="Times New Roman" w:cs="Times New Roman"/>
          <w:szCs w:val="24"/>
        </w:rPr>
        <w:t>F</w:t>
      </w:r>
      <w:r w:rsidR="00A72044" w:rsidRPr="00AA4677">
        <w:rPr>
          <w:rFonts w:eastAsia="Times New Roman" w:cs="Times New Roman"/>
          <w:szCs w:val="24"/>
        </w:rPr>
        <w:t>: Minors</w:t>
      </w:r>
    </w:p>
    <w:p w14:paraId="72874280" w14:textId="77777777" w:rsidR="00A72044" w:rsidRPr="00AA4677" w:rsidRDefault="00A72044">
      <w:pPr>
        <w:pStyle w:val="ListParagraph"/>
        <w:numPr>
          <w:ilvl w:val="2"/>
          <w:numId w:val="286"/>
        </w:numPr>
        <w:shd w:val="clear" w:color="auto" w:fill="FFFFFF"/>
        <w:spacing w:after="0" w:line="240" w:lineRule="auto"/>
        <w:ind w:left="1080"/>
        <w:rPr>
          <w:rFonts w:eastAsia="Times New Roman" w:cs="Times New Roman"/>
          <w:szCs w:val="24"/>
        </w:rPr>
      </w:pPr>
      <w:r w:rsidRPr="00AA4677">
        <w:rPr>
          <w:rFonts w:eastAsia="Times New Roman" w:cs="Times New Roman"/>
          <w:szCs w:val="24"/>
        </w:rPr>
        <w:t>G: Consent Waivers</w:t>
      </w:r>
    </w:p>
    <w:p w14:paraId="4A0F1C30" w14:textId="77777777" w:rsidR="00A72044" w:rsidRPr="00AA4677" w:rsidRDefault="00A72044" w:rsidP="00323652">
      <w:pPr>
        <w:shd w:val="clear" w:color="auto" w:fill="FFFFFF"/>
        <w:spacing w:after="0" w:line="240" w:lineRule="auto"/>
        <w:ind w:left="720"/>
        <w:rPr>
          <w:rFonts w:eastAsia="Times New Roman" w:cs="Times New Roman"/>
          <w:szCs w:val="24"/>
        </w:rPr>
      </w:pPr>
      <w:r w:rsidRPr="00AA4677">
        <w:rPr>
          <w:rFonts w:eastAsia="Times New Roman" w:cs="Times New Roman"/>
          <w:szCs w:val="24"/>
        </w:rPr>
        <w:t xml:space="preserve">HIPAA forms </w:t>
      </w:r>
    </w:p>
    <w:p w14:paraId="40B948A9" w14:textId="77777777" w:rsidR="00A72044" w:rsidRPr="00AA4677" w:rsidRDefault="00A72044" w:rsidP="00323652">
      <w:pPr>
        <w:shd w:val="clear" w:color="auto" w:fill="FFFFFF"/>
        <w:spacing w:after="0" w:line="240" w:lineRule="auto"/>
        <w:ind w:left="720"/>
        <w:rPr>
          <w:rFonts w:eastAsia="Times New Roman" w:cs="Times New Roman"/>
          <w:szCs w:val="24"/>
        </w:rPr>
      </w:pPr>
      <w:r w:rsidRPr="00AA4677">
        <w:rPr>
          <w:rFonts w:eastAsia="Times New Roman" w:cs="Times New Roman"/>
          <w:szCs w:val="24"/>
        </w:rPr>
        <w:t>University Hospital Approval form</w:t>
      </w:r>
    </w:p>
    <w:p w14:paraId="1F255277" w14:textId="77777777" w:rsidR="00A72044" w:rsidRPr="00AA4677" w:rsidRDefault="00A72044" w:rsidP="00323652">
      <w:pPr>
        <w:shd w:val="clear" w:color="auto" w:fill="FFFFFF"/>
        <w:spacing w:after="0" w:line="240" w:lineRule="auto"/>
        <w:ind w:left="720"/>
        <w:rPr>
          <w:rFonts w:eastAsia="Times New Roman" w:cs="Times New Roman"/>
          <w:szCs w:val="24"/>
        </w:rPr>
      </w:pPr>
      <w:r w:rsidRPr="00AA4677">
        <w:rPr>
          <w:rFonts w:eastAsia="Times New Roman" w:cs="Times New Roman"/>
          <w:szCs w:val="24"/>
        </w:rPr>
        <w:t xml:space="preserve">Protocol Review Committee (PRC) Approval (oncology studies only) </w:t>
      </w:r>
    </w:p>
    <w:p w14:paraId="75D95540" w14:textId="77777777" w:rsidR="00A72044" w:rsidRPr="00AA4677" w:rsidRDefault="00A72044" w:rsidP="00323652">
      <w:pPr>
        <w:shd w:val="clear" w:color="auto" w:fill="FFFFFF"/>
        <w:spacing w:after="0" w:line="240" w:lineRule="auto"/>
        <w:ind w:left="720"/>
        <w:rPr>
          <w:rFonts w:eastAsia="Times New Roman" w:cs="Times New Roman"/>
          <w:szCs w:val="24"/>
        </w:rPr>
      </w:pPr>
      <w:r w:rsidRPr="00AA4677">
        <w:rPr>
          <w:rFonts w:eastAsia="Times New Roman" w:cs="Times New Roman"/>
          <w:szCs w:val="24"/>
        </w:rPr>
        <w:t>Fee authorization form (for industry studies going to CRRI)</w:t>
      </w:r>
    </w:p>
    <w:p w14:paraId="2DA87708" w14:textId="77777777" w:rsidR="00A72044" w:rsidRPr="00AA4677" w:rsidRDefault="00A72044" w:rsidP="00323652">
      <w:pPr>
        <w:shd w:val="clear" w:color="auto" w:fill="FFFFFF"/>
        <w:spacing w:after="0" w:line="240" w:lineRule="auto"/>
        <w:ind w:left="720"/>
        <w:rPr>
          <w:rFonts w:eastAsia="Times New Roman" w:cs="Times New Roman"/>
          <w:szCs w:val="24"/>
        </w:rPr>
      </w:pPr>
      <w:r w:rsidRPr="00AA4677">
        <w:rPr>
          <w:rFonts w:eastAsia="Times New Roman" w:cs="Times New Roman"/>
          <w:szCs w:val="24"/>
        </w:rPr>
        <w:t xml:space="preserve">Scientific merit review (for industry studies going to CRRI or NCI CIRB) </w:t>
      </w:r>
    </w:p>
    <w:p w14:paraId="32EB2E45" w14:textId="785E4B36" w:rsidR="00A72044" w:rsidRPr="00AA4677" w:rsidRDefault="00A72044" w:rsidP="00323652">
      <w:pPr>
        <w:shd w:val="clear" w:color="auto" w:fill="FFFFFF"/>
        <w:spacing w:after="0" w:line="240" w:lineRule="auto"/>
        <w:ind w:firstLine="720"/>
        <w:rPr>
          <w:rFonts w:eastAsia="Times New Roman" w:cs="Times New Roman"/>
          <w:szCs w:val="24"/>
        </w:rPr>
      </w:pPr>
      <w:r w:rsidRPr="00AA4677">
        <w:rPr>
          <w:rFonts w:eastAsia="Times New Roman" w:cs="Times New Roman"/>
          <w:szCs w:val="24"/>
        </w:rPr>
        <w:t>Inclusion/exclusio</w:t>
      </w:r>
      <w:r w:rsidR="004E243D" w:rsidRPr="00AA4677">
        <w:rPr>
          <w:rFonts w:eastAsia="Times New Roman" w:cs="Times New Roman"/>
          <w:szCs w:val="24"/>
        </w:rPr>
        <w:t xml:space="preserve">n checklist </w:t>
      </w:r>
    </w:p>
    <w:p w14:paraId="50C11AEE" w14:textId="10335636" w:rsidR="000347A9" w:rsidRPr="00AA4677" w:rsidRDefault="000347A9" w:rsidP="00323652">
      <w:pPr>
        <w:shd w:val="clear" w:color="auto" w:fill="FFFFFF"/>
        <w:spacing w:after="0" w:line="240" w:lineRule="auto"/>
        <w:ind w:firstLine="720"/>
        <w:rPr>
          <w:rFonts w:eastAsia="Times New Roman" w:cs="Times New Roman"/>
          <w:szCs w:val="24"/>
        </w:rPr>
      </w:pPr>
      <w:r w:rsidRPr="00AA4677">
        <w:rPr>
          <w:rFonts w:eastAsia="Times New Roman" w:cs="Times New Roman"/>
          <w:szCs w:val="24"/>
        </w:rPr>
        <w:t>Package inserts for approved drugs/devices</w:t>
      </w:r>
    </w:p>
    <w:p w14:paraId="1B330AD5" w14:textId="53BD0AA9" w:rsidR="000347A9" w:rsidRPr="00AA4677" w:rsidRDefault="000347A9" w:rsidP="00323652">
      <w:pPr>
        <w:shd w:val="clear" w:color="auto" w:fill="FFFFFF"/>
        <w:spacing w:after="0" w:line="240" w:lineRule="auto"/>
        <w:ind w:firstLine="720"/>
        <w:rPr>
          <w:rFonts w:eastAsia="Times New Roman" w:cs="Times New Roman"/>
          <w:szCs w:val="24"/>
        </w:rPr>
      </w:pPr>
      <w:r w:rsidRPr="00AA4677">
        <w:rPr>
          <w:rFonts w:eastAsia="Times New Roman" w:cs="Times New Roman"/>
          <w:szCs w:val="24"/>
        </w:rPr>
        <w:t>Investigator brochures for investigational drugs/devices</w:t>
      </w:r>
    </w:p>
    <w:p w14:paraId="035AE809" w14:textId="77777777" w:rsidR="00A72044" w:rsidRPr="00AA4677" w:rsidRDefault="00A72044" w:rsidP="00A72044">
      <w:pPr>
        <w:shd w:val="clear" w:color="auto" w:fill="FFFFFF"/>
        <w:spacing w:after="0" w:line="240" w:lineRule="auto"/>
        <w:ind w:left="1440"/>
        <w:rPr>
          <w:rFonts w:eastAsia="Times New Roman" w:cs="Times New Roman"/>
          <w:szCs w:val="24"/>
        </w:rPr>
      </w:pPr>
    </w:p>
    <w:p w14:paraId="51844203" w14:textId="77777777" w:rsidR="00A72044" w:rsidRPr="00AA4677" w:rsidRDefault="00A72044" w:rsidP="00A72044">
      <w:pPr>
        <w:shd w:val="clear" w:color="auto" w:fill="FFFFFF"/>
        <w:spacing w:after="0" w:line="240" w:lineRule="auto"/>
        <w:rPr>
          <w:rFonts w:eastAsia="Times New Roman" w:cs="Times New Roman"/>
          <w:b/>
          <w:szCs w:val="24"/>
        </w:rPr>
      </w:pPr>
      <w:r w:rsidRPr="00AA4677">
        <w:rPr>
          <w:b/>
        </w:rPr>
        <w:t xml:space="preserve">For continuing review submissions:  </w:t>
      </w:r>
    </w:p>
    <w:p w14:paraId="59E55564" w14:textId="77777777" w:rsidR="00A72044" w:rsidRPr="00AA4677" w:rsidRDefault="00A72044" w:rsidP="00A72044">
      <w:pPr>
        <w:shd w:val="clear" w:color="auto" w:fill="FFFFFF"/>
        <w:spacing w:after="0" w:line="240" w:lineRule="auto"/>
        <w:rPr>
          <w:rFonts w:eastAsia="Times New Roman" w:cs="Times New Roman"/>
          <w:szCs w:val="24"/>
        </w:rPr>
      </w:pPr>
      <w:r w:rsidRPr="00AA4677">
        <w:rPr>
          <w:rFonts w:eastAsia="Times New Roman" w:cs="Times New Roman"/>
          <w:szCs w:val="24"/>
        </w:rPr>
        <w:t xml:space="preserve"> </w:t>
      </w:r>
    </w:p>
    <w:p w14:paraId="4E09B12C" w14:textId="4F8D1806" w:rsidR="00A72044" w:rsidRPr="00AA4677" w:rsidRDefault="00A72044" w:rsidP="008B3BCA">
      <w:pPr>
        <w:shd w:val="clear" w:color="auto" w:fill="FFFFFF"/>
        <w:spacing w:after="0" w:line="240" w:lineRule="auto"/>
        <w:rPr>
          <w:rFonts w:eastAsia="Times New Roman" w:cs="Times New Roman"/>
          <w:szCs w:val="24"/>
        </w:rPr>
      </w:pPr>
      <w:r w:rsidRPr="00AA4677">
        <w:rPr>
          <w:rFonts w:eastAsia="Times New Roman" w:cs="Times New Roman"/>
          <w:szCs w:val="24"/>
        </w:rPr>
        <w:t>Registra</w:t>
      </w:r>
      <w:r w:rsidR="006A7B34" w:rsidRPr="00AA4677">
        <w:rPr>
          <w:rFonts w:eastAsia="Times New Roman" w:cs="Times New Roman"/>
          <w:szCs w:val="24"/>
        </w:rPr>
        <w:t>tion Form and /or</w:t>
      </w:r>
      <w:r w:rsidRPr="00AA4677">
        <w:rPr>
          <w:rFonts w:eastAsia="Times New Roman" w:cs="Times New Roman"/>
          <w:szCs w:val="24"/>
        </w:rPr>
        <w:t xml:space="preserve"> Application </w:t>
      </w:r>
    </w:p>
    <w:p w14:paraId="64DEC8A3" w14:textId="77777777" w:rsidR="00A72044" w:rsidRPr="00AA4677" w:rsidRDefault="00A72044" w:rsidP="008B3BCA">
      <w:pPr>
        <w:shd w:val="clear" w:color="auto" w:fill="FFFFFF"/>
        <w:spacing w:after="0" w:line="240" w:lineRule="auto"/>
        <w:rPr>
          <w:rFonts w:eastAsia="Times New Roman" w:cs="Times New Roman"/>
          <w:szCs w:val="24"/>
        </w:rPr>
      </w:pPr>
      <w:r w:rsidRPr="00AA4677">
        <w:rPr>
          <w:rFonts w:eastAsia="Times New Roman" w:cs="Times New Roman"/>
          <w:szCs w:val="24"/>
        </w:rPr>
        <w:t>Study protocol</w:t>
      </w:r>
    </w:p>
    <w:p w14:paraId="51C40562" w14:textId="553A3A1A" w:rsidR="00A72044" w:rsidRPr="00AA4677" w:rsidRDefault="00A72044" w:rsidP="008B3BCA">
      <w:pPr>
        <w:shd w:val="clear" w:color="auto" w:fill="FFFFFF"/>
        <w:spacing w:after="0" w:line="240" w:lineRule="auto"/>
        <w:rPr>
          <w:rFonts w:eastAsia="Times New Roman" w:cs="Times New Roman"/>
          <w:szCs w:val="24"/>
        </w:rPr>
      </w:pPr>
      <w:r w:rsidRPr="00AA4677">
        <w:rPr>
          <w:rFonts w:eastAsia="Times New Roman" w:cs="Times New Roman"/>
          <w:szCs w:val="24"/>
        </w:rPr>
        <w:t>Recruitment materials</w:t>
      </w:r>
    </w:p>
    <w:p w14:paraId="35D3CEAA" w14:textId="5511F5B9" w:rsidR="00CB5578" w:rsidRPr="00AA4677" w:rsidRDefault="00CB5578" w:rsidP="008B3BCA">
      <w:pPr>
        <w:shd w:val="clear" w:color="auto" w:fill="FFFFFF"/>
        <w:spacing w:after="0" w:line="240" w:lineRule="auto"/>
        <w:rPr>
          <w:rFonts w:eastAsia="Times New Roman" w:cs="Times New Roman"/>
          <w:szCs w:val="24"/>
        </w:rPr>
      </w:pPr>
      <w:r w:rsidRPr="00AA4677">
        <w:rPr>
          <w:rFonts w:eastAsia="Times New Roman" w:cs="Times New Roman"/>
          <w:szCs w:val="24"/>
        </w:rPr>
        <w:t>Current and/or proposed consent</w:t>
      </w:r>
    </w:p>
    <w:p w14:paraId="2D0CAAC0" w14:textId="5D4BFC52" w:rsidR="00EE02D9" w:rsidRPr="00AA4677" w:rsidRDefault="00EE02D9" w:rsidP="008B3BCA">
      <w:pPr>
        <w:shd w:val="clear" w:color="auto" w:fill="FFFFFF"/>
        <w:spacing w:after="0" w:line="240" w:lineRule="auto"/>
        <w:rPr>
          <w:rFonts w:eastAsia="Times New Roman" w:cs="Times New Roman"/>
          <w:szCs w:val="24"/>
        </w:rPr>
      </w:pPr>
      <w:r w:rsidRPr="00AA4677">
        <w:rPr>
          <w:rFonts w:eastAsia="Times New Roman" w:cs="Times New Roman"/>
          <w:szCs w:val="24"/>
        </w:rPr>
        <w:t>Previously approved protocol modifications</w:t>
      </w:r>
    </w:p>
    <w:p w14:paraId="680F5737" w14:textId="77777777" w:rsidR="00A72044" w:rsidRPr="00AA4677" w:rsidRDefault="00A72044" w:rsidP="008B3BCA">
      <w:pPr>
        <w:shd w:val="clear" w:color="auto" w:fill="FFFFFF"/>
        <w:spacing w:after="0" w:line="240" w:lineRule="auto"/>
        <w:rPr>
          <w:rFonts w:eastAsia="Times New Roman" w:cstheme="minorHAnsi"/>
          <w:szCs w:val="24"/>
        </w:rPr>
      </w:pPr>
      <w:r w:rsidRPr="00AA4677">
        <w:rPr>
          <w:rFonts w:eastAsia="Times New Roman" w:cs="Times New Roman"/>
          <w:szCs w:val="24"/>
        </w:rPr>
        <w:t xml:space="preserve">Redacted </w:t>
      </w:r>
      <w:r w:rsidRPr="00AA4677">
        <w:rPr>
          <w:rFonts w:eastAsia="Times New Roman" w:cstheme="minorHAnsi"/>
          <w:szCs w:val="24"/>
        </w:rPr>
        <w:t>consent/permission/assent documents of last subject enrolled</w:t>
      </w:r>
    </w:p>
    <w:p w14:paraId="3B3ABF3E" w14:textId="77777777" w:rsidR="00A72044" w:rsidRPr="00AA4677" w:rsidRDefault="00A72044">
      <w:pPr>
        <w:pStyle w:val="ListParagraph"/>
        <w:numPr>
          <w:ilvl w:val="2"/>
          <w:numId w:val="284"/>
        </w:numPr>
        <w:shd w:val="clear" w:color="auto" w:fill="FFFFFF"/>
        <w:spacing w:after="0" w:line="240" w:lineRule="auto"/>
        <w:ind w:left="360"/>
        <w:rPr>
          <w:rFonts w:eastAsia="Times New Roman" w:cstheme="minorHAnsi"/>
          <w:szCs w:val="24"/>
        </w:rPr>
      </w:pPr>
      <w:r w:rsidRPr="00AA4677">
        <w:rPr>
          <w:rFonts w:eastAsia="Times New Roman" w:cstheme="minorHAnsi"/>
          <w:szCs w:val="24"/>
        </w:rPr>
        <w:t>Inclusion/exclusion checklist (clean, current)</w:t>
      </w:r>
    </w:p>
    <w:p w14:paraId="49577545" w14:textId="1F8D99D4" w:rsidR="00A72044" w:rsidRPr="00AA4677" w:rsidRDefault="00A72044">
      <w:pPr>
        <w:pStyle w:val="ListParagraph"/>
        <w:numPr>
          <w:ilvl w:val="2"/>
          <w:numId w:val="284"/>
        </w:numPr>
        <w:shd w:val="clear" w:color="auto" w:fill="FFFFFF"/>
        <w:spacing w:after="0" w:line="240" w:lineRule="auto"/>
        <w:ind w:left="360"/>
        <w:rPr>
          <w:rFonts w:eastAsia="Times New Roman" w:cstheme="minorHAnsi"/>
          <w:szCs w:val="24"/>
        </w:rPr>
      </w:pPr>
      <w:r w:rsidRPr="00AA4677">
        <w:rPr>
          <w:rFonts w:eastAsia="Times New Roman" w:cstheme="minorHAnsi"/>
          <w:szCs w:val="24"/>
        </w:rPr>
        <w:t xml:space="preserve">Redacted I/E checklist of last subject enrolled  </w:t>
      </w:r>
    </w:p>
    <w:p w14:paraId="2F91D849" w14:textId="77777777" w:rsidR="00A72044" w:rsidRPr="00AA4677" w:rsidRDefault="00A72044" w:rsidP="008B3BCA">
      <w:pPr>
        <w:shd w:val="clear" w:color="auto" w:fill="FFFFFF"/>
        <w:spacing w:after="0" w:line="240" w:lineRule="auto"/>
        <w:rPr>
          <w:rFonts w:eastAsia="Times New Roman" w:cstheme="minorHAnsi"/>
          <w:szCs w:val="24"/>
        </w:rPr>
      </w:pPr>
      <w:r w:rsidRPr="00AA4677">
        <w:rPr>
          <w:rFonts w:eastAsia="Times New Roman" w:cstheme="minorHAnsi"/>
          <w:szCs w:val="24"/>
        </w:rPr>
        <w:t>As applicable:</w:t>
      </w:r>
    </w:p>
    <w:p w14:paraId="0923334D" w14:textId="77777777" w:rsidR="00A72044" w:rsidRPr="00AA4677" w:rsidRDefault="00A72044">
      <w:pPr>
        <w:pStyle w:val="ListParagraph"/>
        <w:numPr>
          <w:ilvl w:val="2"/>
          <w:numId w:val="329"/>
        </w:numPr>
        <w:shd w:val="clear" w:color="auto" w:fill="FFFFFF"/>
        <w:spacing w:after="0" w:line="240" w:lineRule="auto"/>
        <w:ind w:left="1080"/>
        <w:rPr>
          <w:rFonts w:eastAsia="Times New Roman" w:cstheme="minorHAnsi"/>
          <w:szCs w:val="24"/>
        </w:rPr>
      </w:pPr>
      <w:r w:rsidRPr="00AA4677">
        <w:rPr>
          <w:rFonts w:eastAsia="Times New Roman" w:cstheme="minorHAnsi"/>
          <w:szCs w:val="24"/>
        </w:rPr>
        <w:t>Data safety monitoring board reports</w:t>
      </w:r>
    </w:p>
    <w:p w14:paraId="2673CF17" w14:textId="77777777" w:rsidR="00A72044" w:rsidRPr="00AA4677" w:rsidRDefault="00A72044">
      <w:pPr>
        <w:pStyle w:val="ListParagraph"/>
        <w:numPr>
          <w:ilvl w:val="2"/>
          <w:numId w:val="329"/>
        </w:numPr>
        <w:shd w:val="clear" w:color="auto" w:fill="FFFFFF"/>
        <w:spacing w:after="0" w:line="240" w:lineRule="auto"/>
        <w:ind w:left="1080"/>
        <w:rPr>
          <w:rFonts w:eastAsia="Times New Roman" w:cstheme="minorHAnsi"/>
          <w:szCs w:val="24"/>
        </w:rPr>
      </w:pPr>
      <w:r w:rsidRPr="00AA4677">
        <w:rPr>
          <w:rFonts w:eastAsia="Times New Roman" w:cstheme="minorHAnsi"/>
          <w:szCs w:val="24"/>
        </w:rPr>
        <w:t>Gov’t or sponsor audit/monitoring reports</w:t>
      </w:r>
    </w:p>
    <w:p w14:paraId="50F8ECEC" w14:textId="77777777" w:rsidR="00FF3ED1" w:rsidRPr="00AA4677" w:rsidRDefault="00FF3ED1" w:rsidP="00317664">
      <w:pPr>
        <w:pStyle w:val="Bullet2"/>
        <w:numPr>
          <w:ilvl w:val="0"/>
          <w:numId w:val="0"/>
        </w:numPr>
        <w:tabs>
          <w:tab w:val="clear" w:pos="1177"/>
          <w:tab w:val="clear" w:pos="2880"/>
        </w:tabs>
        <w:ind w:left="1080" w:hanging="360"/>
        <w:rPr>
          <w:rFonts w:asciiTheme="minorHAnsi" w:hAnsiTheme="minorHAnsi" w:cstheme="minorHAnsi"/>
        </w:rPr>
      </w:pPr>
      <w:r w:rsidRPr="00AA4677">
        <w:rPr>
          <w:rFonts w:asciiTheme="minorHAnsi" w:hAnsiTheme="minorHAnsi" w:cstheme="minorHAnsi"/>
        </w:rPr>
        <w:t>The status report on the progress of the research includes:</w:t>
      </w:r>
    </w:p>
    <w:p w14:paraId="78A601E2" w14:textId="77777777" w:rsidR="00FF3ED1" w:rsidRPr="00AA4677" w:rsidRDefault="00FF3ED1">
      <w:pPr>
        <w:pStyle w:val="Bullet3"/>
        <w:numPr>
          <w:ilvl w:val="2"/>
          <w:numId w:val="87"/>
        </w:numPr>
        <w:tabs>
          <w:tab w:val="clear" w:pos="1800"/>
        </w:tabs>
        <w:ind w:left="1440"/>
        <w:rPr>
          <w:rFonts w:asciiTheme="minorHAnsi" w:hAnsiTheme="minorHAnsi" w:cstheme="minorHAnsi"/>
        </w:rPr>
      </w:pPr>
      <w:r w:rsidRPr="00AA4677">
        <w:rPr>
          <w:rFonts w:asciiTheme="minorHAnsi" w:hAnsiTheme="minorHAnsi" w:cstheme="minorHAnsi"/>
        </w:rPr>
        <w:lastRenderedPageBreak/>
        <w:t>The number of participants accrued.</w:t>
      </w:r>
    </w:p>
    <w:p w14:paraId="13A32760" w14:textId="77777777" w:rsidR="00FF3ED1" w:rsidRPr="00AA4677" w:rsidRDefault="00FF3ED1">
      <w:pPr>
        <w:pStyle w:val="Bullet3"/>
        <w:numPr>
          <w:ilvl w:val="2"/>
          <w:numId w:val="87"/>
        </w:numPr>
        <w:tabs>
          <w:tab w:val="clear" w:pos="1800"/>
        </w:tabs>
        <w:ind w:left="1440"/>
        <w:rPr>
          <w:rFonts w:asciiTheme="minorHAnsi" w:hAnsiTheme="minorHAnsi" w:cstheme="minorHAnsi"/>
        </w:rPr>
      </w:pPr>
      <w:r w:rsidRPr="00AA4677">
        <w:rPr>
          <w:rFonts w:asciiTheme="minorHAnsi" w:hAnsiTheme="minorHAnsi" w:cstheme="minorHAnsi"/>
        </w:rPr>
        <w:t xml:space="preserve">A summary </w:t>
      </w:r>
      <w:proofErr w:type="gramStart"/>
      <w:r w:rsidRPr="00AA4677">
        <w:rPr>
          <w:rFonts w:asciiTheme="minorHAnsi" w:hAnsiTheme="minorHAnsi" w:cstheme="minorHAnsi"/>
        </w:rPr>
        <w:t>since</w:t>
      </w:r>
      <w:proofErr w:type="gramEnd"/>
      <w:r w:rsidRPr="00AA4677">
        <w:rPr>
          <w:rFonts w:asciiTheme="minorHAnsi" w:hAnsiTheme="minorHAnsi" w:cstheme="minorHAnsi"/>
        </w:rPr>
        <w:t xml:space="preserve"> the last IRB review of:</w:t>
      </w:r>
    </w:p>
    <w:p w14:paraId="752A537B" w14:textId="6008ED17" w:rsidR="00FF3ED1" w:rsidRPr="00AA4677" w:rsidRDefault="00FF3ED1">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Adverse events and adverse outcomes experienced by participants.</w:t>
      </w:r>
    </w:p>
    <w:p w14:paraId="73D18C11" w14:textId="466488E4" w:rsidR="00FF3ED1" w:rsidRPr="00AA4677" w:rsidRDefault="00FF3ED1">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Unanticipated problems involving risks to participants or others.</w:t>
      </w:r>
    </w:p>
    <w:p w14:paraId="48F76814" w14:textId="0C9A310F" w:rsidR="00FF3ED1" w:rsidRPr="00AA4677" w:rsidRDefault="00FF3ED1">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Participant withdrawals.</w:t>
      </w:r>
    </w:p>
    <w:p w14:paraId="5660A380" w14:textId="42FDD77E" w:rsidR="00FF3ED1" w:rsidRPr="00AA4677" w:rsidRDefault="00FF3ED1">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The reasons for withdrawals.</w:t>
      </w:r>
    </w:p>
    <w:p w14:paraId="546D5657" w14:textId="6BEE9EA6" w:rsidR="00FF3ED1" w:rsidRPr="00AA4677" w:rsidRDefault="00FF3ED1">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Complaints about the research.</w:t>
      </w:r>
    </w:p>
    <w:p w14:paraId="01963694" w14:textId="7F2E7B64" w:rsidR="00FF3ED1" w:rsidRPr="00AA4677" w:rsidRDefault="00FF3ED1">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Amendments or modifications.</w:t>
      </w:r>
    </w:p>
    <w:p w14:paraId="7AB87F9D" w14:textId="3BC727BF" w:rsidR="00FF3ED1" w:rsidRPr="00AA4677" w:rsidRDefault="00FF3ED1">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Any relevant recent literature.</w:t>
      </w:r>
    </w:p>
    <w:p w14:paraId="13049E8E" w14:textId="5607AD7A" w:rsidR="00FF3ED1" w:rsidRPr="00AA4677" w:rsidRDefault="00FF3ED1">
      <w:pPr>
        <w:pStyle w:val="Bullet4"/>
        <w:numPr>
          <w:ilvl w:val="7"/>
          <w:numId w:val="87"/>
        </w:numPr>
        <w:tabs>
          <w:tab w:val="clear" w:pos="2520"/>
          <w:tab w:val="clear" w:pos="3193"/>
        </w:tabs>
        <w:ind w:left="1800"/>
        <w:rPr>
          <w:rFonts w:asciiTheme="minorHAnsi" w:hAnsiTheme="minorHAnsi" w:cstheme="minorHAnsi"/>
        </w:rPr>
      </w:pPr>
      <w:r w:rsidRPr="00AA4677">
        <w:rPr>
          <w:rFonts w:asciiTheme="minorHAnsi" w:hAnsiTheme="minorHAnsi" w:cstheme="minorHAnsi"/>
        </w:rPr>
        <w:t>Any interim findings.</w:t>
      </w:r>
    </w:p>
    <w:p w14:paraId="3343579F" w14:textId="77777777" w:rsidR="00FF3ED1" w:rsidRPr="00AA4677" w:rsidRDefault="00FF3ED1">
      <w:pPr>
        <w:pStyle w:val="Bullet3"/>
        <w:numPr>
          <w:ilvl w:val="2"/>
          <w:numId w:val="87"/>
        </w:numPr>
        <w:tabs>
          <w:tab w:val="clear" w:pos="1800"/>
        </w:tabs>
        <w:ind w:left="1440" w:hanging="270"/>
        <w:rPr>
          <w:rFonts w:asciiTheme="minorHAnsi" w:hAnsiTheme="minorHAnsi" w:cstheme="minorHAnsi"/>
        </w:rPr>
      </w:pPr>
      <w:r w:rsidRPr="00AA4677">
        <w:rPr>
          <w:rFonts w:asciiTheme="minorHAnsi" w:hAnsiTheme="minorHAnsi" w:cstheme="minorHAnsi"/>
        </w:rPr>
        <w:t>Any relevant multi-center trial reports.</w:t>
      </w:r>
    </w:p>
    <w:p w14:paraId="740F4479" w14:textId="047AD3A6" w:rsidR="00FF3ED1" w:rsidRPr="00AA4677" w:rsidRDefault="00FF3ED1">
      <w:pPr>
        <w:pStyle w:val="Bullet3"/>
        <w:numPr>
          <w:ilvl w:val="2"/>
          <w:numId w:val="87"/>
        </w:numPr>
        <w:tabs>
          <w:tab w:val="clear" w:pos="1800"/>
        </w:tabs>
        <w:ind w:left="1440" w:hanging="270"/>
        <w:rPr>
          <w:rFonts w:asciiTheme="minorHAnsi" w:hAnsiTheme="minorHAnsi" w:cstheme="minorHAnsi"/>
          <w:szCs w:val="24"/>
        </w:rPr>
      </w:pPr>
      <w:r w:rsidRPr="00AA4677">
        <w:rPr>
          <w:rFonts w:asciiTheme="minorHAnsi" w:hAnsiTheme="minorHAnsi" w:cstheme="minorHAnsi"/>
          <w:szCs w:val="24"/>
        </w:rPr>
        <w:t>The researcher’s current risk-potential benefit assessment based on study results.</w:t>
      </w:r>
    </w:p>
    <w:p w14:paraId="1773F5C3" w14:textId="685A878E"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Prior to sharing </w:t>
      </w:r>
      <w:r w:rsidR="007F55B4" w:rsidRPr="00AA4677">
        <w:rPr>
          <w:rFonts w:eastAsia="Times New Roman" w:cs="Times New Roman"/>
          <w:szCs w:val="24"/>
        </w:rPr>
        <w:t xml:space="preserve">submission </w:t>
      </w:r>
      <w:r w:rsidRPr="00AA4677">
        <w:rPr>
          <w:rFonts w:eastAsia="Times New Roman" w:cs="Times New Roman"/>
          <w:szCs w:val="24"/>
        </w:rPr>
        <w:t xml:space="preserve">materials with the </w:t>
      </w:r>
      <w:r w:rsidR="00EE7207" w:rsidRPr="00AA4677">
        <w:rPr>
          <w:rFonts w:eastAsia="Times New Roman" w:cs="Times New Roman"/>
          <w:szCs w:val="24"/>
        </w:rPr>
        <w:t>IRB</w:t>
      </w:r>
      <w:r w:rsidR="00560DC7" w:rsidRPr="00AA4677">
        <w:rPr>
          <w:rFonts w:eastAsia="Times New Roman" w:cs="Times New Roman"/>
          <w:szCs w:val="24"/>
        </w:rPr>
        <w:t xml:space="preserve"> </w:t>
      </w:r>
      <w:r w:rsidRPr="00AA4677">
        <w:rPr>
          <w:rFonts w:eastAsia="Times New Roman" w:cs="Times New Roman"/>
          <w:szCs w:val="24"/>
        </w:rPr>
        <w:t xml:space="preserve">members, </w:t>
      </w:r>
      <w:r w:rsidR="007F55B4" w:rsidRPr="00AA4677">
        <w:rPr>
          <w:rFonts w:eastAsia="Times New Roman" w:cs="Times New Roman"/>
          <w:szCs w:val="24"/>
        </w:rPr>
        <w:t>IRB staff</w:t>
      </w:r>
      <w:r w:rsidRPr="00AA4677">
        <w:rPr>
          <w:rFonts w:eastAsia="Times New Roman" w:cs="Times New Roman"/>
          <w:szCs w:val="24"/>
        </w:rPr>
        <w:t xml:space="preserve"> will verify that the application package is </w:t>
      </w:r>
      <w:r w:rsidR="00560DC7" w:rsidRPr="00AA4677">
        <w:rPr>
          <w:rFonts w:eastAsia="Times New Roman" w:cs="Times New Roman"/>
          <w:szCs w:val="24"/>
        </w:rPr>
        <w:t xml:space="preserve">electronically </w:t>
      </w:r>
      <w:r w:rsidRPr="00AA4677">
        <w:rPr>
          <w:rFonts w:eastAsia="Times New Roman" w:cs="Times New Roman"/>
          <w:szCs w:val="24"/>
        </w:rPr>
        <w:t xml:space="preserve">signed by the </w:t>
      </w:r>
      <w:proofErr w:type="gramStart"/>
      <w:r w:rsidR="005B39C8" w:rsidRPr="00AA4677">
        <w:rPr>
          <w:rFonts w:eastAsia="Times New Roman" w:cs="Times New Roman"/>
          <w:szCs w:val="24"/>
        </w:rPr>
        <w:t>r</w:t>
      </w:r>
      <w:r w:rsidRPr="00AA4677">
        <w:rPr>
          <w:rFonts w:eastAsia="Times New Roman" w:cs="Times New Roman"/>
          <w:szCs w:val="24"/>
        </w:rPr>
        <w:t xml:space="preserve">esponsible </w:t>
      </w:r>
      <w:r w:rsidR="005B39C8" w:rsidRPr="00AA4677">
        <w:rPr>
          <w:rFonts w:eastAsia="Times New Roman" w:cs="Times New Roman"/>
          <w:szCs w:val="24"/>
        </w:rPr>
        <w:t>p</w:t>
      </w:r>
      <w:r w:rsidRPr="00AA4677">
        <w:rPr>
          <w:rFonts w:eastAsia="Times New Roman" w:cs="Times New Roman"/>
          <w:szCs w:val="24"/>
        </w:rPr>
        <w:t xml:space="preserve">rincipal </w:t>
      </w:r>
      <w:r w:rsidR="005B39C8" w:rsidRPr="00AA4677">
        <w:rPr>
          <w:rFonts w:eastAsia="Times New Roman" w:cs="Times New Roman"/>
          <w:szCs w:val="24"/>
        </w:rPr>
        <w:t>i</w:t>
      </w:r>
      <w:r w:rsidRPr="00AA4677">
        <w:rPr>
          <w:rFonts w:eastAsia="Times New Roman" w:cs="Times New Roman"/>
          <w:szCs w:val="24"/>
        </w:rPr>
        <w:t>nvestigator</w:t>
      </w:r>
      <w:proofErr w:type="gramEnd"/>
      <w:r w:rsidRPr="00AA4677">
        <w:rPr>
          <w:rFonts w:eastAsia="Times New Roman" w:cs="Times New Roman"/>
          <w:szCs w:val="24"/>
        </w:rPr>
        <w:t xml:space="preserve">, and the departmental/departmental review committee chair. If the activity </w:t>
      </w:r>
      <w:proofErr w:type="gramStart"/>
      <w:r w:rsidRPr="00AA4677">
        <w:rPr>
          <w:rFonts w:eastAsia="Times New Roman" w:cs="Times New Roman"/>
          <w:szCs w:val="24"/>
        </w:rPr>
        <w:t>will impact</w:t>
      </w:r>
      <w:proofErr w:type="gramEnd"/>
      <w:r w:rsidRPr="00AA4677">
        <w:rPr>
          <w:rFonts w:eastAsia="Times New Roman" w:cs="Times New Roman"/>
          <w:szCs w:val="24"/>
        </w:rPr>
        <w:t xml:space="preserve"> another department</w:t>
      </w:r>
      <w:r w:rsidR="007F55B4" w:rsidRPr="00AA4677">
        <w:rPr>
          <w:rFonts w:eastAsia="Times New Roman" w:cs="Times New Roman"/>
          <w:szCs w:val="24"/>
        </w:rPr>
        <w:t>’s resources</w:t>
      </w:r>
      <w:r w:rsidRPr="00AA4677">
        <w:rPr>
          <w:rFonts w:eastAsia="Times New Roman" w:cs="Times New Roman"/>
          <w:szCs w:val="24"/>
        </w:rPr>
        <w:t xml:space="preserve"> (e.g., use of their facilities, patient populations, faculty, and/or staff, etc.), e</w:t>
      </w:r>
      <w:r w:rsidR="00560DC7" w:rsidRPr="00AA4677">
        <w:rPr>
          <w:rFonts w:eastAsia="Times New Roman" w:cs="Times New Roman"/>
          <w:szCs w:val="24"/>
        </w:rPr>
        <w:t xml:space="preserve">lectronic </w:t>
      </w:r>
      <w:proofErr w:type="gramStart"/>
      <w:r w:rsidRPr="00AA4677">
        <w:rPr>
          <w:rFonts w:eastAsia="Times New Roman" w:cs="Times New Roman"/>
          <w:szCs w:val="24"/>
        </w:rPr>
        <w:t>signature</w:t>
      </w:r>
      <w:proofErr w:type="gramEnd"/>
      <w:r w:rsidRPr="00AA4677">
        <w:rPr>
          <w:rFonts w:eastAsia="Times New Roman" w:cs="Times New Roman"/>
          <w:szCs w:val="24"/>
        </w:rPr>
        <w:t xml:space="preserve"> of that </w:t>
      </w:r>
      <w:r w:rsidR="001D23EA" w:rsidRPr="00AA4677">
        <w:rPr>
          <w:rFonts w:eastAsia="Times New Roman" w:cs="Times New Roman"/>
          <w:szCs w:val="24"/>
        </w:rPr>
        <w:t>d</w:t>
      </w:r>
      <w:r w:rsidRPr="00AA4677">
        <w:rPr>
          <w:rFonts w:eastAsia="Times New Roman" w:cs="Times New Roman"/>
          <w:szCs w:val="24"/>
        </w:rPr>
        <w:t>epartment’s chair will be required as well</w:t>
      </w:r>
      <w:r w:rsidR="002F34CC" w:rsidRPr="00AA4677">
        <w:rPr>
          <w:rFonts w:eastAsia="Times New Roman" w:cs="Times New Roman"/>
          <w:szCs w:val="24"/>
        </w:rPr>
        <w:t>.</w:t>
      </w:r>
    </w:p>
    <w:p w14:paraId="56A7EC7E" w14:textId="39F050B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Although </w:t>
      </w:r>
      <w:r w:rsidR="002F34CC" w:rsidRPr="00AA4677">
        <w:rPr>
          <w:rFonts w:eastAsia="Times New Roman" w:cs="Times New Roman"/>
          <w:szCs w:val="24"/>
        </w:rPr>
        <w:t xml:space="preserve">the </w:t>
      </w:r>
      <w:r w:rsidR="00DC5138" w:rsidRPr="00AA4677">
        <w:rPr>
          <w:rFonts w:eastAsia="Times New Roman" w:cs="Times New Roman"/>
          <w:szCs w:val="24"/>
        </w:rPr>
        <w:t>electronic management system</w:t>
      </w:r>
      <w:r w:rsidR="002F34CC" w:rsidRPr="00AA4677">
        <w:rPr>
          <w:rFonts w:eastAsia="Times New Roman" w:cs="Times New Roman"/>
          <w:szCs w:val="24"/>
        </w:rPr>
        <w:t xml:space="preserve"> </w:t>
      </w:r>
      <w:r w:rsidRPr="00AA4677">
        <w:rPr>
          <w:rFonts w:eastAsia="Times New Roman" w:cs="Times New Roman"/>
          <w:szCs w:val="24"/>
        </w:rPr>
        <w:t xml:space="preserve">permits all </w:t>
      </w:r>
      <w:r w:rsidR="00EE7207" w:rsidRPr="00AA4677">
        <w:rPr>
          <w:rFonts w:eastAsia="Times New Roman" w:cs="Times New Roman"/>
          <w:szCs w:val="24"/>
        </w:rPr>
        <w:t>IRB</w:t>
      </w:r>
      <w:r w:rsidR="00560DC7" w:rsidRPr="00AA4677">
        <w:rPr>
          <w:rFonts w:eastAsia="Times New Roman" w:cs="Times New Roman"/>
          <w:szCs w:val="24"/>
        </w:rPr>
        <w:t xml:space="preserve"> </w:t>
      </w:r>
      <w:r w:rsidRPr="00AA4677">
        <w:rPr>
          <w:rFonts w:eastAsia="Times New Roman" w:cs="Times New Roman"/>
          <w:szCs w:val="24"/>
        </w:rPr>
        <w:t xml:space="preserve">members to review all materials submitted for review, </w:t>
      </w:r>
      <w:r w:rsidR="007F55B4" w:rsidRPr="00AA4677">
        <w:rPr>
          <w:rFonts w:eastAsia="Times New Roman" w:cs="Times New Roman"/>
          <w:szCs w:val="24"/>
        </w:rPr>
        <w:t xml:space="preserve">the primary and secondary </w:t>
      </w:r>
      <w:r w:rsidRPr="00AA4677">
        <w:rPr>
          <w:rFonts w:eastAsia="Times New Roman" w:cs="Times New Roman"/>
          <w:szCs w:val="24"/>
        </w:rPr>
        <w:t>reviewer</w:t>
      </w:r>
      <w:r w:rsidR="007F55B4" w:rsidRPr="00AA4677">
        <w:rPr>
          <w:rFonts w:eastAsia="Times New Roman" w:cs="Times New Roman"/>
          <w:szCs w:val="24"/>
        </w:rPr>
        <w:t>s</w:t>
      </w:r>
      <w:r w:rsidRPr="00AA4677">
        <w:rPr>
          <w:rFonts w:eastAsia="Times New Roman" w:cs="Times New Roman"/>
          <w:szCs w:val="24"/>
        </w:rPr>
        <w:t xml:space="preserve"> must review:  </w:t>
      </w:r>
      <w:r w:rsidR="00560DC7" w:rsidRPr="00AA4677">
        <w:rPr>
          <w:rFonts w:eastAsia="Times New Roman" w:cs="Times New Roman"/>
          <w:szCs w:val="24"/>
        </w:rPr>
        <w:t>a</w:t>
      </w:r>
      <w:r w:rsidRPr="00AA4677">
        <w:rPr>
          <w:rFonts w:eastAsia="Times New Roman" w:cs="Times New Roman"/>
          <w:szCs w:val="24"/>
        </w:rPr>
        <w:t>ny relevant grant applications; the sponsor’s protocol (when one exists); the investigator’s brochure (when one exists); the DHHS-approved sample informed consent document (when one exists); the complete DHHS-approved protocol (when one exists).</w:t>
      </w:r>
    </w:p>
    <w:p w14:paraId="517475D8" w14:textId="129F4B4D" w:rsidR="00055CCD" w:rsidRPr="00AA4677" w:rsidRDefault="0093347F" w:rsidP="006A7B34">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Reviewers will complet</w:t>
      </w:r>
      <w:r w:rsidR="006A7B34" w:rsidRPr="00AA4677">
        <w:rPr>
          <w:rFonts w:eastAsia="Times New Roman" w:cs="Times New Roman"/>
          <w:szCs w:val="24"/>
        </w:rPr>
        <w:t>e</w:t>
      </w:r>
      <w:r w:rsidRPr="00AA4677">
        <w:rPr>
          <w:rFonts w:eastAsia="Times New Roman" w:cs="Times New Roman"/>
          <w:szCs w:val="24"/>
        </w:rPr>
        <w:t xml:space="preserve"> the </w:t>
      </w:r>
      <w:r w:rsidR="00221FCA" w:rsidRPr="00AA4677">
        <w:rPr>
          <w:rFonts w:eastAsia="Times New Roman" w:cs="Times New Roman"/>
          <w:szCs w:val="24"/>
        </w:rPr>
        <w:t>IRB Member Worksh</w:t>
      </w:r>
      <w:r w:rsidR="006A7B34" w:rsidRPr="00AA4677">
        <w:rPr>
          <w:rFonts w:eastAsia="Times New Roman" w:cs="Times New Roman"/>
          <w:szCs w:val="24"/>
        </w:rPr>
        <w:t>eet(s) for Full Committee Review</w:t>
      </w:r>
      <w:r w:rsidRPr="00AA4677">
        <w:rPr>
          <w:rFonts w:eastAsia="Times New Roman" w:cs="Times New Roman"/>
          <w:szCs w:val="24"/>
        </w:rPr>
        <w:t>.</w:t>
      </w:r>
    </w:p>
    <w:p w14:paraId="7A57B3F3" w14:textId="46F02789" w:rsidR="003E7C9E" w:rsidRPr="00AA4677" w:rsidRDefault="003E7C9E" w:rsidP="00C57C98">
      <w:pPr>
        <w:pStyle w:val="Heading3"/>
      </w:pPr>
      <w:r w:rsidRPr="00AA4677">
        <w:t>3.7.6 Quorum</w:t>
      </w:r>
    </w:p>
    <w:p w14:paraId="119F7AC6" w14:textId="1F29F02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 quorum consists of a simple majority (more than half) of the voting membership, including at least one member whose primary concern is in a non-scientific area.</w:t>
      </w:r>
      <w:r w:rsidR="00AF4E3A" w:rsidRPr="00AA4677">
        <w:rPr>
          <w:rFonts w:eastAsia="Times New Roman" w:cs="Times New Roman"/>
          <w:szCs w:val="24"/>
        </w:rPr>
        <w:t xml:space="preserve"> If the </w:t>
      </w:r>
      <w:r w:rsidR="00AF4E3A" w:rsidRPr="00AA4677">
        <w:t>non-scientific member leaves the room, quorum is lost, and votes cannot be taken until the quorum is restored, even if half of the members are still present.</w:t>
      </w:r>
      <w:r w:rsidRPr="00AA4677">
        <w:rPr>
          <w:rFonts w:eastAsia="Times New Roman" w:cs="Times New Roman"/>
          <w:szCs w:val="24"/>
        </w:rPr>
        <w:t> If research involving an FDA-regulated article is involved, a licensed physician must be inclu</w:t>
      </w:r>
      <w:r w:rsidR="00560DC7" w:rsidRPr="00AA4677">
        <w:rPr>
          <w:rFonts w:eastAsia="Times New Roman" w:cs="Times New Roman"/>
          <w:szCs w:val="24"/>
        </w:rPr>
        <w:t>ded in the quorum.  The IRB</w:t>
      </w:r>
      <w:r w:rsidRPr="00AA4677">
        <w:rPr>
          <w:rFonts w:eastAsia="Times New Roman" w:cs="Times New Roman"/>
          <w:szCs w:val="24"/>
        </w:rPr>
        <w:t xml:space="preserve"> Chair, with the assistance of the </w:t>
      </w:r>
      <w:r w:rsidR="00560DC7" w:rsidRPr="00AA4677">
        <w:rPr>
          <w:rFonts w:eastAsia="Times New Roman" w:cs="Times New Roman"/>
          <w:szCs w:val="24"/>
        </w:rPr>
        <w:t>IRB</w:t>
      </w:r>
      <w:r w:rsidRPr="00AA4677">
        <w:rPr>
          <w:rFonts w:eastAsia="Times New Roman" w:cs="Times New Roman"/>
          <w:szCs w:val="24"/>
        </w:rPr>
        <w:t xml:space="preserve"> staff, will confirm that an appropriate quorum is present before calling the meeting to order. The</w:t>
      </w:r>
      <w:r w:rsidR="002318E5" w:rsidRPr="00AA4677">
        <w:rPr>
          <w:rFonts w:eastAsia="Times New Roman" w:cs="Times New Roman"/>
          <w:szCs w:val="24"/>
        </w:rPr>
        <w:t xml:space="preserve"> IRB staff will be r</w:t>
      </w:r>
      <w:r w:rsidRPr="00AA4677">
        <w:rPr>
          <w:rFonts w:eastAsia="Times New Roman" w:cs="Times New Roman"/>
          <w:szCs w:val="24"/>
        </w:rPr>
        <w:t xml:space="preserve">esponsible for ensuring that the meetings remain appropriately convened.  </w:t>
      </w:r>
    </w:p>
    <w:p w14:paraId="2E35BD65" w14:textId="4AEA2DF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 quorum must be maintained for each vote to occur.  The </w:t>
      </w:r>
      <w:r w:rsidR="00560DC7" w:rsidRPr="00AA4677">
        <w:rPr>
          <w:rFonts w:eastAsia="Times New Roman" w:cs="Times New Roman"/>
          <w:szCs w:val="24"/>
        </w:rPr>
        <w:t>IRB</w:t>
      </w:r>
      <w:r w:rsidRPr="00AA4677">
        <w:rPr>
          <w:rFonts w:eastAsia="Times New Roman" w:cs="Times New Roman"/>
          <w:szCs w:val="24"/>
        </w:rPr>
        <w:t xml:space="preserve"> staff takes note of arrivals and departures of all members and notifies the chair if a quorum is not present.  If a quorum is not </w:t>
      </w:r>
      <w:r w:rsidRPr="00AA4677">
        <w:rPr>
          <w:rFonts w:eastAsia="Times New Roman" w:cs="Times New Roman"/>
          <w:szCs w:val="24"/>
        </w:rPr>
        <w:lastRenderedPageBreak/>
        <w:t>maintained for reasons relating to a</w:t>
      </w:r>
      <w:r w:rsidR="002318E5" w:rsidRPr="00AA4677">
        <w:rPr>
          <w:rFonts w:eastAsia="Times New Roman" w:cs="Times New Roman"/>
          <w:szCs w:val="24"/>
        </w:rPr>
        <w:t xml:space="preserve">n </w:t>
      </w:r>
      <w:r w:rsidR="00560DC7" w:rsidRPr="00AA4677">
        <w:rPr>
          <w:rFonts w:eastAsia="Times New Roman" w:cs="Times New Roman"/>
          <w:szCs w:val="24"/>
        </w:rPr>
        <w:t>IRB</w:t>
      </w:r>
      <w:r w:rsidRPr="00AA4677">
        <w:rPr>
          <w:rFonts w:eastAsia="Times New Roman" w:cs="Times New Roman"/>
          <w:szCs w:val="24"/>
        </w:rPr>
        <w:t xml:space="preserve"> member’s recusal due to</w:t>
      </w:r>
      <w:r w:rsidR="000909E5" w:rsidRPr="00AA4677">
        <w:rPr>
          <w:rFonts w:eastAsia="Times New Roman" w:cs="Times New Roman"/>
          <w:szCs w:val="24"/>
        </w:rPr>
        <w:t xml:space="preserve"> a</w:t>
      </w:r>
      <w:r w:rsidRPr="00AA4677">
        <w:rPr>
          <w:rFonts w:eastAsia="Times New Roman" w:cs="Times New Roman"/>
          <w:szCs w:val="24"/>
        </w:rPr>
        <w:t xml:space="preserve"> C</w:t>
      </w:r>
      <w:r w:rsidR="000909E5" w:rsidRPr="00AA4677">
        <w:rPr>
          <w:rFonts w:eastAsia="Times New Roman" w:cs="Times New Roman"/>
          <w:szCs w:val="24"/>
        </w:rPr>
        <w:t xml:space="preserve">onflict of </w:t>
      </w:r>
      <w:r w:rsidRPr="00AA4677">
        <w:rPr>
          <w:rFonts w:eastAsia="Times New Roman" w:cs="Times New Roman"/>
          <w:szCs w:val="24"/>
        </w:rPr>
        <w:t>I</w:t>
      </w:r>
      <w:r w:rsidR="000909E5" w:rsidRPr="00AA4677">
        <w:rPr>
          <w:rFonts w:eastAsia="Times New Roman" w:cs="Times New Roman"/>
          <w:szCs w:val="24"/>
        </w:rPr>
        <w:t>nterest</w:t>
      </w:r>
      <w:r w:rsidRPr="00AA4677">
        <w:rPr>
          <w:rFonts w:eastAsia="Times New Roman" w:cs="Times New Roman"/>
          <w:szCs w:val="24"/>
        </w:rPr>
        <w:t>, the individual proposal must be tabled. If quorum is lost for the remaining duration of the meeting, the meeting must therefore be terminated.</w:t>
      </w:r>
    </w:p>
    <w:p w14:paraId="5EAF9FC2" w14:textId="0CD4BA80" w:rsidR="003E7C9E" w:rsidRPr="00AA4677" w:rsidRDefault="00560DC7"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 m</w:t>
      </w:r>
      <w:r w:rsidR="003E7C9E" w:rsidRPr="00AA4677">
        <w:rPr>
          <w:rFonts w:eastAsia="Times New Roman" w:cs="Times New Roman"/>
          <w:szCs w:val="24"/>
        </w:rPr>
        <w:t>embers are considered present if participat</w:t>
      </w:r>
      <w:r w:rsidR="000909E5" w:rsidRPr="00AA4677">
        <w:rPr>
          <w:rFonts w:eastAsia="Times New Roman" w:cs="Times New Roman"/>
          <w:szCs w:val="24"/>
        </w:rPr>
        <w:t>ing through teleconference or videoconference</w:t>
      </w:r>
      <w:r w:rsidR="003E7C9E" w:rsidRPr="00AA4677">
        <w:rPr>
          <w:rFonts w:eastAsia="Times New Roman" w:cs="Times New Roman"/>
          <w:szCs w:val="24"/>
        </w:rPr>
        <w:t>.  In this case</w:t>
      </w:r>
      <w:r w:rsidR="001D23EA" w:rsidRPr="00AA4677">
        <w:rPr>
          <w:rFonts w:eastAsia="Times New Roman" w:cs="Times New Roman"/>
          <w:szCs w:val="24"/>
        </w:rPr>
        <w:t>,</w:t>
      </w:r>
      <w:r w:rsidR="003E7C9E" w:rsidRPr="00AA4677">
        <w:rPr>
          <w:rFonts w:eastAsia="Times New Roman" w:cs="Times New Roman"/>
          <w:szCs w:val="24"/>
        </w:rPr>
        <w:t xml:space="preserve"> the</w:t>
      </w:r>
      <w:r w:rsidRPr="00AA4677">
        <w:rPr>
          <w:rFonts w:eastAsia="Times New Roman" w:cs="Times New Roman"/>
          <w:szCs w:val="24"/>
        </w:rPr>
        <w:t xml:space="preserve"> IRB</w:t>
      </w:r>
      <w:r w:rsidR="003E7C9E" w:rsidRPr="00AA4677">
        <w:rPr>
          <w:rFonts w:eastAsia="Times New Roman" w:cs="Times New Roman"/>
          <w:szCs w:val="24"/>
        </w:rPr>
        <w:t xml:space="preserve"> member must have received all pertinent material prior to the meeting and must be able to participate actively and equally in all discussions.</w:t>
      </w:r>
    </w:p>
    <w:p w14:paraId="1290CE0A" w14:textId="3B8E9483"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Opinions of absent </w:t>
      </w:r>
      <w:r w:rsidR="00EE7207" w:rsidRPr="00AA4677">
        <w:rPr>
          <w:rFonts w:eastAsia="Times New Roman" w:cs="Times New Roman"/>
          <w:szCs w:val="24"/>
        </w:rPr>
        <w:t>IRB</w:t>
      </w:r>
      <w:r w:rsidR="00560DC7" w:rsidRPr="00AA4677">
        <w:rPr>
          <w:rFonts w:eastAsia="Times New Roman" w:cs="Times New Roman"/>
          <w:szCs w:val="24"/>
        </w:rPr>
        <w:t xml:space="preserve"> </w:t>
      </w:r>
      <w:r w:rsidRPr="00AA4677">
        <w:rPr>
          <w:rFonts w:eastAsia="Times New Roman" w:cs="Times New Roman"/>
          <w:szCs w:val="24"/>
        </w:rPr>
        <w:t>members that are transmitted by mail, telephone, facsimile</w:t>
      </w:r>
      <w:r w:rsidR="001D23EA" w:rsidRPr="00AA4677">
        <w:rPr>
          <w:rFonts w:eastAsia="Times New Roman" w:cs="Times New Roman"/>
          <w:szCs w:val="24"/>
        </w:rPr>
        <w:t>,</w:t>
      </w:r>
      <w:r w:rsidRPr="00AA4677">
        <w:rPr>
          <w:rFonts w:eastAsia="Times New Roman" w:cs="Times New Roman"/>
          <w:szCs w:val="24"/>
        </w:rPr>
        <w:t xml:space="preserve"> or e-mail may be considered by the attending </w:t>
      </w:r>
      <w:r w:rsidR="00EE7207" w:rsidRPr="00AA4677">
        <w:rPr>
          <w:rFonts w:eastAsia="Times New Roman" w:cs="Times New Roman"/>
          <w:szCs w:val="24"/>
        </w:rPr>
        <w:t>IRB</w:t>
      </w:r>
      <w:r w:rsidRPr="00AA4677">
        <w:rPr>
          <w:rFonts w:eastAsia="Times New Roman" w:cs="Times New Roman"/>
          <w:szCs w:val="24"/>
        </w:rPr>
        <w:t xml:space="preserve"> members but may not be counted as votes or to satisfy the quorum for convened meetings.</w:t>
      </w:r>
    </w:p>
    <w:p w14:paraId="583D1313" w14:textId="0BCD683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It is generally expected that at least one unaffiliated member and at least one member who represents the general perspective of </w:t>
      </w:r>
      <w:r w:rsidR="00BF7470" w:rsidRPr="00AA4677">
        <w:rPr>
          <w:rFonts w:eastAsia="Times New Roman" w:cs="Times New Roman"/>
          <w:szCs w:val="24"/>
        </w:rPr>
        <w:t>subject</w:t>
      </w:r>
      <w:r w:rsidRPr="00AA4677">
        <w:rPr>
          <w:rFonts w:eastAsia="Times New Roman" w:cs="Times New Roman"/>
          <w:szCs w:val="24"/>
        </w:rPr>
        <w:t xml:space="preserve">s (the same individual can serve in both capacities) will be present at all </w:t>
      </w:r>
      <w:r w:rsidR="00EE7207" w:rsidRPr="00AA4677">
        <w:rPr>
          <w:rFonts w:eastAsia="Times New Roman" w:cs="Times New Roman"/>
          <w:szCs w:val="24"/>
        </w:rPr>
        <w:t>IRB</w:t>
      </w:r>
      <w:r w:rsidRPr="00AA4677">
        <w:rPr>
          <w:rFonts w:eastAsia="Times New Roman" w:cs="Times New Roman"/>
          <w:szCs w:val="24"/>
        </w:rPr>
        <w:t xml:space="preserve"> meetings. Although the</w:t>
      </w:r>
      <w:r w:rsidR="00560DC7"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may</w:t>
      </w:r>
      <w:r w:rsidR="007E5924" w:rsidRPr="00AA4677">
        <w:rPr>
          <w:rFonts w:eastAsia="Times New Roman" w:cs="Times New Roman"/>
          <w:szCs w:val="24"/>
        </w:rPr>
        <w:t xml:space="preserve"> (</w:t>
      </w:r>
      <w:r w:rsidRPr="00AA4677">
        <w:rPr>
          <w:rFonts w:eastAsia="Times New Roman" w:cs="Times New Roman"/>
          <w:szCs w:val="24"/>
        </w:rPr>
        <w:t>on occasion</w:t>
      </w:r>
      <w:r w:rsidR="007E5924" w:rsidRPr="00AA4677">
        <w:rPr>
          <w:rFonts w:eastAsia="Times New Roman" w:cs="Times New Roman"/>
          <w:szCs w:val="24"/>
        </w:rPr>
        <w:t>)</w:t>
      </w:r>
      <w:r w:rsidRPr="00AA4677">
        <w:rPr>
          <w:rFonts w:eastAsia="Times New Roman" w:cs="Times New Roman"/>
          <w:szCs w:val="24"/>
        </w:rPr>
        <w:t xml:space="preserve"> meet without this representation, </w:t>
      </w:r>
      <w:proofErr w:type="gramStart"/>
      <w:r w:rsidR="002318E5" w:rsidRPr="00AA4677">
        <w:rPr>
          <w:rFonts w:eastAsia="Times New Roman" w:cs="Times New Roman"/>
          <w:szCs w:val="24"/>
        </w:rPr>
        <w:t>a best</w:t>
      </w:r>
      <w:proofErr w:type="gramEnd"/>
      <w:r w:rsidR="002318E5" w:rsidRPr="00AA4677">
        <w:rPr>
          <w:rFonts w:eastAsia="Times New Roman" w:cs="Times New Roman"/>
          <w:szCs w:val="24"/>
        </w:rPr>
        <w:t xml:space="preserve"> effort will be made to make sure that </w:t>
      </w:r>
      <w:r w:rsidRPr="00AA4677">
        <w:rPr>
          <w:rFonts w:eastAsia="Times New Roman" w:cs="Times New Roman"/>
          <w:szCs w:val="24"/>
        </w:rPr>
        <w:t xml:space="preserve">individuals serving in this capacity </w:t>
      </w:r>
      <w:r w:rsidR="002318E5" w:rsidRPr="00AA4677">
        <w:rPr>
          <w:rFonts w:eastAsia="Times New Roman" w:cs="Times New Roman"/>
          <w:szCs w:val="24"/>
        </w:rPr>
        <w:t xml:space="preserve">will be present </w:t>
      </w:r>
      <w:r w:rsidRPr="00AA4677">
        <w:rPr>
          <w:rFonts w:eastAsia="Times New Roman" w:cs="Times New Roman"/>
          <w:szCs w:val="24"/>
        </w:rPr>
        <w:t>for at least 80% of the</w:t>
      </w:r>
      <w:r w:rsidR="00560DC7"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meetings.</w:t>
      </w:r>
    </w:p>
    <w:p w14:paraId="3A1197A5" w14:textId="2E07C3F1" w:rsidR="003E7C9E" w:rsidRPr="00AA4677" w:rsidRDefault="003E7C9E" w:rsidP="00C57C98">
      <w:pPr>
        <w:pStyle w:val="Heading3"/>
      </w:pPr>
      <w:r w:rsidRPr="00AA4677">
        <w:t>3.7.7 Meeting Procedures</w:t>
      </w:r>
    </w:p>
    <w:p w14:paraId="4FF36351" w14:textId="4BC50966" w:rsidR="003E7C9E" w:rsidRPr="00AA4677" w:rsidRDefault="003E7C9E" w:rsidP="003E7C9E">
      <w:pPr>
        <w:shd w:val="clear" w:color="auto" w:fill="FFFFFF"/>
        <w:spacing w:before="100" w:beforeAutospacing="1" w:after="100" w:afterAutospacing="1" w:line="240" w:lineRule="auto"/>
        <w:rPr>
          <w:rFonts w:eastAsia="Times New Roman" w:cs="Times New Roman"/>
          <w:strike/>
          <w:szCs w:val="24"/>
        </w:rPr>
      </w:pPr>
      <w:r w:rsidRPr="00AA4677">
        <w:rPr>
          <w:rFonts w:eastAsia="Times New Roman" w:cs="Times New Roman"/>
          <w:szCs w:val="24"/>
        </w:rPr>
        <w:t xml:space="preserve">The </w:t>
      </w:r>
      <w:r w:rsidR="00560DC7" w:rsidRPr="00AA4677">
        <w:rPr>
          <w:rFonts w:eastAsia="Times New Roman" w:cs="Times New Roman"/>
          <w:szCs w:val="24"/>
        </w:rPr>
        <w:t>IRB</w:t>
      </w:r>
      <w:r w:rsidRPr="00AA4677">
        <w:rPr>
          <w:rFonts w:eastAsia="Times New Roman" w:cs="Times New Roman"/>
          <w:szCs w:val="24"/>
        </w:rPr>
        <w:t xml:space="preserve"> Chair, or designee </w:t>
      </w:r>
      <w:proofErr w:type="gramStart"/>
      <w:r w:rsidRPr="00AA4677">
        <w:rPr>
          <w:rFonts w:eastAsia="Times New Roman" w:cs="Times New Roman"/>
          <w:szCs w:val="24"/>
        </w:rPr>
        <w:t>in the event that</w:t>
      </w:r>
      <w:proofErr w:type="gramEnd"/>
      <w:r w:rsidRPr="00AA4677">
        <w:rPr>
          <w:rFonts w:eastAsia="Times New Roman" w:cs="Times New Roman"/>
          <w:szCs w:val="24"/>
        </w:rPr>
        <w:t xml:space="preserve"> the </w:t>
      </w:r>
      <w:r w:rsidR="00EE7207" w:rsidRPr="00AA4677">
        <w:rPr>
          <w:rFonts w:eastAsia="Times New Roman" w:cs="Times New Roman"/>
          <w:szCs w:val="24"/>
        </w:rPr>
        <w:t>IRB</w:t>
      </w:r>
      <w:r w:rsidRPr="00AA4677">
        <w:rPr>
          <w:rFonts w:eastAsia="Times New Roman" w:cs="Times New Roman"/>
          <w:szCs w:val="24"/>
        </w:rPr>
        <w:t xml:space="preserve"> Chair is absent, will call the meeting to order, once it has been determined that a quorum is in place. </w:t>
      </w:r>
    </w:p>
    <w:p w14:paraId="6DFF3B78" w14:textId="5E2F8F36" w:rsidR="00203ED9" w:rsidRPr="00AA4677" w:rsidRDefault="00560DC7" w:rsidP="00203ED9">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IRB</w:t>
      </w:r>
      <w:r w:rsidR="003E7C9E" w:rsidRPr="00AA4677">
        <w:rPr>
          <w:rFonts w:eastAsia="Times New Roman" w:cs="Times New Roman"/>
          <w:szCs w:val="24"/>
        </w:rPr>
        <w:t xml:space="preserve"> reviews all submissions for initial and continuing </w:t>
      </w:r>
      <w:proofErr w:type="gramStart"/>
      <w:r w:rsidR="003E7C9E" w:rsidRPr="00AA4677">
        <w:rPr>
          <w:rFonts w:eastAsia="Times New Roman" w:cs="Times New Roman"/>
          <w:szCs w:val="24"/>
        </w:rPr>
        <w:t>review</w:t>
      </w:r>
      <w:proofErr w:type="gramEnd"/>
      <w:r w:rsidR="003E7C9E" w:rsidRPr="00AA4677">
        <w:rPr>
          <w:rFonts w:eastAsia="Times New Roman" w:cs="Times New Roman"/>
          <w:szCs w:val="24"/>
        </w:rPr>
        <w:t>, as well as re</w:t>
      </w:r>
      <w:r w:rsidRPr="00AA4677">
        <w:rPr>
          <w:rFonts w:eastAsia="Times New Roman" w:cs="Times New Roman"/>
          <w:szCs w:val="24"/>
        </w:rPr>
        <w:t>quests for modifications.  The p</w:t>
      </w:r>
      <w:r w:rsidR="003E7C9E" w:rsidRPr="00AA4677">
        <w:rPr>
          <w:rFonts w:eastAsia="Times New Roman" w:cs="Times New Roman"/>
          <w:szCs w:val="24"/>
        </w:rPr>
        <w:t xml:space="preserve">rimary and </w:t>
      </w:r>
      <w:r w:rsidRPr="00AA4677">
        <w:rPr>
          <w:rFonts w:eastAsia="Times New Roman" w:cs="Times New Roman"/>
          <w:szCs w:val="24"/>
        </w:rPr>
        <w:t>s</w:t>
      </w:r>
      <w:r w:rsidR="003E7C9E" w:rsidRPr="00AA4677">
        <w:rPr>
          <w:rFonts w:eastAsia="Times New Roman" w:cs="Times New Roman"/>
          <w:szCs w:val="24"/>
        </w:rPr>
        <w:t xml:space="preserve">econdary </w:t>
      </w:r>
      <w:r w:rsidR="007E5924" w:rsidRPr="00AA4677">
        <w:rPr>
          <w:rFonts w:eastAsia="Times New Roman" w:cs="Times New Roman"/>
          <w:szCs w:val="24"/>
        </w:rPr>
        <w:t>reviewers present</w:t>
      </w:r>
      <w:r w:rsidR="003E7C9E" w:rsidRPr="00AA4677">
        <w:rPr>
          <w:rFonts w:eastAsia="Times New Roman" w:cs="Times New Roman"/>
          <w:szCs w:val="24"/>
        </w:rPr>
        <w:t xml:space="preserve"> an overview of the research and lead </w:t>
      </w:r>
      <w:r w:rsidRPr="00AA4677">
        <w:rPr>
          <w:rFonts w:eastAsia="Times New Roman" w:cs="Times New Roman"/>
          <w:szCs w:val="24"/>
        </w:rPr>
        <w:t>the IRB</w:t>
      </w:r>
      <w:r w:rsidR="003E7C9E" w:rsidRPr="00AA4677">
        <w:rPr>
          <w:rFonts w:eastAsia="Times New Roman" w:cs="Times New Roman"/>
          <w:szCs w:val="24"/>
        </w:rPr>
        <w:t xml:space="preserve"> through the completion of the regulatory cri</w:t>
      </w:r>
      <w:r w:rsidR="00EF2DAF" w:rsidRPr="00AA4677">
        <w:rPr>
          <w:rFonts w:eastAsia="Times New Roman" w:cs="Times New Roman"/>
          <w:szCs w:val="24"/>
        </w:rPr>
        <w:t>teria for approval by using</w:t>
      </w:r>
      <w:r w:rsidR="000909E5" w:rsidRPr="00AA4677">
        <w:rPr>
          <w:rFonts w:eastAsia="Times New Roman" w:cs="Times New Roman"/>
          <w:szCs w:val="24"/>
        </w:rPr>
        <w:t xml:space="preserve"> the IRB</w:t>
      </w:r>
      <w:r w:rsidR="003E7C9E" w:rsidRPr="00AA4677">
        <w:rPr>
          <w:rFonts w:eastAsia="Times New Roman" w:cs="Times New Roman"/>
          <w:szCs w:val="24"/>
        </w:rPr>
        <w:t xml:space="preserve"> </w:t>
      </w:r>
      <w:r w:rsidR="00EF2DAF" w:rsidRPr="00AA4677">
        <w:rPr>
          <w:rFonts w:eastAsia="Times New Roman" w:cs="Times New Roman"/>
          <w:szCs w:val="24"/>
        </w:rPr>
        <w:t>member worksheet for Full Committee Review</w:t>
      </w:r>
      <w:r w:rsidR="002318E5" w:rsidRPr="00AA4677">
        <w:rPr>
          <w:rFonts w:eastAsia="Times New Roman" w:cs="Times New Roman"/>
          <w:szCs w:val="24"/>
        </w:rPr>
        <w:t>, and other d</w:t>
      </w:r>
      <w:r w:rsidR="00EF2DAF" w:rsidRPr="00AA4677">
        <w:rPr>
          <w:rFonts w:eastAsia="Times New Roman" w:cs="Times New Roman"/>
          <w:szCs w:val="24"/>
        </w:rPr>
        <w:t>eterminations that must be reviewed</w:t>
      </w:r>
      <w:r w:rsidR="002318E5" w:rsidRPr="00AA4677">
        <w:rPr>
          <w:rFonts w:eastAsia="Times New Roman" w:cs="Times New Roman"/>
          <w:szCs w:val="24"/>
        </w:rPr>
        <w:t xml:space="preserve"> and documented. </w:t>
      </w:r>
      <w:r w:rsidR="003E7C9E" w:rsidRPr="00AA4677">
        <w:rPr>
          <w:rFonts w:eastAsia="Times New Roman" w:cs="Times New Roman"/>
          <w:szCs w:val="24"/>
        </w:rPr>
        <w:t> </w:t>
      </w:r>
      <w:r w:rsidR="00203ED9" w:rsidRPr="00AA4677">
        <w:rPr>
          <w:rFonts w:eastAsia="Times New Roman" w:cs="Times New Roman"/>
          <w:szCs w:val="24"/>
        </w:rPr>
        <w:t>When a study is funded by the Department of Defense, the ORC staff will review with the members the required information con</w:t>
      </w:r>
      <w:r w:rsidR="000909E5" w:rsidRPr="00AA4677">
        <w:rPr>
          <w:rFonts w:eastAsia="Times New Roman" w:cs="Times New Roman"/>
          <w:szCs w:val="24"/>
        </w:rPr>
        <w:t>tained within the ‘Meeting Final</w:t>
      </w:r>
      <w:r w:rsidR="00203ED9" w:rsidRPr="00AA4677">
        <w:rPr>
          <w:rFonts w:eastAsia="Times New Roman" w:cs="Times New Roman"/>
          <w:szCs w:val="24"/>
        </w:rPr>
        <w:t xml:space="preserve"> Determination: SUPPLEMENT: </w:t>
      </w:r>
      <w:proofErr w:type="gramStart"/>
      <w:r w:rsidR="00203ED9" w:rsidRPr="00AA4677">
        <w:rPr>
          <w:rFonts w:eastAsia="Times New Roman" w:cs="Times New Roman"/>
          <w:szCs w:val="24"/>
        </w:rPr>
        <w:t>DOD</w:t>
      </w:r>
      <w:r w:rsidR="00B207A5" w:rsidRPr="00AA4677">
        <w:rPr>
          <w:rFonts w:eastAsia="Times New Roman" w:cs="Times New Roman"/>
          <w:szCs w:val="24"/>
        </w:rPr>
        <w:t>I</w:t>
      </w:r>
      <w:r w:rsidR="00203ED9" w:rsidRPr="00AA4677">
        <w:rPr>
          <w:rFonts w:eastAsia="Times New Roman" w:cs="Times New Roman"/>
          <w:szCs w:val="24"/>
        </w:rPr>
        <w:t>, and</w:t>
      </w:r>
      <w:proofErr w:type="gramEnd"/>
      <w:r w:rsidR="00203ED9" w:rsidRPr="00AA4677">
        <w:rPr>
          <w:rFonts w:eastAsia="Times New Roman" w:cs="Times New Roman"/>
          <w:szCs w:val="24"/>
        </w:rPr>
        <w:t xml:space="preserve"> complete the document to confirm compliance with Department of Defense Instruction 3216.02.</w:t>
      </w:r>
    </w:p>
    <w:p w14:paraId="4735F41D" w14:textId="64BF16C9"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 All members present at </w:t>
      </w:r>
      <w:proofErr w:type="gramStart"/>
      <w:r w:rsidRPr="00AA4677">
        <w:rPr>
          <w:rFonts w:eastAsia="Times New Roman" w:cs="Times New Roman"/>
          <w:szCs w:val="24"/>
        </w:rPr>
        <w:t>a convened</w:t>
      </w:r>
      <w:proofErr w:type="gramEnd"/>
      <w:r w:rsidRPr="00AA4677">
        <w:rPr>
          <w:rFonts w:eastAsia="Times New Roman" w:cs="Times New Roman"/>
          <w:szCs w:val="24"/>
        </w:rPr>
        <w:t xml:space="preserve"> meeting have full voting r</w:t>
      </w:r>
      <w:r w:rsidR="000909E5" w:rsidRPr="00AA4677">
        <w:rPr>
          <w:rFonts w:eastAsia="Times New Roman" w:cs="Times New Roman"/>
          <w:szCs w:val="24"/>
        </w:rPr>
        <w:t>ights, except in the case of a Conflict of Interest</w:t>
      </w:r>
      <w:r w:rsidRPr="00AA4677">
        <w:rPr>
          <w:rFonts w:eastAsia="Times New Roman" w:cs="Times New Roman"/>
          <w:szCs w:val="24"/>
        </w:rPr>
        <w:t>.  Where a</w:t>
      </w:r>
      <w:r w:rsidR="00221FCA" w:rsidRPr="00AA4677">
        <w:rPr>
          <w:rFonts w:eastAsia="Times New Roman" w:cs="Times New Roman"/>
          <w:szCs w:val="24"/>
        </w:rPr>
        <w:t>n</w:t>
      </w:r>
      <w:r w:rsidRPr="00AA4677">
        <w:rPr>
          <w:rFonts w:eastAsia="Times New Roman" w:cs="Times New Roman"/>
          <w:szCs w:val="24"/>
        </w:rPr>
        <w:t xml:space="preserve"> </w:t>
      </w:r>
      <w:r w:rsidR="00560DC7" w:rsidRPr="00AA4677">
        <w:rPr>
          <w:rFonts w:eastAsia="Times New Roman" w:cs="Times New Roman"/>
          <w:szCs w:val="24"/>
        </w:rPr>
        <w:t>IRB</w:t>
      </w:r>
      <w:r w:rsidRPr="00AA4677">
        <w:rPr>
          <w:rFonts w:eastAsia="Times New Roman" w:cs="Times New Roman"/>
          <w:szCs w:val="24"/>
        </w:rPr>
        <w:t xml:space="preserve"> member and his/her alternate are both present, only the </w:t>
      </w:r>
      <w:r w:rsidR="00560DC7" w:rsidRPr="00AA4677">
        <w:rPr>
          <w:rFonts w:eastAsia="Times New Roman" w:cs="Times New Roman"/>
          <w:szCs w:val="24"/>
        </w:rPr>
        <w:t>IRB</w:t>
      </w:r>
      <w:r w:rsidRPr="00AA4677">
        <w:rPr>
          <w:rFonts w:eastAsia="Times New Roman" w:cs="Times New Roman"/>
          <w:szCs w:val="24"/>
        </w:rPr>
        <w:t xml:space="preserve"> member has voting rights.   </w:t>
      </w:r>
      <w:proofErr w:type="gramStart"/>
      <w:r w:rsidRPr="00AA4677">
        <w:rPr>
          <w:rFonts w:eastAsia="Times New Roman" w:cs="Times New Roman"/>
          <w:szCs w:val="24"/>
        </w:rPr>
        <w:t>In order for</w:t>
      </w:r>
      <w:proofErr w:type="gramEnd"/>
      <w:r w:rsidRPr="00AA4677">
        <w:rPr>
          <w:rFonts w:eastAsia="Times New Roman" w:cs="Times New Roman"/>
          <w:szCs w:val="24"/>
        </w:rPr>
        <w:t xml:space="preserve"> the research to be approved, it must receive the approval of a majority of those voting members present at the meeting.  </w:t>
      </w:r>
    </w:p>
    <w:p w14:paraId="7BE2E6A1" w14:textId="354EDFDF"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It is the responsibility of the ORC staff to record </w:t>
      </w:r>
      <w:r w:rsidR="00221FCA" w:rsidRPr="00AA4677">
        <w:rPr>
          <w:rFonts w:eastAsia="Times New Roman" w:cs="Times New Roman"/>
          <w:szCs w:val="24"/>
        </w:rPr>
        <w:t>final meeting determinations for each reviewed study at the meeting. This is accomplished via the minutes</w:t>
      </w:r>
      <w:r w:rsidR="00D24A28" w:rsidRPr="00AA4677">
        <w:rPr>
          <w:rFonts w:eastAsia="Times New Roman" w:cs="Times New Roman"/>
          <w:szCs w:val="24"/>
        </w:rPr>
        <w:t>,</w:t>
      </w:r>
      <w:r w:rsidR="00084EAC" w:rsidRPr="00AA4677">
        <w:rPr>
          <w:rFonts w:eastAsia="Times New Roman" w:cs="Times New Roman"/>
          <w:szCs w:val="24"/>
        </w:rPr>
        <w:t xml:space="preserve"> the voting form</w:t>
      </w:r>
      <w:r w:rsidR="00221FCA" w:rsidRPr="00AA4677">
        <w:rPr>
          <w:rFonts w:eastAsia="Times New Roman" w:cs="Times New Roman"/>
          <w:szCs w:val="24"/>
        </w:rPr>
        <w:t xml:space="preserve"> and Final Meeting Determination forms that are</w:t>
      </w:r>
      <w:r w:rsidR="00084EAC" w:rsidRPr="00AA4677">
        <w:rPr>
          <w:rFonts w:eastAsia="Times New Roman" w:cs="Times New Roman"/>
          <w:szCs w:val="24"/>
        </w:rPr>
        <w:t xml:space="preserve"> on file in</w:t>
      </w:r>
      <w:r w:rsidR="00221FCA" w:rsidRPr="00AA4677">
        <w:rPr>
          <w:rFonts w:eastAsia="Times New Roman" w:cs="Times New Roman"/>
          <w:szCs w:val="24"/>
        </w:rPr>
        <w:t xml:space="preserve"> support of the minutes.</w:t>
      </w:r>
      <w:r w:rsidR="00AF4E3A" w:rsidRPr="00AA4677">
        <w:rPr>
          <w:rFonts w:eastAsia="Times New Roman" w:cs="Times New Roman"/>
          <w:szCs w:val="24"/>
        </w:rPr>
        <w:t xml:space="preserve"> </w:t>
      </w:r>
      <w:r w:rsidR="0097777E" w:rsidRPr="00AA4677">
        <w:rPr>
          <w:rFonts w:eastAsia="Times New Roman" w:cs="Times New Roman"/>
          <w:szCs w:val="24"/>
        </w:rPr>
        <w:t>For IRB meetings, m</w:t>
      </w:r>
      <w:r w:rsidR="00AF4E3A" w:rsidRPr="00AA4677">
        <w:rPr>
          <w:rFonts w:eastAsia="Times New Roman" w:cs="Times New Roman"/>
          <w:szCs w:val="24"/>
        </w:rPr>
        <w:t xml:space="preserve">embers have </w:t>
      </w:r>
      <w:r w:rsidR="00AF4E3A" w:rsidRPr="00AA4677">
        <w:rPr>
          <w:rFonts w:eastAsia="Times New Roman" w:cs="Times New Roman"/>
          <w:szCs w:val="24"/>
        </w:rPr>
        <w:lastRenderedPageBreak/>
        <w:t>acce</w:t>
      </w:r>
      <w:r w:rsidR="0097777E" w:rsidRPr="00AA4677">
        <w:rPr>
          <w:rFonts w:eastAsia="Times New Roman" w:cs="Times New Roman"/>
          <w:szCs w:val="24"/>
        </w:rPr>
        <w:t>ss to laptops but may also use</w:t>
      </w:r>
      <w:r w:rsidR="00AF4E3A" w:rsidRPr="00AA4677">
        <w:rPr>
          <w:rFonts w:eastAsia="Times New Roman" w:cs="Times New Roman"/>
          <w:szCs w:val="24"/>
        </w:rPr>
        <w:t xml:space="preserve"> their own laptop </w:t>
      </w:r>
      <w:proofErr w:type="gramStart"/>
      <w:r w:rsidR="00AF4E3A" w:rsidRPr="00AA4677">
        <w:rPr>
          <w:rFonts w:eastAsia="Times New Roman" w:cs="Times New Roman"/>
          <w:szCs w:val="24"/>
        </w:rPr>
        <w:t>in order to</w:t>
      </w:r>
      <w:proofErr w:type="gramEnd"/>
      <w:r w:rsidR="00AF4E3A" w:rsidRPr="00AA4677">
        <w:rPr>
          <w:rFonts w:eastAsia="Times New Roman" w:cs="Times New Roman"/>
          <w:szCs w:val="24"/>
        </w:rPr>
        <w:t xml:space="preserve"> access the myResearch IRB electronic submission system. </w:t>
      </w:r>
      <w:r w:rsidR="0097777E" w:rsidRPr="00AA4677">
        <w:rPr>
          <w:rFonts w:eastAsia="Times New Roman" w:cs="Times New Roman"/>
          <w:szCs w:val="24"/>
        </w:rPr>
        <w:t>During the meeting, information is shared on a screen so that all members have access to all materials.</w:t>
      </w:r>
    </w:p>
    <w:p w14:paraId="4AB6B67C" w14:textId="156840F0" w:rsidR="003E7C9E" w:rsidRPr="00AA4677" w:rsidRDefault="003E7C9E" w:rsidP="00C57C98">
      <w:pPr>
        <w:pStyle w:val="Heading3"/>
      </w:pPr>
      <w:r w:rsidRPr="00AA4677">
        <w:t>3.7.8 Guests</w:t>
      </w:r>
    </w:p>
    <w:p w14:paraId="5E838099" w14:textId="66131C0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At</w:t>
      </w:r>
      <w:r w:rsidR="00CB08E8" w:rsidRPr="00AA4677">
        <w:rPr>
          <w:rFonts w:eastAsia="Times New Roman" w:cs="Times New Roman"/>
          <w:szCs w:val="24"/>
        </w:rPr>
        <w:t xml:space="preserve"> the discretion of </w:t>
      </w:r>
      <w:r w:rsidR="00560DC7" w:rsidRPr="00AA4677">
        <w:rPr>
          <w:rFonts w:eastAsia="Times New Roman" w:cs="Times New Roman"/>
          <w:szCs w:val="24"/>
        </w:rPr>
        <w:t>the IRB</w:t>
      </w:r>
      <w:r w:rsidR="00CB08E8" w:rsidRPr="00AA4677">
        <w:rPr>
          <w:rFonts w:eastAsia="Times New Roman" w:cs="Times New Roman"/>
          <w:szCs w:val="24"/>
        </w:rPr>
        <w:t>, the p</w:t>
      </w:r>
      <w:r w:rsidRPr="00AA4677">
        <w:rPr>
          <w:rFonts w:eastAsia="Times New Roman" w:cs="Times New Roman"/>
          <w:szCs w:val="24"/>
        </w:rPr>
        <w:t xml:space="preserve">rincipal </w:t>
      </w:r>
      <w:r w:rsidR="00CB08E8" w:rsidRPr="00AA4677">
        <w:rPr>
          <w:rFonts w:eastAsia="Times New Roman" w:cs="Times New Roman"/>
          <w:szCs w:val="24"/>
        </w:rPr>
        <w:t>i</w:t>
      </w:r>
      <w:r w:rsidRPr="00AA4677">
        <w:rPr>
          <w:rFonts w:eastAsia="Times New Roman" w:cs="Times New Roman"/>
          <w:szCs w:val="24"/>
        </w:rPr>
        <w:t>nvestigator may be invited to the</w:t>
      </w:r>
      <w:r w:rsidR="00560DC7" w:rsidRPr="00AA4677">
        <w:rPr>
          <w:rFonts w:eastAsia="Times New Roman" w:cs="Times New Roman"/>
          <w:szCs w:val="24"/>
        </w:rPr>
        <w:t xml:space="preserve"> </w:t>
      </w:r>
      <w:r w:rsidR="003B1281" w:rsidRPr="00AA4677">
        <w:rPr>
          <w:rFonts w:eastAsia="Times New Roman" w:cs="Times New Roman"/>
          <w:szCs w:val="24"/>
        </w:rPr>
        <w:t>IRB</w:t>
      </w:r>
      <w:r w:rsidRPr="00AA4677">
        <w:rPr>
          <w:rFonts w:eastAsia="Times New Roman" w:cs="Times New Roman"/>
          <w:szCs w:val="24"/>
        </w:rPr>
        <w:t xml:space="preserve"> meeting to answer questions about their prop</w:t>
      </w:r>
      <w:r w:rsidR="00CB08E8" w:rsidRPr="00AA4677">
        <w:rPr>
          <w:rFonts w:eastAsia="Times New Roman" w:cs="Times New Roman"/>
          <w:szCs w:val="24"/>
        </w:rPr>
        <w:t>osed or ongoing research.  The p</w:t>
      </w:r>
      <w:r w:rsidRPr="00AA4677">
        <w:rPr>
          <w:rFonts w:eastAsia="Times New Roman" w:cs="Times New Roman"/>
          <w:szCs w:val="24"/>
        </w:rPr>
        <w:t xml:space="preserve">rincipal </w:t>
      </w:r>
      <w:r w:rsidR="00CB08E8" w:rsidRPr="00AA4677">
        <w:rPr>
          <w:rFonts w:eastAsia="Times New Roman" w:cs="Times New Roman"/>
          <w:szCs w:val="24"/>
        </w:rPr>
        <w:t>i</w:t>
      </w:r>
      <w:r w:rsidRPr="00AA4677">
        <w:rPr>
          <w:rFonts w:eastAsia="Times New Roman" w:cs="Times New Roman"/>
          <w:szCs w:val="24"/>
        </w:rPr>
        <w:t>nvestigator and/or members of the study team may not be present for the discussion or vote on their research.</w:t>
      </w:r>
    </w:p>
    <w:p w14:paraId="75E94758" w14:textId="26EF3CF9"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Ex-officio guests are individuals who, by virtue of their position and their role in the HRPP, regularly attend</w:t>
      </w:r>
      <w:r w:rsidR="003C79F0"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meetings.  Examples of </w:t>
      </w:r>
      <w:r w:rsidR="00CB08E8" w:rsidRPr="00AA4677">
        <w:rPr>
          <w:rFonts w:eastAsia="Times New Roman" w:cs="Times New Roman"/>
          <w:szCs w:val="24"/>
        </w:rPr>
        <w:t>e</w:t>
      </w:r>
      <w:r w:rsidRPr="00AA4677">
        <w:rPr>
          <w:rFonts w:eastAsia="Times New Roman" w:cs="Times New Roman"/>
          <w:szCs w:val="24"/>
        </w:rPr>
        <w:t>x-officio guests include IRB staff who are not</w:t>
      </w:r>
      <w:r w:rsidR="003C79F0" w:rsidRPr="00AA4677">
        <w:rPr>
          <w:rFonts w:eastAsia="Times New Roman" w:cs="Times New Roman"/>
          <w:szCs w:val="24"/>
        </w:rPr>
        <w:t xml:space="preserve"> </w:t>
      </w:r>
      <w:r w:rsidRPr="00AA4677">
        <w:rPr>
          <w:rFonts w:eastAsia="Times New Roman" w:cs="Times New Roman"/>
          <w:szCs w:val="24"/>
        </w:rPr>
        <w:t>IRB members</w:t>
      </w:r>
      <w:r w:rsidR="00CB08E8" w:rsidRPr="00AA4677">
        <w:rPr>
          <w:rFonts w:eastAsia="Times New Roman" w:cs="Times New Roman"/>
          <w:szCs w:val="24"/>
        </w:rPr>
        <w:t>,</w:t>
      </w:r>
      <w:r w:rsidR="00E71CAB" w:rsidRPr="00AA4677">
        <w:rPr>
          <w:rFonts w:eastAsia="Times New Roman" w:cs="Times New Roman"/>
          <w:szCs w:val="24"/>
        </w:rPr>
        <w:t xml:space="preserve"> the</w:t>
      </w:r>
      <w:r w:rsidR="00C66572" w:rsidRPr="00AA4677">
        <w:rPr>
          <w:rFonts w:eastAsia="Times New Roman" w:cs="Times New Roman"/>
          <w:szCs w:val="24"/>
        </w:rPr>
        <w:t xml:space="preserve"> AVP-RC</w:t>
      </w:r>
      <w:r w:rsidR="00E71CAB" w:rsidRPr="00AA4677">
        <w:rPr>
          <w:rFonts w:eastAsia="Times New Roman" w:cs="Times New Roman"/>
          <w:szCs w:val="24"/>
        </w:rPr>
        <w:t>,</w:t>
      </w:r>
      <w:r w:rsidR="00CB08E8" w:rsidRPr="00AA4677">
        <w:rPr>
          <w:rFonts w:eastAsia="Times New Roman" w:cs="Times New Roman"/>
          <w:szCs w:val="24"/>
        </w:rPr>
        <w:t xml:space="preserve"> and the IO</w:t>
      </w:r>
      <w:r w:rsidRPr="00AA4677">
        <w:rPr>
          <w:rFonts w:eastAsia="Times New Roman" w:cs="Times New Roman"/>
          <w:szCs w:val="24"/>
        </w:rPr>
        <w:t>. Ex-officio guests may fully participate in the</w:t>
      </w:r>
      <w:r w:rsidR="003C79F0"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discussion and </w:t>
      </w:r>
      <w:proofErr w:type="gramStart"/>
      <w:r w:rsidRPr="00AA4677">
        <w:rPr>
          <w:rFonts w:eastAsia="Times New Roman" w:cs="Times New Roman"/>
          <w:szCs w:val="24"/>
        </w:rPr>
        <w:t>deliberations, but</w:t>
      </w:r>
      <w:proofErr w:type="gramEnd"/>
      <w:r w:rsidRPr="00AA4677">
        <w:rPr>
          <w:rFonts w:eastAsia="Times New Roman" w:cs="Times New Roman"/>
          <w:szCs w:val="24"/>
        </w:rPr>
        <w:t xml:space="preserve"> may not vote</w:t>
      </w:r>
      <w:r w:rsidR="00A52C7A" w:rsidRPr="00AA4677">
        <w:rPr>
          <w:rFonts w:eastAsia="Times New Roman" w:cs="Times New Roman"/>
          <w:szCs w:val="24"/>
        </w:rPr>
        <w:t xml:space="preserve"> Individuals who are responsible for business development are prohibited from serving as </w:t>
      </w:r>
      <w:proofErr w:type="spellStart"/>
      <w:r w:rsidR="00A52C7A" w:rsidRPr="00AA4677">
        <w:rPr>
          <w:rFonts w:eastAsia="Times New Roman" w:cs="Times New Roman"/>
          <w:szCs w:val="24"/>
        </w:rPr>
        <w:t>mmnbers</w:t>
      </w:r>
      <w:proofErr w:type="spellEnd"/>
      <w:r w:rsidR="00A52C7A" w:rsidRPr="00AA4677">
        <w:rPr>
          <w:rFonts w:eastAsia="Times New Roman" w:cs="Times New Roman"/>
          <w:szCs w:val="24"/>
        </w:rPr>
        <w:t xml:space="preserve"> or ex-officio members on the IRB or carrying out day-to-day operations of the review process.</w:t>
      </w:r>
    </w:p>
    <w:p w14:paraId="1162EC0A" w14:textId="28EC9FF2"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Other guests may be permitted to observe</w:t>
      </w:r>
      <w:r w:rsidR="003C79F0" w:rsidRPr="00AA4677">
        <w:rPr>
          <w:rFonts w:eastAsia="Times New Roman" w:cs="Times New Roman"/>
          <w:szCs w:val="24"/>
        </w:rPr>
        <w:t xml:space="preserve"> </w:t>
      </w:r>
      <w:r w:rsidR="003B1281" w:rsidRPr="00AA4677">
        <w:rPr>
          <w:rFonts w:eastAsia="Times New Roman" w:cs="Times New Roman"/>
          <w:szCs w:val="24"/>
        </w:rPr>
        <w:t>IRB</w:t>
      </w:r>
      <w:r w:rsidRPr="00AA4677">
        <w:rPr>
          <w:rFonts w:eastAsia="Times New Roman" w:cs="Times New Roman"/>
          <w:szCs w:val="24"/>
        </w:rPr>
        <w:t xml:space="preserve"> meetings</w:t>
      </w:r>
      <w:r w:rsidR="003C79F0" w:rsidRPr="00AA4677">
        <w:rPr>
          <w:rFonts w:eastAsia="Times New Roman" w:cs="Times New Roman"/>
          <w:szCs w:val="24"/>
        </w:rPr>
        <w:t xml:space="preserve"> at the discretion of the </w:t>
      </w:r>
      <w:r w:rsidR="00EE7207" w:rsidRPr="00AA4677">
        <w:rPr>
          <w:rFonts w:eastAsia="Times New Roman" w:cs="Times New Roman"/>
          <w:szCs w:val="24"/>
        </w:rPr>
        <w:t>IRB</w:t>
      </w:r>
      <w:r w:rsidRPr="00AA4677">
        <w:rPr>
          <w:rFonts w:eastAsia="Times New Roman" w:cs="Times New Roman"/>
          <w:szCs w:val="24"/>
        </w:rPr>
        <w:t xml:space="preserve"> Chair</w:t>
      </w:r>
      <w:r w:rsidR="00C66572" w:rsidRPr="00AA4677">
        <w:rPr>
          <w:rFonts w:eastAsia="Times New Roman" w:cs="Times New Roman"/>
          <w:szCs w:val="24"/>
        </w:rPr>
        <w:t>, AVP-RC</w:t>
      </w:r>
      <w:r w:rsidR="00E71CAB" w:rsidRPr="00AA4677">
        <w:rPr>
          <w:rFonts w:eastAsia="Times New Roman" w:cs="Times New Roman"/>
          <w:szCs w:val="24"/>
        </w:rPr>
        <w:t>, or</w:t>
      </w:r>
      <w:r w:rsidRPr="00AA4677">
        <w:rPr>
          <w:rFonts w:eastAsia="Times New Roman" w:cs="Times New Roman"/>
          <w:szCs w:val="24"/>
        </w:rPr>
        <w:t xml:space="preserve"> the IO. </w:t>
      </w:r>
    </w:p>
    <w:p w14:paraId="1B05F2DC" w14:textId="4822BB3B" w:rsidR="003E7C9E" w:rsidRPr="00AA4677" w:rsidRDefault="005E64CB" w:rsidP="00696B35">
      <w:pPr>
        <w:pStyle w:val="Heading2"/>
      </w:pPr>
      <w:bookmarkStart w:id="63" w:name="_Toc192678176"/>
      <w:r w:rsidRPr="00AA4677">
        <w:t xml:space="preserve">3.8 Criteria for </w:t>
      </w:r>
      <w:r w:rsidR="00EE7207" w:rsidRPr="00AA4677">
        <w:t>IRB</w:t>
      </w:r>
      <w:r w:rsidRPr="00AA4677">
        <w:t xml:space="preserve"> </w:t>
      </w:r>
      <w:r w:rsidR="003E7C9E" w:rsidRPr="00AA4677">
        <w:t>Approval of Research</w:t>
      </w:r>
      <w:bookmarkEnd w:id="63"/>
    </w:p>
    <w:p w14:paraId="6AA9A464" w14:textId="5DB26F20"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In order for</w:t>
      </w:r>
      <w:proofErr w:type="gramEnd"/>
      <w:r w:rsidRPr="00AA4677">
        <w:rPr>
          <w:rFonts w:eastAsia="Times New Roman" w:cs="Times New Roman"/>
          <w:szCs w:val="24"/>
        </w:rPr>
        <w:t xml:space="preserve"> </w:t>
      </w:r>
      <w:r w:rsidR="003C79F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to approve human subject </w:t>
      </w:r>
      <w:r w:rsidR="007E5924" w:rsidRPr="00AA4677">
        <w:rPr>
          <w:rFonts w:eastAsia="Times New Roman" w:cs="Times New Roman"/>
          <w:szCs w:val="24"/>
        </w:rPr>
        <w:t>research,</w:t>
      </w:r>
      <w:r w:rsidRPr="00AA4677">
        <w:rPr>
          <w:rFonts w:eastAsia="Times New Roman" w:cs="Times New Roman"/>
          <w:szCs w:val="24"/>
        </w:rPr>
        <w:t xml:space="preserve"> it must determine that the following requirements are satisfied:</w:t>
      </w:r>
    </w:p>
    <w:p w14:paraId="0914714A" w14:textId="105AD563" w:rsidR="003E7C9E" w:rsidRPr="00AA4677" w:rsidRDefault="003E7C9E">
      <w:pPr>
        <w:pStyle w:val="ListParagraph"/>
        <w:numPr>
          <w:ilvl w:val="0"/>
          <w:numId w:val="7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Risks to subjects are minimized: (</w:t>
      </w:r>
      <w:proofErr w:type="spellStart"/>
      <w:r w:rsidRPr="00AA4677">
        <w:rPr>
          <w:rFonts w:eastAsia="Times New Roman" w:cs="Times New Roman"/>
          <w:szCs w:val="24"/>
        </w:rPr>
        <w:t>i</w:t>
      </w:r>
      <w:proofErr w:type="spellEnd"/>
      <w:r w:rsidRPr="00AA4677">
        <w:rPr>
          <w:rFonts w:eastAsia="Times New Roman" w:cs="Times New Roman"/>
          <w:szCs w:val="24"/>
        </w:rPr>
        <w:t xml:space="preserve">) by using </w:t>
      </w:r>
      <w:r w:rsidR="007E5924" w:rsidRPr="00AA4677">
        <w:rPr>
          <w:rFonts w:eastAsia="Times New Roman" w:cs="Times New Roman"/>
          <w:szCs w:val="24"/>
        </w:rPr>
        <w:t xml:space="preserve">procedures, which are consistent with sound research design and </w:t>
      </w:r>
      <w:proofErr w:type="gramStart"/>
      <w:r w:rsidR="007E5924" w:rsidRPr="00AA4677">
        <w:rPr>
          <w:rFonts w:eastAsia="Times New Roman" w:cs="Times New Roman"/>
          <w:szCs w:val="24"/>
        </w:rPr>
        <w:t>which,</w:t>
      </w:r>
      <w:proofErr w:type="gramEnd"/>
      <w:r w:rsidRPr="00AA4677">
        <w:rPr>
          <w:rFonts w:eastAsia="Times New Roman" w:cs="Times New Roman"/>
          <w:szCs w:val="24"/>
        </w:rPr>
        <w:t xml:space="preserve"> do not unnecessarily expose subjects to risk, and (ii) whenever appropriate, by using procedures already being performed on the subjects for diagnostic or treatment purposes.</w:t>
      </w:r>
    </w:p>
    <w:p w14:paraId="704AD901" w14:textId="2D3CDCF7" w:rsidR="003E7C9E" w:rsidRPr="00AA4677" w:rsidRDefault="003E7C9E">
      <w:pPr>
        <w:pStyle w:val="ListParagraph"/>
        <w:numPr>
          <w:ilvl w:val="0"/>
          <w:numId w:val="7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Risks to subjects are reasonable in relation to anticipated benefits, if any, to subjects, and the importance of the knowledge that may reasonably be expected to result. In evaluating risks and benefits, </w:t>
      </w:r>
      <w:r w:rsidR="003C79F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should consider only those risks and benefits that may result from the research (as distinguished from risks and benefits of therapies subjects would receive even if not participating in the research). </w:t>
      </w:r>
      <w:r w:rsidR="003C79F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should not consider possible long-range effects of applying knowledge gained in the research (for example, the possible effects of the research on public policy) as among those research risks that fall within the purview of its responsibility.</w:t>
      </w:r>
    </w:p>
    <w:p w14:paraId="0273F341" w14:textId="5180BAAF" w:rsidR="003E7C9E" w:rsidRPr="00AA4677" w:rsidRDefault="003E7C9E">
      <w:pPr>
        <w:pStyle w:val="ListParagraph"/>
        <w:numPr>
          <w:ilvl w:val="0"/>
          <w:numId w:val="7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Selection of subjects is equitable. In making this assessment </w:t>
      </w:r>
      <w:r w:rsidR="003C79F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should take into account the purposes of the research and the setting in which the research will be conducted and should be particularly cognizant of the special problems of research involving </w:t>
      </w:r>
      <w:r w:rsidR="00B4280E" w:rsidRPr="00AA4677">
        <w:rPr>
          <w:rFonts w:eastAsia="Times New Roman" w:cs="Times New Roman"/>
          <w:szCs w:val="24"/>
        </w:rPr>
        <w:t xml:space="preserve">subjects </w:t>
      </w:r>
      <w:r w:rsidR="00B4280E" w:rsidRPr="00AA4677">
        <w:rPr>
          <w:rFonts w:eastAsia="Times New Roman" w:cs="Times New Roman"/>
          <w:szCs w:val="24"/>
        </w:rPr>
        <w:lastRenderedPageBreak/>
        <w:t xml:space="preserve">vulnerable to coercion or undue influence, </w:t>
      </w:r>
      <w:r w:rsidRPr="00AA4677">
        <w:rPr>
          <w:rFonts w:eastAsia="Times New Roman" w:cs="Times New Roman"/>
          <w:szCs w:val="24"/>
        </w:rPr>
        <w:t>such as children, prisoners, mentally disable</w:t>
      </w:r>
      <w:r w:rsidR="00C613F3" w:rsidRPr="00AA4677">
        <w:rPr>
          <w:rFonts w:eastAsia="Times New Roman" w:cs="Times New Roman"/>
          <w:szCs w:val="24"/>
        </w:rPr>
        <w:t>d</w:t>
      </w:r>
      <w:r w:rsidRPr="00AA4677">
        <w:rPr>
          <w:rFonts w:eastAsia="Times New Roman" w:cs="Times New Roman"/>
          <w:szCs w:val="24"/>
        </w:rPr>
        <w:t xml:space="preserve"> persons, or economically or educationally disadvantaged persons.</w:t>
      </w:r>
    </w:p>
    <w:p w14:paraId="3547A9B4" w14:textId="5F0872B3" w:rsidR="003E7C9E" w:rsidRPr="00AA4677" w:rsidRDefault="003E7C9E">
      <w:pPr>
        <w:pStyle w:val="ListParagraph"/>
        <w:numPr>
          <w:ilvl w:val="0"/>
          <w:numId w:val="7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Informed consent will be sought from each prospective subject or the subject's legally authorized representative, in accordance with, and to the extent required by</w:t>
      </w:r>
      <w:r w:rsidR="00475FED" w:rsidRPr="00AA4677">
        <w:rPr>
          <w:rFonts w:eastAsia="Times New Roman" w:cs="Times New Roman"/>
          <w:szCs w:val="24"/>
        </w:rPr>
        <w:t xml:space="preserve"> 45 CFR 46.117.</w:t>
      </w:r>
    </w:p>
    <w:p w14:paraId="194634DD" w14:textId="52BEB306" w:rsidR="003E7C9E" w:rsidRPr="00AA4677" w:rsidRDefault="003E7C9E">
      <w:pPr>
        <w:pStyle w:val="ListParagraph"/>
        <w:numPr>
          <w:ilvl w:val="0"/>
          <w:numId w:val="7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Informed consent will be appropriately documented, in accordance with, and to the extent required by </w:t>
      </w:r>
      <w:r w:rsidR="00475FED" w:rsidRPr="00AA4677">
        <w:rPr>
          <w:rFonts w:eastAsia="Times New Roman" w:cs="Times New Roman"/>
          <w:szCs w:val="24"/>
        </w:rPr>
        <w:t>45 CFR 46.117.</w:t>
      </w:r>
    </w:p>
    <w:p w14:paraId="3566BDEE" w14:textId="546D8F5C" w:rsidR="003E7C9E" w:rsidRPr="00AA4677" w:rsidRDefault="003E7C9E">
      <w:pPr>
        <w:pStyle w:val="ListParagraph"/>
        <w:numPr>
          <w:ilvl w:val="0"/>
          <w:numId w:val="7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When appropriate, the research plan makes adequate provision for monitoring the data collected to ensure the safety of subjects.</w:t>
      </w:r>
    </w:p>
    <w:p w14:paraId="41911D6A" w14:textId="43474A3F" w:rsidR="003E7C9E" w:rsidRPr="00AA4677" w:rsidRDefault="003E7C9E">
      <w:pPr>
        <w:pStyle w:val="ListParagraph"/>
        <w:numPr>
          <w:ilvl w:val="0"/>
          <w:numId w:val="7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When appropriate, there are adequate provisions to protect the privacy of subjects and to maintain the confidentiality of data.</w:t>
      </w:r>
    </w:p>
    <w:p w14:paraId="7722500F" w14:textId="1C90E8BF" w:rsidR="003E7C9E" w:rsidRPr="00AA4677" w:rsidRDefault="003E7C9E">
      <w:pPr>
        <w:pStyle w:val="ListParagraph"/>
        <w:numPr>
          <w:ilvl w:val="0"/>
          <w:numId w:val="7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some or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subjects are likely to be vulnerable to coercion or undue influence, such as children, prisoners, </w:t>
      </w:r>
      <w:r w:rsidR="00FB4188" w:rsidRPr="00AA4677">
        <w:rPr>
          <w:rFonts w:eastAsia="Times New Roman" w:cs="Times New Roman"/>
          <w:szCs w:val="24"/>
        </w:rPr>
        <w:t xml:space="preserve">individuals with impaired decision-making capacity, </w:t>
      </w:r>
      <w:r w:rsidRPr="00AA4677">
        <w:rPr>
          <w:rFonts w:eastAsia="Times New Roman" w:cs="Times New Roman"/>
          <w:szCs w:val="24"/>
        </w:rPr>
        <w:t>or economically or educationally disadvantaged persons, additional safeguards have been included in the study to protect the rights and welfare of these subjects.</w:t>
      </w:r>
    </w:p>
    <w:p w14:paraId="7A664682" w14:textId="77DD08A9" w:rsidR="003E7C9E" w:rsidRPr="00AA4677" w:rsidRDefault="003E7C9E" w:rsidP="00C57C98">
      <w:pPr>
        <w:pStyle w:val="Heading3"/>
      </w:pPr>
      <w:r w:rsidRPr="00AA4677">
        <w:t>3.8.1 Risk/Benefit Assessment</w:t>
      </w:r>
    </w:p>
    <w:p w14:paraId="40ABDB31" w14:textId="76ADC0F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goal of the assessment is to ensure that the risks to research subjects posed by participation in the research are justified by the anticipated benefits to the subjects or society. Toward that end, </w:t>
      </w:r>
      <w:r w:rsidR="003C79F0" w:rsidRPr="00AA4677">
        <w:rPr>
          <w:rFonts w:eastAsia="Times New Roman" w:cs="Times New Roman"/>
          <w:szCs w:val="24"/>
        </w:rPr>
        <w:t xml:space="preserve">the </w:t>
      </w:r>
      <w:r w:rsidR="00EE7207" w:rsidRPr="00AA4677">
        <w:rPr>
          <w:rFonts w:eastAsia="Times New Roman" w:cs="Times New Roman"/>
          <w:szCs w:val="24"/>
        </w:rPr>
        <w:t>IRB</w:t>
      </w:r>
      <w:r w:rsidR="003C79F0" w:rsidRPr="00AA4677">
        <w:rPr>
          <w:rFonts w:eastAsia="Times New Roman" w:cs="Times New Roman"/>
          <w:szCs w:val="24"/>
        </w:rPr>
        <w:t xml:space="preserve"> </w:t>
      </w:r>
      <w:r w:rsidRPr="00AA4677">
        <w:rPr>
          <w:rFonts w:eastAsia="Times New Roman" w:cs="Times New Roman"/>
          <w:szCs w:val="24"/>
        </w:rPr>
        <w:t>must:</w:t>
      </w:r>
    </w:p>
    <w:p w14:paraId="1C04CB48" w14:textId="77777777" w:rsidR="003E7C9E" w:rsidRPr="00AA4677" w:rsidRDefault="003E7C9E" w:rsidP="00C129F1">
      <w:pPr>
        <w:numPr>
          <w:ilvl w:val="0"/>
          <w:numId w:val="4"/>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Where the risk is deemed more than minimal, judge whether the anticipated benefit, either of new knowledge or of improved health for the research subjects, justifies asking any person to undertake the risks,</w:t>
      </w:r>
    </w:p>
    <w:p w14:paraId="7EF752E2" w14:textId="77777777" w:rsidR="003E7C9E" w:rsidRPr="00AA4677" w:rsidRDefault="003E7C9E" w:rsidP="00C129F1">
      <w:pPr>
        <w:numPr>
          <w:ilvl w:val="0"/>
          <w:numId w:val="4"/>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Not approve research in which the risks are judged unreasonable in relation to the anticipated benefits.</w:t>
      </w:r>
    </w:p>
    <w:p w14:paraId="71339E1C" w14:textId="02D0A764"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assessment of the risks and benefits of proposed research - one of the major responsibilities of </w:t>
      </w:r>
      <w:r w:rsidR="003C79F0" w:rsidRPr="00AA4677">
        <w:rPr>
          <w:rFonts w:eastAsia="Times New Roman" w:cs="Times New Roman"/>
          <w:szCs w:val="24"/>
        </w:rPr>
        <w:t>the IRB</w:t>
      </w:r>
      <w:r w:rsidRPr="00AA4677">
        <w:rPr>
          <w:rFonts w:eastAsia="Times New Roman" w:cs="Times New Roman"/>
          <w:szCs w:val="24"/>
        </w:rPr>
        <w:t xml:space="preserve"> - involves a series of steps:</w:t>
      </w:r>
    </w:p>
    <w:p w14:paraId="64459BAB" w14:textId="3E452796" w:rsidR="003E7C9E" w:rsidRPr="00AA4677" w:rsidRDefault="00CB08E8" w:rsidP="00C129F1">
      <w:pPr>
        <w:numPr>
          <w:ilvl w:val="0"/>
          <w:numId w:val="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I</w:t>
      </w:r>
      <w:r w:rsidR="003E7C9E" w:rsidRPr="00AA4677">
        <w:rPr>
          <w:rFonts w:eastAsia="Times New Roman" w:cs="Times New Roman"/>
          <w:szCs w:val="24"/>
        </w:rPr>
        <w:t xml:space="preserve">dentify the procedures being conducted specifically for </w:t>
      </w:r>
      <w:proofErr w:type="gramStart"/>
      <w:r w:rsidR="003E7C9E" w:rsidRPr="00AA4677">
        <w:rPr>
          <w:rFonts w:eastAsia="Times New Roman" w:cs="Times New Roman"/>
          <w:szCs w:val="24"/>
        </w:rPr>
        <w:t>research</w:t>
      </w:r>
      <w:r w:rsidRPr="00AA4677">
        <w:rPr>
          <w:rFonts w:eastAsia="Times New Roman" w:cs="Times New Roman"/>
          <w:szCs w:val="24"/>
        </w:rPr>
        <w:t>;</w:t>
      </w:r>
      <w:proofErr w:type="gramEnd"/>
    </w:p>
    <w:p w14:paraId="5D71E6EE" w14:textId="3D337772" w:rsidR="003E7C9E" w:rsidRPr="00AA4677" w:rsidRDefault="00CB08E8" w:rsidP="00C129F1">
      <w:pPr>
        <w:numPr>
          <w:ilvl w:val="0"/>
          <w:numId w:val="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I</w:t>
      </w:r>
      <w:r w:rsidR="003E7C9E" w:rsidRPr="00AA4677">
        <w:rPr>
          <w:rFonts w:eastAsia="Times New Roman" w:cs="Times New Roman"/>
          <w:szCs w:val="24"/>
        </w:rPr>
        <w:t xml:space="preserve">dentify the risks associated with the research procedures, as distinguished from the risks of therapies the subjects would receive even if not participating in </w:t>
      </w:r>
      <w:proofErr w:type="gramStart"/>
      <w:r w:rsidR="003E7C9E" w:rsidRPr="00AA4677">
        <w:rPr>
          <w:rFonts w:eastAsia="Times New Roman" w:cs="Times New Roman"/>
          <w:szCs w:val="24"/>
        </w:rPr>
        <w:t>research;</w:t>
      </w:r>
      <w:proofErr w:type="gramEnd"/>
    </w:p>
    <w:p w14:paraId="75B5234E" w14:textId="38A034B9" w:rsidR="003E7C9E" w:rsidRPr="00AA4677" w:rsidRDefault="00CB08E8" w:rsidP="00C129F1">
      <w:pPr>
        <w:numPr>
          <w:ilvl w:val="0"/>
          <w:numId w:val="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D</w:t>
      </w:r>
      <w:r w:rsidR="003E7C9E" w:rsidRPr="00AA4677">
        <w:rPr>
          <w:rFonts w:eastAsia="Times New Roman" w:cs="Times New Roman"/>
          <w:szCs w:val="24"/>
        </w:rPr>
        <w:t xml:space="preserve">etermine whether the risks will be minimized to the extent </w:t>
      </w:r>
      <w:proofErr w:type="gramStart"/>
      <w:r w:rsidR="003E7C9E" w:rsidRPr="00AA4677">
        <w:rPr>
          <w:rFonts w:eastAsia="Times New Roman" w:cs="Times New Roman"/>
          <w:szCs w:val="24"/>
        </w:rPr>
        <w:t>possible;</w:t>
      </w:r>
      <w:proofErr w:type="gramEnd"/>
    </w:p>
    <w:p w14:paraId="4118684A" w14:textId="0377FF51" w:rsidR="003E7C9E" w:rsidRPr="00AA4677" w:rsidRDefault="00CB08E8" w:rsidP="00C129F1">
      <w:pPr>
        <w:numPr>
          <w:ilvl w:val="0"/>
          <w:numId w:val="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I</w:t>
      </w:r>
      <w:r w:rsidR="003E7C9E" w:rsidRPr="00AA4677">
        <w:rPr>
          <w:rFonts w:eastAsia="Times New Roman" w:cs="Times New Roman"/>
          <w:szCs w:val="24"/>
        </w:rPr>
        <w:t xml:space="preserve">dentify the probable benefits to be derived from the </w:t>
      </w:r>
      <w:proofErr w:type="gramStart"/>
      <w:r w:rsidR="003E7C9E" w:rsidRPr="00AA4677">
        <w:rPr>
          <w:rFonts w:eastAsia="Times New Roman" w:cs="Times New Roman"/>
          <w:szCs w:val="24"/>
        </w:rPr>
        <w:t>research;</w:t>
      </w:r>
      <w:proofErr w:type="gramEnd"/>
    </w:p>
    <w:p w14:paraId="6065A996" w14:textId="333CF28F" w:rsidR="003E7C9E" w:rsidRPr="00AA4677" w:rsidRDefault="00CB08E8" w:rsidP="00C129F1">
      <w:pPr>
        <w:numPr>
          <w:ilvl w:val="0"/>
          <w:numId w:val="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D</w:t>
      </w:r>
      <w:r w:rsidR="003E7C9E" w:rsidRPr="00AA4677">
        <w:rPr>
          <w:rFonts w:eastAsia="Times New Roman" w:cs="Times New Roman"/>
          <w:szCs w:val="24"/>
        </w:rPr>
        <w:t xml:space="preserve">etermine whether the risks are reasonable in relation to the benefits to subjects, if any, and assess the importance of the knowledge to be </w:t>
      </w:r>
      <w:proofErr w:type="gramStart"/>
      <w:r w:rsidR="003E7C9E" w:rsidRPr="00AA4677">
        <w:rPr>
          <w:rFonts w:eastAsia="Times New Roman" w:cs="Times New Roman"/>
          <w:szCs w:val="24"/>
        </w:rPr>
        <w:t>gained;</w:t>
      </w:r>
      <w:proofErr w:type="gramEnd"/>
    </w:p>
    <w:p w14:paraId="3727BD01" w14:textId="6A473413" w:rsidR="003E7C9E" w:rsidRPr="00AA4677" w:rsidRDefault="00CB08E8" w:rsidP="00C129F1">
      <w:pPr>
        <w:numPr>
          <w:ilvl w:val="0"/>
          <w:numId w:val="5"/>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E</w:t>
      </w:r>
      <w:r w:rsidR="003E7C9E" w:rsidRPr="00AA4677">
        <w:rPr>
          <w:rFonts w:eastAsia="Times New Roman" w:cs="Times New Roman"/>
          <w:szCs w:val="24"/>
        </w:rPr>
        <w:t xml:space="preserve">nsure that potential subjects will be provided with an accurate and fair </w:t>
      </w:r>
      <w:r w:rsidR="007E5924" w:rsidRPr="00AA4677">
        <w:rPr>
          <w:rFonts w:eastAsia="Times New Roman" w:cs="Times New Roman"/>
          <w:szCs w:val="24"/>
        </w:rPr>
        <w:t>description of</w:t>
      </w:r>
      <w:r w:rsidR="003E7C9E" w:rsidRPr="00AA4677">
        <w:rPr>
          <w:rFonts w:eastAsia="Times New Roman" w:cs="Times New Roman"/>
          <w:szCs w:val="24"/>
        </w:rPr>
        <w:t xml:space="preserve"> the risks or discomforts and the anticipated benefits</w:t>
      </w:r>
      <w:r w:rsidRPr="00AA4677">
        <w:rPr>
          <w:rFonts w:eastAsia="Times New Roman" w:cs="Times New Roman"/>
          <w:szCs w:val="24"/>
        </w:rPr>
        <w:t>.</w:t>
      </w:r>
    </w:p>
    <w:p w14:paraId="0A8A9D38" w14:textId="7777777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Risks to subjects are minimized:</w:t>
      </w:r>
    </w:p>
    <w:p w14:paraId="02BE1642" w14:textId="2EF239F7" w:rsidR="003E7C9E" w:rsidRPr="00AA4677" w:rsidRDefault="00CB08E8">
      <w:pPr>
        <w:pStyle w:val="ListParagraph"/>
        <w:numPr>
          <w:ilvl w:val="0"/>
          <w:numId w:val="7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B</w:t>
      </w:r>
      <w:r w:rsidR="003E7C9E" w:rsidRPr="00AA4677">
        <w:rPr>
          <w:rFonts w:eastAsia="Times New Roman" w:cs="Times New Roman"/>
          <w:szCs w:val="24"/>
        </w:rPr>
        <w:t xml:space="preserve">y using procedures which are consistent with sound research </w:t>
      </w:r>
      <w:proofErr w:type="gramStart"/>
      <w:r w:rsidR="003E7C9E" w:rsidRPr="00AA4677">
        <w:rPr>
          <w:rFonts w:eastAsia="Times New Roman" w:cs="Times New Roman"/>
          <w:szCs w:val="24"/>
        </w:rPr>
        <w:t>design</w:t>
      </w:r>
      <w:proofErr w:type="gramEnd"/>
      <w:r w:rsidR="003E7C9E" w:rsidRPr="00AA4677">
        <w:rPr>
          <w:rFonts w:eastAsia="Times New Roman" w:cs="Times New Roman"/>
          <w:szCs w:val="24"/>
        </w:rPr>
        <w:t xml:space="preserve"> and which do not unnecessarily expose subjects to risk; and</w:t>
      </w:r>
    </w:p>
    <w:p w14:paraId="51689C32" w14:textId="19CD82AA" w:rsidR="003E7C9E" w:rsidRPr="00AA4677" w:rsidRDefault="00CB08E8">
      <w:pPr>
        <w:pStyle w:val="ListParagraph"/>
        <w:numPr>
          <w:ilvl w:val="0"/>
          <w:numId w:val="7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w:t>
      </w:r>
      <w:r w:rsidR="003E7C9E" w:rsidRPr="00AA4677">
        <w:rPr>
          <w:rFonts w:eastAsia="Times New Roman" w:cs="Times New Roman"/>
          <w:szCs w:val="24"/>
        </w:rPr>
        <w:t>henever appropriate, by using procedures already being performed on the subjects for diagnostic or treatment purposes.</w:t>
      </w:r>
    </w:p>
    <w:p w14:paraId="353D092D" w14:textId="7777777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Risks to subjects are reasonable in relation to anticipated benefits, if any, and to the importance of the knowledge that may reasonably be expected to result.</w:t>
      </w:r>
    </w:p>
    <w:p w14:paraId="0195DA1E" w14:textId="19B24AE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w:t>
      </w:r>
      <w:r w:rsidR="003C79F0" w:rsidRPr="00AA4677">
        <w:rPr>
          <w:rFonts w:eastAsia="Times New Roman" w:cs="Times New Roman"/>
          <w:szCs w:val="24"/>
        </w:rPr>
        <w:t xml:space="preserve">evaluating risks and benefits, the IRB </w:t>
      </w:r>
      <w:r w:rsidRPr="00AA4677">
        <w:rPr>
          <w:rFonts w:eastAsia="Times New Roman" w:cs="Times New Roman"/>
          <w:szCs w:val="24"/>
        </w:rPr>
        <w:t>should consider only those risks and benefits that may result from the research as distinguished from risks and benefits of therapies subjects would receive even if not participating in the research.</w:t>
      </w:r>
    </w:p>
    <w:p w14:paraId="6CDD7169" w14:textId="67F0FDED" w:rsidR="003E7C9E" w:rsidRPr="00AA4677" w:rsidRDefault="003C79F0"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IRB</w:t>
      </w:r>
      <w:r w:rsidR="003E7C9E" w:rsidRPr="00AA4677">
        <w:rPr>
          <w:rFonts w:eastAsia="Times New Roman" w:cs="Times New Roman"/>
          <w:szCs w:val="24"/>
        </w:rPr>
        <w:t xml:space="preserve"> should not consider possible long-range effects of applying knowledge gained in the research (e.g., the possible effects of the research on public policy) as among those research risks that fall within the purview of its responsibility.</w:t>
      </w:r>
    </w:p>
    <w:p w14:paraId="0654B20D" w14:textId="3B72920B" w:rsidR="003E7C9E" w:rsidRPr="00AA4677" w:rsidRDefault="00A31707" w:rsidP="001D3801">
      <w:pPr>
        <w:pStyle w:val="Heading4"/>
      </w:pPr>
      <w:r w:rsidRPr="00AA4677">
        <w:t>3.8.1.1 </w:t>
      </w:r>
      <w:r w:rsidR="003E7C9E" w:rsidRPr="00AA4677">
        <w:t>Scientific Merit</w:t>
      </w:r>
    </w:p>
    <w:p w14:paraId="7A3F40C3" w14:textId="234A54CD"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In order to</w:t>
      </w:r>
      <w:proofErr w:type="gramEnd"/>
      <w:r w:rsidRPr="00AA4677">
        <w:rPr>
          <w:rFonts w:eastAsia="Times New Roman" w:cs="Times New Roman"/>
          <w:szCs w:val="24"/>
        </w:rPr>
        <w:t xml:space="preserve"> assess the risks and benefits of the proposed research, </w:t>
      </w:r>
      <w:r w:rsidR="003C79F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must determine that:</w:t>
      </w:r>
    </w:p>
    <w:p w14:paraId="67A460D7" w14:textId="77777777" w:rsidR="003E7C9E" w:rsidRPr="00AA4677" w:rsidRDefault="003E7C9E">
      <w:pPr>
        <w:numPr>
          <w:ilvl w:val="0"/>
          <w:numId w:val="20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research uses procedures consistent with sound research </w:t>
      </w:r>
      <w:proofErr w:type="gramStart"/>
      <w:r w:rsidRPr="00AA4677">
        <w:rPr>
          <w:rFonts w:eastAsia="Times New Roman" w:cs="Times New Roman"/>
          <w:szCs w:val="24"/>
        </w:rPr>
        <w:t>design;</w:t>
      </w:r>
      <w:proofErr w:type="gramEnd"/>
    </w:p>
    <w:p w14:paraId="2823F671" w14:textId="77777777" w:rsidR="003E7C9E" w:rsidRPr="00AA4677" w:rsidRDefault="003E7C9E">
      <w:pPr>
        <w:numPr>
          <w:ilvl w:val="0"/>
          <w:numId w:val="202"/>
        </w:num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The research</w:t>
      </w:r>
      <w:proofErr w:type="gramEnd"/>
      <w:r w:rsidRPr="00AA4677">
        <w:rPr>
          <w:rFonts w:eastAsia="Times New Roman" w:cs="Times New Roman"/>
          <w:szCs w:val="24"/>
        </w:rPr>
        <w:t xml:space="preserve"> design is sound enough to reasonably expect the research to answer its proposed question; and</w:t>
      </w:r>
    </w:p>
    <w:p w14:paraId="06B21AD5" w14:textId="77777777" w:rsidR="003E7C9E" w:rsidRPr="00AA4677" w:rsidRDefault="003E7C9E">
      <w:pPr>
        <w:numPr>
          <w:ilvl w:val="0"/>
          <w:numId w:val="20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knowledge expected to result from this research is sufficiently important to justify the risk.</w:t>
      </w:r>
    </w:p>
    <w:p w14:paraId="79BBFF51" w14:textId="0644944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making this determination, </w:t>
      </w:r>
      <w:r w:rsidR="003C79F0" w:rsidRPr="00AA4677">
        <w:rPr>
          <w:rFonts w:eastAsia="Times New Roman" w:cs="Times New Roman"/>
          <w:szCs w:val="24"/>
        </w:rPr>
        <w:t>the IRB</w:t>
      </w:r>
      <w:r w:rsidRPr="00AA4677">
        <w:rPr>
          <w:rFonts w:eastAsia="Times New Roman" w:cs="Times New Roman"/>
          <w:szCs w:val="24"/>
        </w:rPr>
        <w:t xml:space="preserve"> draw</w:t>
      </w:r>
      <w:r w:rsidR="00800FE9" w:rsidRPr="00AA4677">
        <w:rPr>
          <w:rFonts w:eastAsia="Times New Roman" w:cs="Times New Roman"/>
          <w:szCs w:val="24"/>
        </w:rPr>
        <w:t xml:space="preserve">s upon (a) </w:t>
      </w:r>
      <w:r w:rsidRPr="00AA4677">
        <w:rPr>
          <w:rFonts w:eastAsia="Times New Roman" w:cs="Times New Roman"/>
          <w:szCs w:val="24"/>
        </w:rPr>
        <w:t xml:space="preserve">its own knowledge and disciplinary expertise, </w:t>
      </w:r>
      <w:r w:rsidR="00800FE9" w:rsidRPr="00AA4677">
        <w:rPr>
          <w:rFonts w:eastAsia="Times New Roman" w:cs="Times New Roman"/>
          <w:szCs w:val="24"/>
        </w:rPr>
        <w:t>and (b) t</w:t>
      </w:r>
      <w:r w:rsidRPr="00AA4677">
        <w:rPr>
          <w:rFonts w:eastAsia="Times New Roman" w:cs="Times New Roman"/>
          <w:szCs w:val="24"/>
        </w:rPr>
        <w:t xml:space="preserve">he knowledge and disciplinary expertise of others, such as </w:t>
      </w:r>
      <w:r w:rsidR="00800FE9" w:rsidRPr="00AA4677">
        <w:rPr>
          <w:rFonts w:eastAsia="Times New Roman" w:cs="Times New Roman"/>
          <w:szCs w:val="24"/>
        </w:rPr>
        <w:t xml:space="preserve">departmental level review by chair or review committee (via e-signature on the submission to the IRB), </w:t>
      </w:r>
      <w:r w:rsidR="004B4D97" w:rsidRPr="00AA4677">
        <w:rPr>
          <w:rFonts w:eastAsia="Times New Roman" w:cs="Times New Roman"/>
          <w:szCs w:val="24"/>
        </w:rPr>
        <w:t xml:space="preserve">and/or </w:t>
      </w:r>
      <w:r w:rsidR="00800FE9" w:rsidRPr="00AA4677">
        <w:rPr>
          <w:rFonts w:eastAsia="Times New Roman" w:cs="Times New Roman"/>
          <w:szCs w:val="24"/>
        </w:rPr>
        <w:t xml:space="preserve">the peer review process of funding agencies. </w:t>
      </w:r>
      <w:r w:rsidRPr="00AA4677">
        <w:rPr>
          <w:rFonts w:eastAsia="Times New Roman" w:cs="Times New Roman"/>
          <w:szCs w:val="24"/>
        </w:rPr>
        <w:t xml:space="preserve"> </w:t>
      </w:r>
    </w:p>
    <w:p w14:paraId="3C3ED17E" w14:textId="67FC11C1"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Prior to </w:t>
      </w:r>
      <w:r w:rsidR="003C79F0" w:rsidRPr="00AA4677">
        <w:rPr>
          <w:rFonts w:eastAsia="Times New Roman" w:cs="Times New Roman"/>
          <w:szCs w:val="24"/>
        </w:rPr>
        <w:t>the IRB</w:t>
      </w:r>
      <w:r w:rsidRPr="00AA4677">
        <w:rPr>
          <w:rFonts w:eastAsia="Times New Roman" w:cs="Times New Roman"/>
          <w:szCs w:val="24"/>
        </w:rPr>
        <w:t xml:space="preserve"> review of new and continuing protocol applications, as well as </w:t>
      </w:r>
      <w:r w:rsidR="00800FE9" w:rsidRPr="00AA4677">
        <w:rPr>
          <w:rFonts w:eastAsia="Times New Roman" w:cs="Times New Roman"/>
          <w:szCs w:val="24"/>
        </w:rPr>
        <w:t xml:space="preserve">major </w:t>
      </w:r>
      <w:r w:rsidRPr="00AA4677">
        <w:rPr>
          <w:rFonts w:eastAsia="Times New Roman" w:cs="Times New Roman"/>
          <w:szCs w:val="24"/>
        </w:rPr>
        <w:t xml:space="preserve"> amendments, institutional scientific review is documented by the e-signature of the administrative official responsible for the investigator’s research unit.</w:t>
      </w:r>
    </w:p>
    <w:p w14:paraId="50F7AD68" w14:textId="2402B3B2" w:rsidR="003E7C9E" w:rsidRPr="00AA4677" w:rsidRDefault="003E7C9E" w:rsidP="00C57C98">
      <w:pPr>
        <w:pStyle w:val="Heading3"/>
      </w:pPr>
      <w:r w:rsidRPr="00AA4677">
        <w:t>3.8.2 </w:t>
      </w:r>
      <w:r w:rsidR="00A31707" w:rsidRPr="00AA4677">
        <w:t>S</w:t>
      </w:r>
      <w:r w:rsidRPr="00AA4677">
        <w:t xml:space="preserve">election of </w:t>
      </w:r>
      <w:r w:rsidR="005E64CB" w:rsidRPr="00AA4677">
        <w:t>S</w:t>
      </w:r>
      <w:r w:rsidRPr="00AA4677">
        <w:t>ubjects is </w:t>
      </w:r>
      <w:r w:rsidR="005E64CB" w:rsidRPr="00AA4677">
        <w:t>E</w:t>
      </w:r>
      <w:r w:rsidRPr="00AA4677">
        <w:t>quitable.</w:t>
      </w:r>
    </w:p>
    <w:p w14:paraId="3A62B023" w14:textId="1C62462A" w:rsidR="003C79F0" w:rsidRPr="00AA4677" w:rsidRDefault="003C79F0"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determines by reviewing the application, protocol and other submission materials that the selection of subjects is equitable with respect to gender, age, class, etc. </w:t>
      </w: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will not approve a </w:t>
      </w:r>
      <w:r w:rsidR="003E7C9E" w:rsidRPr="00AA4677">
        <w:rPr>
          <w:rFonts w:eastAsia="Times New Roman" w:cs="Times New Roman"/>
          <w:szCs w:val="24"/>
        </w:rPr>
        <w:lastRenderedPageBreak/>
        <w:t xml:space="preserve">study that does not provide adequately for the equitable selection of subjects or has not provided an appropriate scientific and ethical justification for excluding classes of persons who might benefit from the research. </w:t>
      </w:r>
    </w:p>
    <w:p w14:paraId="48C4586E" w14:textId="02DA7B7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making this determination, </w:t>
      </w:r>
      <w:r w:rsidR="003C79F0" w:rsidRPr="00AA4677">
        <w:rPr>
          <w:rFonts w:eastAsia="Times New Roman" w:cs="Times New Roman"/>
          <w:szCs w:val="24"/>
        </w:rPr>
        <w:t xml:space="preserve">the </w:t>
      </w:r>
      <w:r w:rsidR="00EE7207" w:rsidRPr="00AA4677">
        <w:rPr>
          <w:rFonts w:eastAsia="Times New Roman" w:cs="Times New Roman"/>
          <w:szCs w:val="24"/>
        </w:rPr>
        <w:t>IRB</w:t>
      </w:r>
      <w:r w:rsidR="003C79F0" w:rsidRPr="00AA4677">
        <w:rPr>
          <w:rFonts w:eastAsia="Times New Roman" w:cs="Times New Roman"/>
          <w:szCs w:val="24"/>
        </w:rPr>
        <w:t xml:space="preserve"> </w:t>
      </w:r>
      <w:r w:rsidRPr="00AA4677">
        <w:rPr>
          <w:rFonts w:eastAsia="Times New Roman" w:cs="Times New Roman"/>
          <w:szCs w:val="24"/>
        </w:rPr>
        <w:t xml:space="preserve">evaluates: </w:t>
      </w:r>
      <w:r w:rsidR="003C79F0" w:rsidRPr="00AA4677">
        <w:rPr>
          <w:rFonts w:eastAsia="Times New Roman" w:cs="Times New Roman"/>
          <w:szCs w:val="24"/>
        </w:rPr>
        <w:t xml:space="preserve"> </w:t>
      </w:r>
      <w:r w:rsidRPr="00AA4677">
        <w:rPr>
          <w:rFonts w:eastAsia="Times New Roman" w:cs="Times New Roman"/>
          <w:szCs w:val="24"/>
        </w:rPr>
        <w:t xml:space="preserve">the purposes of the research; the setting in which the research occurs; scientific and ethical justification for including </w:t>
      </w:r>
      <w:r w:rsidR="00FB4188" w:rsidRPr="00AA4677">
        <w:rPr>
          <w:rFonts w:eastAsia="Times New Roman" w:cs="Times New Roman"/>
          <w:szCs w:val="24"/>
        </w:rPr>
        <w:t>subjects vulnerable to coercion or undue influence such as</w:t>
      </w:r>
      <w:r w:rsidRPr="00AA4677">
        <w:rPr>
          <w:rFonts w:eastAsia="Times New Roman" w:cs="Times New Roman"/>
          <w:szCs w:val="24"/>
        </w:rPr>
        <w:t xml:space="preserve"> such as children, prisoners, </w:t>
      </w:r>
      <w:r w:rsidR="00FB4188" w:rsidRPr="00AA4677">
        <w:rPr>
          <w:rFonts w:eastAsia="Times New Roman" w:cs="Times New Roman"/>
          <w:szCs w:val="24"/>
        </w:rPr>
        <w:t xml:space="preserve"> individuals with impaired decision-making capacity,</w:t>
      </w:r>
      <w:r w:rsidRPr="00AA4677">
        <w:rPr>
          <w:rFonts w:eastAsia="Times New Roman" w:cs="Times New Roman"/>
          <w:szCs w:val="24"/>
        </w:rPr>
        <w:t xml:space="preserve"> or economically or educationally disadvantaged persons; the scientific and ethical justification for excluding classes of persons who might benefit from the research; and the inclusion/exclusion criteria. </w:t>
      </w:r>
    </w:p>
    <w:p w14:paraId="2F815226" w14:textId="46C401C1"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At the time of the continuing review</w:t>
      </w:r>
      <w:r w:rsidR="007E5924" w:rsidRPr="00AA4677">
        <w:rPr>
          <w:rFonts w:eastAsia="Times New Roman" w:cs="Times New Roman"/>
          <w:szCs w:val="24"/>
        </w:rPr>
        <w:t>,</w:t>
      </w:r>
      <w:r w:rsidRPr="00AA4677">
        <w:rPr>
          <w:rFonts w:eastAsia="Times New Roman" w:cs="Times New Roman"/>
          <w:szCs w:val="24"/>
        </w:rPr>
        <w:t xml:space="preserve"> </w:t>
      </w:r>
      <w:r w:rsidR="003C79F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determine that the PI has followed the subject selection criteria that he/she</w:t>
      </w:r>
      <w:r w:rsidR="003B1281" w:rsidRPr="00AA4677">
        <w:rPr>
          <w:rFonts w:eastAsia="Times New Roman" w:cs="Times New Roman"/>
          <w:szCs w:val="24"/>
        </w:rPr>
        <w:t xml:space="preserve"> </w:t>
      </w:r>
      <w:r w:rsidRPr="00AA4677">
        <w:rPr>
          <w:rFonts w:eastAsia="Times New Roman" w:cs="Times New Roman"/>
          <w:szCs w:val="24"/>
        </w:rPr>
        <w:t xml:space="preserve">originally set forth at the time of the initial </w:t>
      </w:r>
      <w:r w:rsidR="003C79F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review and approval.</w:t>
      </w:r>
    </w:p>
    <w:p w14:paraId="0F393BA6" w14:textId="625D1B99" w:rsidR="003E7C9E" w:rsidRPr="00AA4677" w:rsidRDefault="003E7C9E" w:rsidP="001D3801">
      <w:pPr>
        <w:pStyle w:val="Heading4"/>
      </w:pPr>
      <w:r w:rsidRPr="00AA4677">
        <w:t>3.8.2.1 Recruitment of Subjects</w:t>
      </w:r>
    </w:p>
    <w:p w14:paraId="78282E4A" w14:textId="2BF59747" w:rsidR="00DB1093"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 </w:t>
      </w:r>
      <w:proofErr w:type="gramStart"/>
      <w:r w:rsidRPr="00AA4677">
        <w:rPr>
          <w:rFonts w:eastAsia="Times New Roman" w:cs="Times New Roman"/>
          <w:szCs w:val="24"/>
        </w:rPr>
        <w:t>study’s</w:t>
      </w:r>
      <w:proofErr w:type="gramEnd"/>
      <w:r w:rsidRPr="00AA4677">
        <w:rPr>
          <w:rFonts w:eastAsia="Times New Roman" w:cs="Times New Roman"/>
          <w:szCs w:val="24"/>
        </w:rPr>
        <w:t xml:space="preserve"> recruitment plan and all study recruitment materials must be reviewed and approved by </w:t>
      </w:r>
      <w:r w:rsidR="003C79F0" w:rsidRPr="00AA4677">
        <w:rPr>
          <w:rFonts w:eastAsia="Times New Roman" w:cs="Times New Roman"/>
          <w:szCs w:val="24"/>
        </w:rPr>
        <w:t>the IRB</w:t>
      </w:r>
      <w:r w:rsidRPr="00AA4677">
        <w:rPr>
          <w:rFonts w:eastAsia="Times New Roman" w:cs="Times New Roman"/>
          <w:szCs w:val="24"/>
        </w:rPr>
        <w:t xml:space="preserve"> prior to use. The recruitment plan submitted to </w:t>
      </w:r>
      <w:r w:rsidR="003C79F0" w:rsidRPr="00AA4677">
        <w:rPr>
          <w:rFonts w:eastAsia="Times New Roman" w:cs="Times New Roman"/>
          <w:szCs w:val="24"/>
        </w:rPr>
        <w:t>the IRB</w:t>
      </w:r>
      <w:r w:rsidRPr="00AA4677">
        <w:rPr>
          <w:rFonts w:eastAsia="Times New Roman" w:cs="Times New Roman"/>
          <w:szCs w:val="24"/>
        </w:rPr>
        <w:t xml:space="preserve"> should be detailed with respect to media to be used (e.g. flyer, newspaper, video, radio</w:t>
      </w:r>
      <w:r w:rsidR="00DF5E84">
        <w:rPr>
          <w:rFonts w:eastAsia="Times New Roman" w:cs="Times New Roman"/>
          <w:szCs w:val="24"/>
        </w:rPr>
        <w:t xml:space="preserve">, </w:t>
      </w:r>
      <w:r w:rsidRPr="00AA4677">
        <w:rPr>
          <w:rFonts w:eastAsia="Times New Roman" w:cs="Times New Roman"/>
          <w:szCs w:val="24"/>
        </w:rPr>
        <w:t xml:space="preserve">etc.), location (e.g., specific sites named, on or off campus) and process (i.e., under what conditions </w:t>
      </w:r>
      <w:proofErr w:type="gramStart"/>
      <w:r w:rsidRPr="00AA4677">
        <w:rPr>
          <w:rFonts w:eastAsia="Times New Roman" w:cs="Times New Roman"/>
          <w:szCs w:val="24"/>
        </w:rPr>
        <w:t>will subjects</w:t>
      </w:r>
      <w:proofErr w:type="gramEnd"/>
      <w:r w:rsidRPr="00AA4677">
        <w:rPr>
          <w:rFonts w:eastAsia="Times New Roman" w:cs="Times New Roman"/>
          <w:szCs w:val="24"/>
        </w:rPr>
        <w:t xml:space="preserve"> be approached</w:t>
      </w:r>
      <w:r w:rsidR="00DF5E84">
        <w:rPr>
          <w:rFonts w:eastAsia="Times New Roman" w:cs="Times New Roman"/>
          <w:szCs w:val="24"/>
        </w:rPr>
        <w:t>,</w:t>
      </w:r>
      <w:r w:rsidRPr="00AA4677">
        <w:rPr>
          <w:rFonts w:eastAsia="Times New Roman" w:cs="Times New Roman"/>
          <w:szCs w:val="24"/>
        </w:rPr>
        <w:t xml:space="preserve"> </w:t>
      </w:r>
      <w:r w:rsidR="007E5924" w:rsidRPr="00AA4677">
        <w:rPr>
          <w:rFonts w:eastAsia="Times New Roman" w:cs="Times New Roman"/>
          <w:szCs w:val="24"/>
        </w:rPr>
        <w:t>etc.</w:t>
      </w:r>
      <w:r w:rsidRPr="00AA4677">
        <w:rPr>
          <w:rFonts w:eastAsia="Times New Roman" w:cs="Times New Roman"/>
          <w:szCs w:val="24"/>
        </w:rPr>
        <w:t xml:space="preserve">). When drafting the plan, the investigator must be aware of special approvals that may be required at sites she/he wishes to include in the recruitment plan. These approvals should be submitted for the </w:t>
      </w:r>
      <w:r w:rsidR="00EE7207" w:rsidRPr="00AA4677">
        <w:rPr>
          <w:rFonts w:eastAsia="Times New Roman" w:cs="Times New Roman"/>
          <w:szCs w:val="24"/>
        </w:rPr>
        <w:t>IRB</w:t>
      </w:r>
      <w:r w:rsidRPr="00AA4677">
        <w:rPr>
          <w:rFonts w:eastAsia="Times New Roman" w:cs="Times New Roman"/>
          <w:szCs w:val="24"/>
        </w:rPr>
        <w:t xml:space="preserve"> file.</w:t>
      </w:r>
    </w:p>
    <w:p w14:paraId="21B1F97E" w14:textId="7C5A8C32" w:rsidR="003E7C9E" w:rsidRPr="00AA4677" w:rsidRDefault="00DB1093"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It is the policy of the HRPP that when recruiting patients as potential subjects, first contact must be made by someone who has a relationship (e.g., treatment etc.) with the patient: When patients come to our hospital, they come for clinical reasons. It is therefore respectful to them to ensure </w:t>
      </w:r>
      <w:r w:rsidR="00B069B3" w:rsidRPr="00AA4677">
        <w:rPr>
          <w:rFonts w:eastAsia="Times New Roman" w:cs="Times New Roman"/>
          <w:szCs w:val="24"/>
        </w:rPr>
        <w:t xml:space="preserve">that </w:t>
      </w:r>
      <w:r w:rsidRPr="00AA4677">
        <w:rPr>
          <w:rFonts w:eastAsia="Times New Roman" w:cs="Times New Roman"/>
          <w:szCs w:val="24"/>
        </w:rPr>
        <w:t xml:space="preserve">when they are initially approached </w:t>
      </w:r>
      <w:r w:rsidR="00B069B3" w:rsidRPr="00AA4677">
        <w:rPr>
          <w:rFonts w:eastAsia="Times New Roman" w:cs="Times New Roman"/>
          <w:szCs w:val="24"/>
        </w:rPr>
        <w:t xml:space="preserve"> </w:t>
      </w:r>
      <w:r w:rsidRPr="00AA4677">
        <w:rPr>
          <w:rFonts w:eastAsia="Times New Roman" w:cs="Times New Roman"/>
          <w:szCs w:val="24"/>
        </w:rPr>
        <w:t>about research, it is by someone who 'makes sense' to be approaching them, i.e., someone who has some type of relationship with them from their 'clinical world'. This policy protect</w:t>
      </w:r>
      <w:r w:rsidR="006601E2" w:rsidRPr="00AA4677">
        <w:rPr>
          <w:rFonts w:eastAsia="Times New Roman" w:cs="Times New Roman"/>
          <w:szCs w:val="24"/>
        </w:rPr>
        <w:t>s</w:t>
      </w:r>
      <w:r w:rsidRPr="00AA4677">
        <w:rPr>
          <w:rFonts w:eastAsia="Times New Roman" w:cs="Times New Roman"/>
          <w:szCs w:val="24"/>
        </w:rPr>
        <w:t xml:space="preserve"> the patient’s right to privacy. See SOPs section 16.4.2. for a recruitment method that is HIPA</w:t>
      </w:r>
      <w:r w:rsidR="006F72C4" w:rsidRPr="00AA4677">
        <w:rPr>
          <w:rFonts w:eastAsia="Times New Roman" w:cs="Times New Roman"/>
          <w:szCs w:val="24"/>
        </w:rPr>
        <w:t>A compliant with respect to the</w:t>
      </w:r>
      <w:r w:rsidRPr="00AA4677">
        <w:rPr>
          <w:rFonts w:eastAsia="Times New Roman" w:cs="Times New Roman"/>
          <w:szCs w:val="24"/>
        </w:rPr>
        <w:t xml:space="preserve"> right to privacy. </w:t>
      </w:r>
    </w:p>
    <w:p w14:paraId="5E0AFC07" w14:textId="38C15E43" w:rsidR="00B069B3" w:rsidRPr="00AA4677" w:rsidRDefault="00B069B3"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recruitment plan should specifically include the “site” or “sites” where the research will take place. Permission from the site(s) must be obtained if it </w:t>
      </w:r>
      <w:r w:rsidR="00F35410" w:rsidRPr="00AA4677">
        <w:rPr>
          <w:rFonts w:eastAsia="Times New Roman" w:cs="Times New Roman"/>
          <w:szCs w:val="24"/>
        </w:rPr>
        <w:t xml:space="preserve">is </w:t>
      </w:r>
      <w:r w:rsidRPr="00AA4677">
        <w:rPr>
          <w:rFonts w:eastAsia="Times New Roman" w:cs="Times New Roman"/>
          <w:szCs w:val="24"/>
        </w:rPr>
        <w:t xml:space="preserve">outside the PI’s department. The permission should specifically state that permission is given for the research to be conducted at the site and what specific activities would be taking place. The document should be signed by the individual who is authorized to give permission for the research to take place at that site. Hospital </w:t>
      </w:r>
      <w:r w:rsidRPr="00AA4677">
        <w:rPr>
          <w:rFonts w:eastAsia="Times New Roman" w:cs="Times New Roman"/>
          <w:szCs w:val="24"/>
        </w:rPr>
        <w:lastRenderedPageBreak/>
        <w:t>clinical sites can be used for recruitment purposes by various departments</w:t>
      </w:r>
      <w:r w:rsidR="00445E5A" w:rsidRPr="00AA4677">
        <w:rPr>
          <w:rFonts w:eastAsia="Times New Roman" w:cs="Times New Roman"/>
          <w:szCs w:val="24"/>
        </w:rPr>
        <w:t xml:space="preserve"> from throughout the University although permission must be obtained first before recruitment activities can begin.</w:t>
      </w:r>
      <w:r w:rsidRPr="00AA4677">
        <w:rPr>
          <w:rFonts w:eastAsia="Times New Roman" w:cs="Times New Roman"/>
          <w:szCs w:val="24"/>
        </w:rPr>
        <w:t xml:space="preserve"> </w:t>
      </w:r>
    </w:p>
    <w:p w14:paraId="209D6E69" w14:textId="0A4147AF" w:rsidR="003856D3" w:rsidRPr="00AA4677" w:rsidRDefault="003856D3" w:rsidP="003856D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Stony Brook participates in “</w:t>
      </w:r>
      <w:proofErr w:type="spellStart"/>
      <w:r w:rsidRPr="00AA4677">
        <w:rPr>
          <w:rFonts w:eastAsia="Times New Roman" w:cs="Times New Roman"/>
          <w:szCs w:val="24"/>
        </w:rPr>
        <w:t>ResearchMatch</w:t>
      </w:r>
      <w:proofErr w:type="spellEnd"/>
      <w:r w:rsidRPr="00AA4677">
        <w:rPr>
          <w:rFonts w:eastAsia="Times New Roman" w:cs="Times New Roman"/>
          <w:szCs w:val="24"/>
        </w:rPr>
        <w:t xml:space="preserve">”, a national research volunteer registry. Details </w:t>
      </w:r>
      <w:proofErr w:type="gramStart"/>
      <w:r w:rsidRPr="00AA4677">
        <w:rPr>
          <w:rFonts w:eastAsia="Times New Roman" w:cs="Times New Roman"/>
          <w:szCs w:val="24"/>
        </w:rPr>
        <w:t>for</w:t>
      </w:r>
      <w:proofErr w:type="gramEnd"/>
      <w:r w:rsidRPr="00AA4677">
        <w:rPr>
          <w:rFonts w:eastAsia="Times New Roman" w:cs="Times New Roman"/>
          <w:szCs w:val="24"/>
        </w:rPr>
        <w:t xml:space="preserve"> use of this recruitment tool are available in Section 17.13.</w:t>
      </w:r>
    </w:p>
    <w:p w14:paraId="43BD145D" w14:textId="5B771A69" w:rsidR="003E7C9E" w:rsidRPr="00AA4677" w:rsidRDefault="00EE7207" w:rsidP="003E7C9E">
      <w:pPr>
        <w:shd w:val="clear" w:color="auto" w:fill="FFFFFF"/>
        <w:spacing w:before="100" w:beforeAutospacing="1" w:after="100" w:afterAutospacing="1" w:line="240" w:lineRule="auto"/>
        <w:rPr>
          <w:rFonts w:eastAsia="Times New Roman" w:cs="Times New Roman"/>
          <w:i/>
          <w:szCs w:val="24"/>
        </w:rPr>
      </w:pPr>
      <w:r w:rsidRPr="00AA4677">
        <w:rPr>
          <w:rFonts w:eastAsia="Times New Roman" w:cs="Times New Roman"/>
          <w:i/>
          <w:szCs w:val="24"/>
        </w:rPr>
        <w:t xml:space="preserve">NOTE: </w:t>
      </w:r>
      <w:r w:rsidR="003E7C9E" w:rsidRPr="00AA4677">
        <w:rPr>
          <w:rFonts w:eastAsia="Times New Roman" w:cs="Times New Roman"/>
          <w:i/>
          <w:szCs w:val="24"/>
        </w:rPr>
        <w:t xml:space="preserve">See Section 3.9.7 for a discussion of </w:t>
      </w:r>
      <w:r w:rsidR="003C79F0" w:rsidRPr="00AA4677">
        <w:rPr>
          <w:rFonts w:eastAsia="Times New Roman" w:cs="Times New Roman"/>
          <w:i/>
          <w:szCs w:val="24"/>
        </w:rPr>
        <w:t xml:space="preserve">the </w:t>
      </w:r>
      <w:r w:rsidRPr="00AA4677">
        <w:rPr>
          <w:rFonts w:eastAsia="Times New Roman" w:cs="Times New Roman"/>
          <w:i/>
          <w:szCs w:val="24"/>
        </w:rPr>
        <w:t>IRB</w:t>
      </w:r>
      <w:r w:rsidR="003E7C9E" w:rsidRPr="00AA4677">
        <w:rPr>
          <w:rFonts w:eastAsia="Times New Roman" w:cs="Times New Roman"/>
          <w:i/>
          <w:szCs w:val="24"/>
        </w:rPr>
        <w:t xml:space="preserve"> review of </w:t>
      </w:r>
      <w:r w:rsidR="003E7C9E" w:rsidRPr="00AA4677">
        <w:rPr>
          <w:rFonts w:eastAsia="Times New Roman" w:cs="Times New Roman"/>
          <w:b/>
          <w:i/>
          <w:szCs w:val="24"/>
        </w:rPr>
        <w:t>advertisements</w:t>
      </w:r>
      <w:r w:rsidR="003E7C9E" w:rsidRPr="00AA4677">
        <w:rPr>
          <w:rFonts w:eastAsia="Times New Roman" w:cs="Times New Roman"/>
          <w:i/>
          <w:szCs w:val="24"/>
        </w:rPr>
        <w:t xml:space="preserve">, </w:t>
      </w:r>
      <w:r w:rsidRPr="00AA4677">
        <w:rPr>
          <w:rFonts w:eastAsia="Times New Roman" w:cs="Times New Roman"/>
          <w:i/>
          <w:szCs w:val="24"/>
        </w:rPr>
        <w:t xml:space="preserve">and </w:t>
      </w:r>
      <w:r w:rsidR="003E7C9E" w:rsidRPr="00AA4677">
        <w:rPr>
          <w:rFonts w:eastAsia="Times New Roman" w:cs="Times New Roman"/>
          <w:i/>
          <w:szCs w:val="24"/>
        </w:rPr>
        <w:t>Sec</w:t>
      </w:r>
      <w:r w:rsidR="003C79F0" w:rsidRPr="00AA4677">
        <w:rPr>
          <w:rFonts w:eastAsia="Times New Roman" w:cs="Times New Roman"/>
          <w:i/>
          <w:szCs w:val="24"/>
        </w:rPr>
        <w:t>tion 3.9.8 for a discussion of the IRB</w:t>
      </w:r>
      <w:r w:rsidR="003E7C9E" w:rsidRPr="00AA4677">
        <w:rPr>
          <w:rFonts w:eastAsia="Times New Roman" w:cs="Times New Roman"/>
          <w:i/>
          <w:szCs w:val="24"/>
        </w:rPr>
        <w:t xml:space="preserve"> review of </w:t>
      </w:r>
      <w:r w:rsidR="003E7C9E" w:rsidRPr="00AA4677">
        <w:rPr>
          <w:rFonts w:eastAsia="Times New Roman" w:cs="Times New Roman"/>
          <w:b/>
          <w:i/>
          <w:szCs w:val="24"/>
        </w:rPr>
        <w:t>payments</w:t>
      </w:r>
      <w:r w:rsidR="003E7C9E" w:rsidRPr="00AA4677">
        <w:rPr>
          <w:rFonts w:eastAsia="Times New Roman" w:cs="Times New Roman"/>
          <w:i/>
          <w:szCs w:val="24"/>
        </w:rPr>
        <w:t>.</w:t>
      </w:r>
    </w:p>
    <w:p w14:paraId="47C31976" w14:textId="3744D098" w:rsidR="003E7C9E" w:rsidRPr="00AA4677" w:rsidRDefault="003E7C9E" w:rsidP="00C57C98">
      <w:pPr>
        <w:pStyle w:val="Heading3"/>
      </w:pPr>
      <w:r w:rsidRPr="00AA4677">
        <w:t>3.8.3 Informed Consent</w:t>
      </w:r>
    </w:p>
    <w:p w14:paraId="22B4B05E" w14:textId="2F37DFAA" w:rsidR="003E7C9E" w:rsidRPr="00AA4677" w:rsidRDefault="006601E2" w:rsidP="003E7C9E">
      <w:pPr>
        <w:shd w:val="clear" w:color="auto" w:fill="FFFFFF"/>
        <w:spacing w:before="100" w:beforeAutospacing="1" w:after="100" w:afterAutospacing="1" w:line="240" w:lineRule="auto"/>
        <w:rPr>
          <w:rFonts w:ascii="Times New Roman" w:eastAsia="Times New Roman" w:hAnsi="Times New Roman" w:cs="Times New Roman"/>
          <w:sz w:val="27"/>
          <w:szCs w:val="27"/>
        </w:rPr>
      </w:pPr>
      <w:r w:rsidRPr="00AA4677">
        <w:rPr>
          <w:rFonts w:eastAsia="Times New Roman" w:cs="Times New Roman"/>
          <w:szCs w:val="24"/>
        </w:rPr>
        <w:t>T</w:t>
      </w:r>
      <w:r w:rsidR="00141D46" w:rsidRPr="00AA4677">
        <w:rPr>
          <w:rFonts w:eastAsia="Times New Roman" w:cs="Times New Roman"/>
          <w:szCs w:val="24"/>
        </w:rPr>
        <w:t xml:space="preserve">he </w:t>
      </w:r>
      <w:r w:rsidR="00EE7207" w:rsidRPr="00AA4677">
        <w:rPr>
          <w:rFonts w:eastAsia="Times New Roman" w:cs="Times New Roman"/>
          <w:szCs w:val="24"/>
        </w:rPr>
        <w:t>IRB</w:t>
      </w:r>
      <w:r w:rsidR="00141D46" w:rsidRPr="00AA4677">
        <w:rPr>
          <w:rFonts w:eastAsia="Times New Roman" w:cs="Times New Roman"/>
          <w:szCs w:val="24"/>
        </w:rPr>
        <w:t xml:space="preserve"> </w:t>
      </w:r>
      <w:r w:rsidR="003E7C9E" w:rsidRPr="00AA4677">
        <w:rPr>
          <w:rFonts w:eastAsia="Times New Roman" w:cs="Times New Roman"/>
          <w:szCs w:val="24"/>
        </w:rPr>
        <w:t>will ensure that informed consent will be sought from each prospective subject or the subject’s legally authorized representative, in accordance with, and to the extent required by 45 CFR 46.116 and 21 CFR 50.20</w:t>
      </w:r>
      <w:r w:rsidR="00EE7207" w:rsidRPr="00AA4677">
        <w:rPr>
          <w:rFonts w:eastAsia="Times New Roman" w:cs="Times New Roman"/>
          <w:szCs w:val="24"/>
        </w:rPr>
        <w:t xml:space="preserve"> (when</w:t>
      </w:r>
      <w:r w:rsidR="00800FE9" w:rsidRPr="00AA4677">
        <w:rPr>
          <w:rFonts w:eastAsia="Times New Roman" w:cs="Times New Roman"/>
          <w:szCs w:val="24"/>
        </w:rPr>
        <w:t xml:space="preserve"> applicable)</w:t>
      </w:r>
      <w:r w:rsidR="003E7C9E" w:rsidRPr="00AA4677">
        <w:rPr>
          <w:rFonts w:eastAsia="Times New Roman" w:cs="Times New Roman"/>
          <w:szCs w:val="24"/>
        </w:rPr>
        <w:t xml:space="preserve">.  In addition, the </w:t>
      </w:r>
      <w:r w:rsidR="00EE7207" w:rsidRPr="00AA4677">
        <w:rPr>
          <w:rFonts w:eastAsia="Times New Roman" w:cs="Times New Roman"/>
          <w:szCs w:val="24"/>
        </w:rPr>
        <w:t>IRB</w:t>
      </w:r>
      <w:r w:rsidR="00141D46" w:rsidRPr="00AA4677">
        <w:rPr>
          <w:rFonts w:eastAsia="Times New Roman" w:cs="Times New Roman"/>
          <w:szCs w:val="24"/>
        </w:rPr>
        <w:t xml:space="preserve"> </w:t>
      </w:r>
      <w:r w:rsidR="003E7C9E" w:rsidRPr="00AA4677">
        <w:rPr>
          <w:rFonts w:eastAsia="Times New Roman" w:cs="Times New Roman"/>
          <w:szCs w:val="24"/>
        </w:rPr>
        <w:t>will ensure that informed consent will be appropriately documented in accordance with, and to the extent required by 45 CFR 46.117 and 21 CFR 50.27</w:t>
      </w:r>
      <w:r w:rsidR="00EE7207" w:rsidRPr="00AA4677">
        <w:rPr>
          <w:rFonts w:eastAsia="Times New Roman" w:cs="Times New Roman"/>
          <w:szCs w:val="24"/>
        </w:rPr>
        <w:t xml:space="preserve"> (when</w:t>
      </w:r>
      <w:r w:rsidR="00800FE9" w:rsidRPr="00AA4677">
        <w:rPr>
          <w:rFonts w:eastAsia="Times New Roman" w:cs="Times New Roman"/>
          <w:szCs w:val="24"/>
        </w:rPr>
        <w:t xml:space="preserve"> applicable)</w:t>
      </w:r>
      <w:r w:rsidR="003E7C9E" w:rsidRPr="00AA4677">
        <w:rPr>
          <w:rFonts w:eastAsia="Times New Roman" w:cs="Times New Roman"/>
          <w:szCs w:val="24"/>
        </w:rPr>
        <w:t>.  See Section 5 below for detailed policies on informed consent.</w:t>
      </w:r>
    </w:p>
    <w:p w14:paraId="08DEBA3A" w14:textId="220E6B59" w:rsidR="003E7C9E" w:rsidRPr="00AA4677" w:rsidRDefault="003E7C9E" w:rsidP="00C57C98">
      <w:pPr>
        <w:pStyle w:val="Heading3"/>
      </w:pPr>
      <w:r w:rsidRPr="00AA4677">
        <w:t>3.8.4 Data Safety Monitoring</w:t>
      </w:r>
    </w:p>
    <w:p w14:paraId="639AFFC3" w14:textId="33F535C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all research that is more than minimal risk, the investigator must submit a data </w:t>
      </w:r>
      <w:r w:rsidR="007E5924" w:rsidRPr="00AA4677">
        <w:rPr>
          <w:rFonts w:eastAsia="Times New Roman" w:cs="Times New Roman"/>
          <w:szCs w:val="24"/>
        </w:rPr>
        <w:t>safety-monitoring</w:t>
      </w:r>
      <w:r w:rsidRPr="00AA4677">
        <w:rPr>
          <w:rFonts w:eastAsia="Times New Roman" w:cs="Times New Roman"/>
          <w:szCs w:val="24"/>
        </w:rPr>
        <w:t xml:space="preserve"> plan. The initial plan submitted to </w:t>
      </w:r>
      <w:r w:rsidR="00141D46" w:rsidRPr="00AA4677">
        <w:rPr>
          <w:rFonts w:eastAsia="Times New Roman" w:cs="Times New Roman"/>
          <w:szCs w:val="24"/>
        </w:rPr>
        <w:t>the IRB</w:t>
      </w:r>
      <w:r w:rsidRPr="00AA4677">
        <w:rPr>
          <w:rFonts w:eastAsia="Times New Roman" w:cs="Times New Roman"/>
          <w:szCs w:val="24"/>
        </w:rPr>
        <w:t xml:space="preserve"> should describe the procedures for safety monitoring</w:t>
      </w:r>
      <w:r w:rsidR="00D2313B" w:rsidRPr="00AA4677">
        <w:rPr>
          <w:rFonts w:eastAsia="Times New Roman" w:cs="Times New Roman"/>
          <w:szCs w:val="24"/>
        </w:rPr>
        <w:t xml:space="preserve"> (including what data will be collected</w:t>
      </w:r>
      <w:r w:rsidR="00A53D7D" w:rsidRPr="00AA4677">
        <w:rPr>
          <w:rFonts w:eastAsia="Times New Roman" w:cs="Times New Roman"/>
          <w:szCs w:val="24"/>
        </w:rPr>
        <w:t>, how it will be collected</w:t>
      </w:r>
      <w:r w:rsidR="00D2313B" w:rsidRPr="00AA4677">
        <w:rPr>
          <w:rFonts w:eastAsia="Times New Roman" w:cs="Times New Roman"/>
          <w:szCs w:val="24"/>
        </w:rPr>
        <w:t xml:space="preserve"> and by whom)</w:t>
      </w:r>
      <w:r w:rsidRPr="00AA4677">
        <w:rPr>
          <w:rFonts w:eastAsia="Times New Roman" w:cs="Times New Roman"/>
          <w:szCs w:val="24"/>
        </w:rPr>
        <w:t xml:space="preserve">, reporting of adverse events and/or unanticipated problems involving risks to subjects or others, descriptions of interim safety reviews and the procedures planned for transmitting the results to </w:t>
      </w:r>
      <w:r w:rsidR="00141D46" w:rsidRPr="00AA4677">
        <w:rPr>
          <w:rFonts w:eastAsia="Times New Roman" w:cs="Times New Roman"/>
          <w:szCs w:val="24"/>
        </w:rPr>
        <w:t>the IRB</w:t>
      </w:r>
      <w:r w:rsidRPr="00AA4677">
        <w:rPr>
          <w:rFonts w:eastAsia="Times New Roman" w:cs="Times New Roman"/>
          <w:szCs w:val="24"/>
        </w:rPr>
        <w:t>. This description should include information regarding an independent Data and Safety Monitoring Board (DSMB), if one exists, or an explanation why an independent data safety monitor is not necessary.  </w:t>
      </w:r>
    </w:p>
    <w:p w14:paraId="4C52BAA0" w14:textId="785333AE" w:rsidR="003E7C9E" w:rsidRPr="00AA4677" w:rsidRDefault="00141D46"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3E7C9E" w:rsidRPr="00AA4677">
        <w:rPr>
          <w:rFonts w:eastAsia="Times New Roman" w:cs="Times New Roman"/>
          <w:szCs w:val="24"/>
        </w:rPr>
        <w:t xml:space="preserve">determines </w:t>
      </w:r>
      <w:r w:rsidR="00800FE9" w:rsidRPr="00AA4677">
        <w:rPr>
          <w:rFonts w:eastAsia="Times New Roman" w:cs="Times New Roman"/>
          <w:szCs w:val="24"/>
        </w:rPr>
        <w:t>whether</w:t>
      </w:r>
      <w:r w:rsidR="003E7C9E" w:rsidRPr="00AA4677">
        <w:rPr>
          <w:rFonts w:eastAsia="Times New Roman" w:cs="Times New Roman"/>
          <w:szCs w:val="24"/>
        </w:rPr>
        <w:t xml:space="preserve"> the data </w:t>
      </w:r>
      <w:r w:rsidR="007E5924" w:rsidRPr="00AA4677">
        <w:rPr>
          <w:rFonts w:eastAsia="Times New Roman" w:cs="Times New Roman"/>
          <w:szCs w:val="24"/>
        </w:rPr>
        <w:t>safety-monitoring</w:t>
      </w:r>
      <w:r w:rsidR="003E7C9E" w:rsidRPr="00AA4677">
        <w:rPr>
          <w:rFonts w:eastAsia="Times New Roman" w:cs="Times New Roman"/>
          <w:szCs w:val="24"/>
        </w:rPr>
        <w:t xml:space="preserve"> plan makes adequate provision for monitoring the data to ensure the safety of subjects. The overall elements of the monitoring plan may vary depending on the potential risks, complexity, and nature of the research study. The method and degree of monitoring needed is related to the degree of risk involved. Monitoring may be conducted in various ways or by various individuals or groups, depending on the size and scope of the research effort. These exist on a continuum from monitoring by the principal investigator in a small phase I study to the establishment of an independent data and safety monitoring board for a large phase III clinical trial.</w:t>
      </w:r>
    </w:p>
    <w:p w14:paraId="1CCE5D5A" w14:textId="3911DB22"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factors </w:t>
      </w:r>
      <w:r w:rsidR="00141D46" w:rsidRPr="00AA4677">
        <w:rPr>
          <w:rFonts w:eastAsia="Times New Roman" w:cs="Times New Roman"/>
          <w:szCs w:val="24"/>
        </w:rPr>
        <w:t xml:space="preserve">the </w:t>
      </w:r>
      <w:r w:rsidR="00800FE9" w:rsidRPr="00AA4677">
        <w:rPr>
          <w:rFonts w:eastAsia="Times New Roman" w:cs="Times New Roman"/>
          <w:szCs w:val="24"/>
        </w:rPr>
        <w:t xml:space="preserve">IRB </w:t>
      </w:r>
      <w:r w:rsidRPr="00AA4677">
        <w:rPr>
          <w:rFonts w:eastAsia="Times New Roman" w:cs="Times New Roman"/>
          <w:szCs w:val="24"/>
        </w:rPr>
        <w:t xml:space="preserve">will consider in determining whether the </w:t>
      </w:r>
      <w:proofErr w:type="gramStart"/>
      <w:r w:rsidR="007E5924" w:rsidRPr="00AA4677">
        <w:rPr>
          <w:rFonts w:eastAsia="Times New Roman" w:cs="Times New Roman"/>
          <w:szCs w:val="24"/>
        </w:rPr>
        <w:t>safety-monitoring</w:t>
      </w:r>
      <w:proofErr w:type="gramEnd"/>
      <w:r w:rsidRPr="00AA4677">
        <w:rPr>
          <w:rFonts w:eastAsia="Times New Roman" w:cs="Times New Roman"/>
          <w:szCs w:val="24"/>
        </w:rPr>
        <w:t xml:space="preserve"> plan is adequate for the research are as follows:</w:t>
      </w:r>
    </w:p>
    <w:p w14:paraId="33DFF547" w14:textId="77777777" w:rsidR="003E7C9E" w:rsidRPr="00AA4677" w:rsidRDefault="003E7C9E" w:rsidP="00C129F1">
      <w:pPr>
        <w:numPr>
          <w:ilvl w:val="0"/>
          <w:numId w:val="6"/>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lastRenderedPageBreak/>
        <w:t>Monitoring is commensurate with the nature, complexity, size and risk involved.</w:t>
      </w:r>
    </w:p>
    <w:p w14:paraId="31D16562" w14:textId="7D107E91" w:rsidR="003E7C9E" w:rsidRPr="00AA4677" w:rsidRDefault="003E7C9E" w:rsidP="00C129F1">
      <w:pPr>
        <w:numPr>
          <w:ilvl w:val="0"/>
          <w:numId w:val="6"/>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Monitoring is timely. Frequency </w:t>
      </w:r>
      <w:proofErr w:type="gramStart"/>
      <w:r w:rsidRPr="00AA4677">
        <w:rPr>
          <w:rFonts w:eastAsia="Times New Roman" w:cs="Times New Roman"/>
          <w:szCs w:val="24"/>
        </w:rPr>
        <w:t>should</w:t>
      </w:r>
      <w:proofErr w:type="gramEnd"/>
      <w:r w:rsidRPr="00AA4677">
        <w:rPr>
          <w:rFonts w:eastAsia="Times New Roman" w:cs="Times New Roman"/>
          <w:szCs w:val="24"/>
        </w:rPr>
        <w:t xml:space="preserve"> commensurate with risk. Conclusions are reported to </w:t>
      </w:r>
      <w:r w:rsidR="00141D46" w:rsidRPr="00AA4677">
        <w:rPr>
          <w:rFonts w:eastAsia="Times New Roman" w:cs="Times New Roman"/>
          <w:szCs w:val="24"/>
        </w:rPr>
        <w:t>the IRB</w:t>
      </w:r>
      <w:r w:rsidRPr="00AA4677">
        <w:rPr>
          <w:rFonts w:eastAsia="Times New Roman" w:cs="Times New Roman"/>
          <w:szCs w:val="24"/>
        </w:rPr>
        <w:t>.</w:t>
      </w:r>
    </w:p>
    <w:p w14:paraId="492B2A1B" w14:textId="7C19AF3F" w:rsidR="003E7C9E" w:rsidRPr="00AA4677" w:rsidRDefault="003E7C9E" w:rsidP="00B823DB">
      <w:pPr>
        <w:numPr>
          <w:ilvl w:val="0"/>
          <w:numId w:val="6"/>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For </w:t>
      </w:r>
      <w:proofErr w:type="gramStart"/>
      <w:r w:rsidRPr="00AA4677">
        <w:rPr>
          <w:rFonts w:eastAsia="Times New Roman" w:cs="Times New Roman"/>
          <w:szCs w:val="24"/>
        </w:rPr>
        <w:t>low risk</w:t>
      </w:r>
      <w:proofErr w:type="gramEnd"/>
      <w:r w:rsidRPr="00AA4677">
        <w:rPr>
          <w:rFonts w:eastAsia="Times New Roman" w:cs="Times New Roman"/>
          <w:szCs w:val="24"/>
        </w:rPr>
        <w:t xml:space="preserve"> studies, continuous, close monitoring by the study investigator or an independent individual may be an adequate and appropriate format for monitoring, with prompt reporting of toxicity to </w:t>
      </w:r>
      <w:r w:rsidR="00141D46" w:rsidRPr="00AA4677">
        <w:rPr>
          <w:rFonts w:eastAsia="Times New Roman" w:cs="Times New Roman"/>
          <w:szCs w:val="24"/>
        </w:rPr>
        <w:t>the</w:t>
      </w:r>
      <w:r w:rsidR="00800FE9" w:rsidRPr="00AA4677">
        <w:rPr>
          <w:rFonts w:eastAsia="Times New Roman" w:cs="Times New Roman"/>
          <w:szCs w:val="24"/>
        </w:rPr>
        <w:t xml:space="preserve"> </w:t>
      </w:r>
      <w:r w:rsidR="00141D46" w:rsidRPr="00AA4677">
        <w:rPr>
          <w:rFonts w:eastAsia="Times New Roman" w:cs="Times New Roman"/>
          <w:szCs w:val="24"/>
        </w:rPr>
        <w:t>IRB</w:t>
      </w:r>
      <w:r w:rsidRPr="00AA4677">
        <w:rPr>
          <w:rFonts w:eastAsia="Times New Roman" w:cs="Times New Roman"/>
          <w:szCs w:val="24"/>
        </w:rPr>
        <w:t>, sponsor and regulatory bodies as appropriate. For an individual Safety Monitor the plan must include:</w:t>
      </w:r>
    </w:p>
    <w:p w14:paraId="17FB2EEB" w14:textId="7080EF2F" w:rsidR="003E7C9E" w:rsidRPr="00AA4677" w:rsidRDefault="003E7C9E" w:rsidP="00B823DB">
      <w:pPr>
        <w:numPr>
          <w:ilvl w:val="0"/>
          <w:numId w:val="203"/>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 xml:space="preserve">Parameters to be </w:t>
      </w:r>
      <w:proofErr w:type="gramStart"/>
      <w:r w:rsidRPr="00AA4677">
        <w:rPr>
          <w:rFonts w:eastAsia="Times New Roman" w:cs="Times New Roman"/>
          <w:szCs w:val="24"/>
        </w:rPr>
        <w:t>assessed</w:t>
      </w:r>
      <w:r w:rsidR="00141D46" w:rsidRPr="00AA4677">
        <w:rPr>
          <w:rFonts w:eastAsia="Times New Roman" w:cs="Times New Roman"/>
          <w:szCs w:val="24"/>
        </w:rPr>
        <w:t>;</w:t>
      </w:r>
      <w:proofErr w:type="gramEnd"/>
    </w:p>
    <w:p w14:paraId="1A43B06F" w14:textId="3CF3121E" w:rsidR="003E7C9E" w:rsidRPr="00AA4677" w:rsidRDefault="003E7C9E">
      <w:pPr>
        <w:numPr>
          <w:ilvl w:val="0"/>
          <w:numId w:val="203"/>
        </w:numPr>
        <w:shd w:val="clear" w:color="auto" w:fill="FFFFFF"/>
        <w:tabs>
          <w:tab w:val="clear" w:pos="108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Mechanism to assess the critical efficacy endpoints at intervals </w:t>
      </w:r>
      <w:proofErr w:type="gramStart"/>
      <w:r w:rsidRPr="00AA4677">
        <w:rPr>
          <w:rFonts w:eastAsia="Times New Roman" w:cs="Times New Roman"/>
          <w:szCs w:val="24"/>
        </w:rPr>
        <w:t>in order to</w:t>
      </w:r>
      <w:proofErr w:type="gramEnd"/>
      <w:r w:rsidRPr="00AA4677">
        <w:rPr>
          <w:rFonts w:eastAsia="Times New Roman" w:cs="Times New Roman"/>
          <w:szCs w:val="24"/>
        </w:rPr>
        <w:t xml:space="preserve"> determine when to continue, modify, or stop a </w:t>
      </w:r>
      <w:proofErr w:type="gramStart"/>
      <w:r w:rsidRPr="00AA4677">
        <w:rPr>
          <w:rFonts w:eastAsia="Times New Roman" w:cs="Times New Roman"/>
          <w:szCs w:val="24"/>
        </w:rPr>
        <w:t>study</w:t>
      </w:r>
      <w:r w:rsidR="00141D46" w:rsidRPr="00AA4677">
        <w:rPr>
          <w:rFonts w:eastAsia="Times New Roman" w:cs="Times New Roman"/>
          <w:szCs w:val="24"/>
        </w:rPr>
        <w:t>;</w:t>
      </w:r>
      <w:proofErr w:type="gramEnd"/>
    </w:p>
    <w:p w14:paraId="31D45B9B" w14:textId="725AEEE7" w:rsidR="003E7C9E" w:rsidRPr="00AA4677" w:rsidRDefault="003E7C9E">
      <w:pPr>
        <w:numPr>
          <w:ilvl w:val="0"/>
          <w:numId w:val="203"/>
        </w:numPr>
        <w:shd w:val="clear" w:color="auto" w:fill="FFFFFF"/>
        <w:tabs>
          <w:tab w:val="clear" w:pos="108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Frequency of monitoring</w:t>
      </w:r>
      <w:r w:rsidR="00141D46" w:rsidRPr="00AA4677">
        <w:rPr>
          <w:rFonts w:eastAsia="Times New Roman" w:cs="Times New Roman"/>
          <w:szCs w:val="24"/>
        </w:rPr>
        <w:t xml:space="preserve">; and </w:t>
      </w:r>
    </w:p>
    <w:p w14:paraId="3ACB1583" w14:textId="0064F269" w:rsidR="003E7C9E" w:rsidRPr="00AA4677" w:rsidRDefault="003E7C9E">
      <w:pPr>
        <w:numPr>
          <w:ilvl w:val="0"/>
          <w:numId w:val="203"/>
        </w:numPr>
        <w:shd w:val="clear" w:color="auto" w:fill="FFFFFF"/>
        <w:tabs>
          <w:tab w:val="clear" w:pos="108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Procedures for reporting to </w:t>
      </w:r>
      <w:r w:rsidR="00141D46" w:rsidRPr="00AA4677">
        <w:rPr>
          <w:rFonts w:eastAsia="Times New Roman" w:cs="Times New Roman"/>
          <w:szCs w:val="24"/>
        </w:rPr>
        <w:t>the IRB.</w:t>
      </w:r>
    </w:p>
    <w:p w14:paraId="1C051204" w14:textId="77777777" w:rsidR="003E7C9E" w:rsidRPr="00AA4677" w:rsidRDefault="003E7C9E" w:rsidP="00C129F1">
      <w:pPr>
        <w:numPr>
          <w:ilvl w:val="0"/>
          <w:numId w:val="6"/>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For a Data Safety Monitoring Board, the plan must include:</w:t>
      </w:r>
    </w:p>
    <w:p w14:paraId="0990EB9D" w14:textId="1CE9189C" w:rsidR="003E7C9E" w:rsidRPr="00AA4677" w:rsidRDefault="003E7C9E">
      <w:pPr>
        <w:numPr>
          <w:ilvl w:val="0"/>
          <w:numId w:val="204"/>
        </w:numPr>
        <w:shd w:val="clear" w:color="auto" w:fill="FFFFFF"/>
        <w:tabs>
          <w:tab w:val="clear" w:pos="108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The name of the Data Safety Monitoring </w:t>
      </w:r>
      <w:proofErr w:type="gramStart"/>
      <w:r w:rsidRPr="00AA4677">
        <w:rPr>
          <w:rFonts w:eastAsia="Times New Roman" w:cs="Times New Roman"/>
          <w:szCs w:val="24"/>
        </w:rPr>
        <w:t>Board</w:t>
      </w:r>
      <w:r w:rsidR="000F1C2F" w:rsidRPr="00AA4677">
        <w:rPr>
          <w:rFonts w:eastAsia="Times New Roman" w:cs="Times New Roman"/>
          <w:szCs w:val="24"/>
        </w:rPr>
        <w:t>;</w:t>
      </w:r>
      <w:proofErr w:type="gramEnd"/>
    </w:p>
    <w:p w14:paraId="17AB9671" w14:textId="3561E0C1" w:rsidR="003E7C9E" w:rsidRPr="00AA4677" w:rsidRDefault="00475FED">
      <w:pPr>
        <w:numPr>
          <w:ilvl w:val="0"/>
          <w:numId w:val="204"/>
        </w:numPr>
        <w:shd w:val="clear" w:color="auto" w:fill="FFFFFF"/>
        <w:tabs>
          <w:tab w:val="clear" w:pos="108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Where </w:t>
      </w:r>
      <w:r w:rsidR="003E7C9E" w:rsidRPr="00AA4677">
        <w:rPr>
          <w:rFonts w:eastAsia="Times New Roman" w:cs="Times New Roman"/>
          <w:szCs w:val="24"/>
        </w:rPr>
        <w:t xml:space="preserve">appropriate, independent status from the </w:t>
      </w:r>
      <w:proofErr w:type="gramStart"/>
      <w:r w:rsidR="003E7C9E" w:rsidRPr="00AA4677">
        <w:rPr>
          <w:rFonts w:eastAsia="Times New Roman" w:cs="Times New Roman"/>
          <w:szCs w:val="24"/>
        </w:rPr>
        <w:t>sponsor</w:t>
      </w:r>
      <w:r w:rsidR="000F1C2F" w:rsidRPr="00AA4677">
        <w:rPr>
          <w:rFonts w:eastAsia="Times New Roman" w:cs="Times New Roman"/>
          <w:szCs w:val="24"/>
        </w:rPr>
        <w:t>;</w:t>
      </w:r>
      <w:proofErr w:type="gramEnd"/>
    </w:p>
    <w:p w14:paraId="2CB72D91" w14:textId="6D4A132B" w:rsidR="003E7C9E" w:rsidRPr="00AA4677" w:rsidRDefault="003E7C9E">
      <w:pPr>
        <w:numPr>
          <w:ilvl w:val="0"/>
          <w:numId w:val="204"/>
        </w:numPr>
        <w:shd w:val="clear" w:color="auto" w:fill="FFFFFF"/>
        <w:tabs>
          <w:tab w:val="clear" w:pos="108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Availability of written </w:t>
      </w:r>
      <w:proofErr w:type="gramStart"/>
      <w:r w:rsidRPr="00AA4677">
        <w:rPr>
          <w:rFonts w:eastAsia="Times New Roman" w:cs="Times New Roman"/>
          <w:szCs w:val="24"/>
        </w:rPr>
        <w:t>reports</w:t>
      </w:r>
      <w:r w:rsidR="000F1C2F" w:rsidRPr="00AA4677">
        <w:rPr>
          <w:rFonts w:eastAsia="Times New Roman" w:cs="Times New Roman"/>
          <w:szCs w:val="24"/>
        </w:rPr>
        <w:t>;</w:t>
      </w:r>
      <w:proofErr w:type="gramEnd"/>
    </w:p>
    <w:p w14:paraId="0A5BD637" w14:textId="3718B894" w:rsidR="003E7C9E" w:rsidRPr="00AA4677" w:rsidRDefault="003E7C9E">
      <w:pPr>
        <w:numPr>
          <w:ilvl w:val="0"/>
          <w:numId w:val="204"/>
        </w:numPr>
        <w:shd w:val="clear" w:color="auto" w:fill="FFFFFF"/>
        <w:tabs>
          <w:tab w:val="clear" w:pos="108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Composition of the monitoring group (if a group is to be used): experts in all scientific disciplines needed to interpret the data and ensure patient safety. Clinical trial experts, biostatisticians, bioethicists, and clinicians knowledgeable about the disease and treatment under study should be part of the monitoring gro</w:t>
      </w:r>
      <w:r w:rsidR="000F1C2F" w:rsidRPr="00AA4677">
        <w:rPr>
          <w:rFonts w:eastAsia="Times New Roman" w:cs="Times New Roman"/>
          <w:szCs w:val="24"/>
        </w:rPr>
        <w:t xml:space="preserve">up or be available if </w:t>
      </w:r>
      <w:proofErr w:type="gramStart"/>
      <w:r w:rsidR="000F1C2F" w:rsidRPr="00AA4677">
        <w:rPr>
          <w:rFonts w:eastAsia="Times New Roman" w:cs="Times New Roman"/>
          <w:szCs w:val="24"/>
        </w:rPr>
        <w:t>warranted;</w:t>
      </w:r>
      <w:proofErr w:type="gramEnd"/>
    </w:p>
    <w:p w14:paraId="0035BAD9" w14:textId="4A6DEA18" w:rsidR="003E7C9E" w:rsidRPr="00AA4677" w:rsidRDefault="003E7C9E">
      <w:pPr>
        <w:numPr>
          <w:ilvl w:val="0"/>
          <w:numId w:val="204"/>
        </w:numPr>
        <w:shd w:val="clear" w:color="auto" w:fill="FFFFFF"/>
        <w:tabs>
          <w:tab w:val="clear" w:pos="108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Frequency and content of meeting </w:t>
      </w:r>
      <w:proofErr w:type="gramStart"/>
      <w:r w:rsidRPr="00AA4677">
        <w:rPr>
          <w:rFonts w:eastAsia="Times New Roman" w:cs="Times New Roman"/>
          <w:szCs w:val="24"/>
        </w:rPr>
        <w:t>reports</w:t>
      </w:r>
      <w:r w:rsidR="000F1C2F" w:rsidRPr="00AA4677">
        <w:rPr>
          <w:rFonts w:eastAsia="Times New Roman" w:cs="Times New Roman"/>
          <w:szCs w:val="24"/>
        </w:rPr>
        <w:t>;</w:t>
      </w:r>
      <w:proofErr w:type="gramEnd"/>
    </w:p>
    <w:p w14:paraId="570BBE17" w14:textId="58747C1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frequency and character of monitoring meetings (e.g., open or closed, public or private)</w:t>
      </w:r>
      <w:r w:rsidR="00D2313B" w:rsidRPr="00AA4677">
        <w:rPr>
          <w:rFonts w:eastAsia="Times New Roman" w:cs="Times New Roman"/>
          <w:szCs w:val="24"/>
        </w:rPr>
        <w:t>.</w:t>
      </w:r>
      <w:r w:rsidRPr="00AA4677">
        <w:rPr>
          <w:rFonts w:eastAsia="Times New Roman" w:cs="Times New Roman"/>
          <w:szCs w:val="24"/>
        </w:rPr>
        <w:t>In general, it is desirable for a Data and Safety Monitoring Board (DSMB) to be established by the study sponsor for research that is blinded, involves multiple sites, in</w:t>
      </w:r>
      <w:r w:rsidR="00C06CA8" w:rsidRPr="00AA4677">
        <w:rPr>
          <w:rFonts w:eastAsia="Times New Roman" w:cs="Times New Roman"/>
          <w:szCs w:val="24"/>
        </w:rPr>
        <w:t>cludes</w:t>
      </w:r>
      <w:r w:rsidRPr="00AA4677">
        <w:rPr>
          <w:rFonts w:eastAsia="Times New Roman" w:cs="Times New Roman"/>
          <w:szCs w:val="24"/>
        </w:rPr>
        <w:t xml:space="preserve"> vulnerable subjects, or employs high-risk interventions. For some </w:t>
      </w:r>
      <w:r w:rsidR="007E5924" w:rsidRPr="00AA4677">
        <w:rPr>
          <w:rFonts w:eastAsia="Times New Roman" w:cs="Times New Roman"/>
          <w:szCs w:val="24"/>
        </w:rPr>
        <w:t>studies,</w:t>
      </w:r>
      <w:r w:rsidRPr="00AA4677">
        <w:rPr>
          <w:rFonts w:eastAsia="Times New Roman" w:cs="Times New Roman"/>
          <w:szCs w:val="24"/>
        </w:rPr>
        <w:t xml:space="preserve"> the National Institutes of Health (NIH) require</w:t>
      </w:r>
      <w:r w:rsidR="00C06CA8" w:rsidRPr="00AA4677">
        <w:rPr>
          <w:rFonts w:eastAsia="Times New Roman" w:cs="Times New Roman"/>
          <w:szCs w:val="24"/>
        </w:rPr>
        <w:t>s</w:t>
      </w:r>
      <w:r w:rsidRPr="00AA4677">
        <w:rPr>
          <w:rFonts w:eastAsia="Times New Roman" w:cs="Times New Roman"/>
          <w:szCs w:val="24"/>
        </w:rPr>
        <w:t xml:space="preserve"> a DSMB. </w:t>
      </w:r>
      <w:r w:rsidR="000F1C2F" w:rsidRPr="00AA4677">
        <w:rPr>
          <w:rFonts w:eastAsia="Times New Roman" w:cs="Times New Roman"/>
          <w:szCs w:val="24"/>
        </w:rPr>
        <w:t xml:space="preserve"> The IRB</w:t>
      </w:r>
      <w:r w:rsidRPr="00AA4677">
        <w:rPr>
          <w:rFonts w:eastAsia="Times New Roman" w:cs="Times New Roman"/>
          <w:szCs w:val="24"/>
        </w:rPr>
        <w:t xml:space="preserve"> has the authority to require a DSMB as a condition for approval of research where it determines that such monitoring is needed. When DSMBs are utilized, </w:t>
      </w:r>
      <w:r w:rsidR="000F1C2F" w:rsidRPr="00AA4677">
        <w:rPr>
          <w:rFonts w:eastAsia="Times New Roman" w:cs="Times New Roman"/>
          <w:szCs w:val="24"/>
        </w:rPr>
        <w:t>the IRB</w:t>
      </w:r>
      <w:r w:rsidRPr="00AA4677">
        <w:rPr>
          <w:rFonts w:eastAsia="Times New Roman" w:cs="Times New Roman"/>
          <w:szCs w:val="24"/>
        </w:rPr>
        <w:t xml:space="preserve"> conducting continuing review of research may rely on a current statement from the DSMB indicating that it has and will continue to review study-wide AEs, interim findings, and any recent literature that may be relevant to the research, in lieu of requiring that this information be submitted directly to </w:t>
      </w:r>
      <w:r w:rsidR="000F1C2F" w:rsidRPr="00AA4677">
        <w:rPr>
          <w:rFonts w:eastAsia="Times New Roman" w:cs="Times New Roman"/>
          <w:szCs w:val="24"/>
        </w:rPr>
        <w:t>the IRB</w:t>
      </w:r>
      <w:r w:rsidRPr="00AA4677">
        <w:rPr>
          <w:rFonts w:eastAsia="Times New Roman" w:cs="Times New Roman"/>
          <w:szCs w:val="24"/>
        </w:rPr>
        <w:t>.</w:t>
      </w:r>
    </w:p>
    <w:p w14:paraId="08D58587" w14:textId="2ADD7604" w:rsidR="00852620" w:rsidRPr="00AA4677" w:rsidRDefault="00852620" w:rsidP="003E7C9E">
      <w:pPr>
        <w:shd w:val="clear" w:color="auto" w:fill="FFFFFF"/>
        <w:spacing w:before="100" w:beforeAutospacing="1" w:after="100" w:afterAutospacing="1" w:line="240" w:lineRule="auto"/>
        <w:rPr>
          <w:rFonts w:eastAsia="Times New Roman" w:cs="Times New Roman"/>
          <w:szCs w:val="24"/>
        </w:rPr>
      </w:pPr>
      <w:bookmarkStart w:id="64" w:name="_Hlk131148835"/>
      <w:r w:rsidRPr="00AA4677">
        <w:rPr>
          <w:rFonts w:eastAsia="Times New Roman" w:cs="Times New Roman"/>
          <w:szCs w:val="24"/>
        </w:rPr>
        <w:t xml:space="preserve">The IRB may determine that during an emergency, subjects may not be able to come to the site for a required site visit. The IRB should evaluate whether </w:t>
      </w:r>
      <w:r w:rsidR="00C06CA8" w:rsidRPr="00AA4677">
        <w:rPr>
          <w:rFonts w:eastAsia="Times New Roman" w:cs="Times New Roman"/>
          <w:szCs w:val="24"/>
        </w:rPr>
        <w:t xml:space="preserve">the plan should include </w:t>
      </w:r>
      <w:r w:rsidRPr="00AA4677">
        <w:rPr>
          <w:rFonts w:eastAsia="Times New Roman" w:cs="Times New Roman"/>
          <w:szCs w:val="24"/>
        </w:rPr>
        <w:t>alternative methods for safety assessments (e.g., phone contac</w:t>
      </w:r>
      <w:r w:rsidR="00A347F3" w:rsidRPr="00AA4677">
        <w:rPr>
          <w:rFonts w:eastAsia="Times New Roman" w:cs="Times New Roman"/>
          <w:szCs w:val="24"/>
        </w:rPr>
        <w:t>t</w:t>
      </w:r>
      <w:r w:rsidRPr="00AA4677">
        <w:rPr>
          <w:rFonts w:eastAsia="Times New Roman" w:cs="Times New Roman"/>
          <w:szCs w:val="24"/>
        </w:rPr>
        <w:t xml:space="preserve">, virtual visits, alternative locations for assessments) </w:t>
      </w:r>
      <w:r w:rsidR="00C06CA8" w:rsidRPr="00AA4677">
        <w:rPr>
          <w:rFonts w:eastAsia="Times New Roman" w:cs="Times New Roman"/>
          <w:szCs w:val="24"/>
        </w:rPr>
        <w:lastRenderedPageBreak/>
        <w:t xml:space="preserve">that </w:t>
      </w:r>
      <w:r w:rsidRPr="00AA4677">
        <w:rPr>
          <w:rFonts w:eastAsia="Times New Roman" w:cs="Times New Roman"/>
          <w:szCs w:val="24"/>
        </w:rPr>
        <w:t>could be implemented when necessary and feasible and whether these alternatives would be sufficient to assure the safety of trial participants</w:t>
      </w:r>
      <w:bookmarkEnd w:id="64"/>
    </w:p>
    <w:p w14:paraId="78886779" w14:textId="64010F97" w:rsidR="003E7C9E" w:rsidRPr="00AA4677" w:rsidRDefault="003E7C9E" w:rsidP="00C57C98">
      <w:pPr>
        <w:pStyle w:val="Heading3"/>
      </w:pPr>
      <w:r w:rsidRPr="00AA4677">
        <w:t>3.8.5</w:t>
      </w:r>
      <w:r w:rsidR="00A31707" w:rsidRPr="00AA4677">
        <w:t xml:space="preserve"> P</w:t>
      </w:r>
      <w:r w:rsidRPr="00AA4677">
        <w:t>rivacy and Confidentiality</w:t>
      </w:r>
    </w:p>
    <w:p w14:paraId="23F6751C" w14:textId="4A614AEB" w:rsidR="003E7C9E" w:rsidRPr="00AA4677" w:rsidRDefault="003E096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will determine whether adequate procedures are in place to </w:t>
      </w:r>
      <w:r w:rsidR="003E7C9E" w:rsidRPr="00AA4677">
        <w:rPr>
          <w:rFonts w:eastAsia="Times New Roman" w:cs="Times New Roman"/>
          <w:b/>
          <w:bCs/>
          <w:szCs w:val="24"/>
        </w:rPr>
        <w:t>protect the privacy</w:t>
      </w:r>
      <w:r w:rsidR="003E7C9E" w:rsidRPr="00AA4677">
        <w:rPr>
          <w:rFonts w:eastAsia="Times New Roman" w:cs="Times New Roman"/>
          <w:szCs w:val="24"/>
        </w:rPr>
        <w:t> of subjects and to </w:t>
      </w:r>
      <w:r w:rsidR="003E7C9E" w:rsidRPr="00AA4677">
        <w:rPr>
          <w:rFonts w:eastAsia="Times New Roman" w:cs="Times New Roman"/>
          <w:b/>
          <w:bCs/>
          <w:szCs w:val="24"/>
        </w:rPr>
        <w:t>maintain the confidentiality of the data</w:t>
      </w:r>
      <w:r w:rsidR="003E7C9E" w:rsidRPr="00AA4677">
        <w:rPr>
          <w:rFonts w:eastAsia="Times New Roman" w:cs="Times New Roman"/>
          <w:szCs w:val="24"/>
        </w:rPr>
        <w:t>. </w:t>
      </w:r>
    </w:p>
    <w:p w14:paraId="40F7793B" w14:textId="7777777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Definitions</w:t>
      </w:r>
    </w:p>
    <w:p w14:paraId="70F29FE7" w14:textId="64E69479"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Privacy</w:t>
      </w:r>
      <w:r w:rsidR="003E096E" w:rsidRPr="00AA4677">
        <w:rPr>
          <w:rFonts w:eastAsia="Times New Roman" w:cs="Times New Roman"/>
          <w:b/>
          <w:bCs/>
          <w:szCs w:val="24"/>
        </w:rPr>
        <w:t>:</w:t>
      </w:r>
      <w:r w:rsidRPr="00AA4677">
        <w:rPr>
          <w:rFonts w:eastAsia="Times New Roman" w:cs="Times New Roman"/>
          <w:szCs w:val="24"/>
        </w:rPr>
        <w:t xml:space="preserve"> having control over the extent, timing, and circumstances of sharing oneself (physically, behaviorally, or intellectually) with others.</w:t>
      </w:r>
    </w:p>
    <w:p w14:paraId="26ED4819" w14:textId="1D2AA55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Confidentiality</w:t>
      </w:r>
      <w:r w:rsidR="003E096E" w:rsidRPr="00AA4677">
        <w:rPr>
          <w:rFonts w:eastAsia="Times New Roman" w:cs="Times New Roman"/>
          <w:b/>
          <w:bCs/>
          <w:szCs w:val="24"/>
        </w:rPr>
        <w:t>:</w:t>
      </w:r>
      <w:r w:rsidRPr="00AA4677">
        <w:rPr>
          <w:rFonts w:eastAsia="Times New Roman" w:cs="Times New Roman"/>
          <w:szCs w:val="24"/>
        </w:rPr>
        <w:t xml:space="preserve"> methods used to ensur</w:t>
      </w:r>
      <w:r w:rsidR="000216F7" w:rsidRPr="00AA4677">
        <w:rPr>
          <w:rFonts w:eastAsia="Times New Roman" w:cs="Times New Roman"/>
          <w:szCs w:val="24"/>
        </w:rPr>
        <w:t>e that information obtained by investigators</w:t>
      </w:r>
      <w:r w:rsidRPr="00AA4677">
        <w:rPr>
          <w:rFonts w:eastAsia="Times New Roman" w:cs="Times New Roman"/>
          <w:szCs w:val="24"/>
        </w:rPr>
        <w:t xml:space="preserve"> about their subjects is not improperly divulged.</w:t>
      </w:r>
    </w:p>
    <w:p w14:paraId="77F39F33" w14:textId="3197310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Private information</w:t>
      </w:r>
      <w:r w:rsidR="003E096E" w:rsidRPr="00AA4677">
        <w:rPr>
          <w:rFonts w:eastAsia="Times New Roman" w:cs="Times New Roman"/>
          <w:b/>
          <w:bCs/>
          <w:szCs w:val="24"/>
        </w:rPr>
        <w:t xml:space="preserve">: </w:t>
      </w:r>
      <w:r w:rsidR="003E096E" w:rsidRPr="00AA4677">
        <w:rPr>
          <w:rFonts w:eastAsia="Times New Roman" w:cs="Times New Roman"/>
          <w:bCs/>
          <w:szCs w:val="24"/>
        </w:rPr>
        <w:t>p</w:t>
      </w:r>
      <w:r w:rsidRPr="00AA4677">
        <w:rPr>
          <w:rFonts w:eastAsia="Times New Roman" w:cs="Times New Roman"/>
          <w:szCs w:val="24"/>
        </w:rPr>
        <w:t>rovided for specific purposes by an individual and which the individual can reasonably expect will not be made public (for example, a medical record).</w:t>
      </w:r>
    </w:p>
    <w:p w14:paraId="582F699A" w14:textId="39E705C5"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Identifiable information</w:t>
      </w:r>
      <w:r w:rsidR="003E096E" w:rsidRPr="00AA4677">
        <w:rPr>
          <w:rFonts w:eastAsia="Times New Roman" w:cs="Times New Roman"/>
          <w:b/>
          <w:bCs/>
          <w:szCs w:val="24"/>
        </w:rPr>
        <w:t>:</w:t>
      </w:r>
      <w:r w:rsidR="003E096E" w:rsidRPr="00AA4677">
        <w:rPr>
          <w:rFonts w:eastAsia="Times New Roman" w:cs="Times New Roman"/>
          <w:szCs w:val="24"/>
        </w:rPr>
        <w:t xml:space="preserve"> </w:t>
      </w:r>
      <w:r w:rsidRPr="00AA4677">
        <w:rPr>
          <w:rFonts w:eastAsia="Times New Roman" w:cs="Times New Roman"/>
          <w:szCs w:val="24"/>
        </w:rPr>
        <w:t xml:space="preserve"> where the identity of the subject is or may readily be ascertained by the investigator or associated with the information.</w:t>
      </w:r>
    </w:p>
    <w:p w14:paraId="2DF31F60" w14:textId="5BA2BCC5" w:rsidR="003E7C9E" w:rsidRPr="00AA4677" w:rsidRDefault="003E7C9E" w:rsidP="001D3801">
      <w:pPr>
        <w:pStyle w:val="Heading4"/>
        <w:rPr>
          <w:sz w:val="27"/>
          <w:szCs w:val="27"/>
        </w:rPr>
      </w:pPr>
      <w:r w:rsidRPr="00AA4677">
        <w:t>3.8.5.1 </w:t>
      </w:r>
      <w:r w:rsidRPr="00AA4677">
        <w:rPr>
          <w:sz w:val="27"/>
          <w:szCs w:val="27"/>
        </w:rPr>
        <w:t>Privacy</w:t>
      </w:r>
    </w:p>
    <w:p w14:paraId="630764F6" w14:textId="44F5261E" w:rsidR="003E7C9E" w:rsidRPr="00AA4677" w:rsidRDefault="003E096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must determine whether the activities in the research constitute an invasion of privacy.  </w:t>
      </w:r>
      <w:proofErr w:type="gramStart"/>
      <w:r w:rsidR="003E7C9E" w:rsidRPr="00AA4677">
        <w:rPr>
          <w:rFonts w:eastAsia="Times New Roman" w:cs="Times New Roman"/>
          <w:szCs w:val="24"/>
        </w:rPr>
        <w:t>In order to</w:t>
      </w:r>
      <w:proofErr w:type="gramEnd"/>
      <w:r w:rsidR="003E7C9E" w:rsidRPr="00AA4677">
        <w:rPr>
          <w:rFonts w:eastAsia="Times New Roman" w:cs="Times New Roman"/>
          <w:szCs w:val="24"/>
        </w:rPr>
        <w:t xml:space="preserve"> make that determination, </w:t>
      </w:r>
      <w:r w:rsidRPr="00AA4677">
        <w:rPr>
          <w:rFonts w:eastAsia="Times New Roman" w:cs="Times New Roman"/>
          <w:szCs w:val="24"/>
        </w:rPr>
        <w:t>the IRB</w:t>
      </w:r>
      <w:r w:rsidR="003E7C9E" w:rsidRPr="00AA4677">
        <w:rPr>
          <w:rFonts w:eastAsia="Times New Roman" w:cs="Times New Roman"/>
          <w:szCs w:val="24"/>
        </w:rPr>
        <w:t xml:space="preserve"> must obtain information regarding how the investigators are getting access to subjects or subjects’ private, identifiable information and the subjects’ expectat</w:t>
      </w:r>
      <w:r w:rsidR="003869AD" w:rsidRPr="00AA4677">
        <w:rPr>
          <w:rFonts w:eastAsia="Times New Roman" w:cs="Times New Roman"/>
          <w:szCs w:val="24"/>
        </w:rPr>
        <w:t>ions of privacy</w:t>
      </w:r>
      <w:r w:rsidR="003E7C9E" w:rsidRPr="00AA4677">
        <w:rPr>
          <w:rFonts w:eastAsia="Times New Roman" w:cs="Times New Roman"/>
          <w:szCs w:val="24"/>
        </w:rPr>
        <w:t>.  Investigators must have appropriate authorization to acces</w:t>
      </w:r>
      <w:r w:rsidR="003869AD" w:rsidRPr="00AA4677">
        <w:rPr>
          <w:rFonts w:eastAsia="Times New Roman" w:cs="Times New Roman"/>
          <w:szCs w:val="24"/>
        </w:rPr>
        <w:t>s subjects or subject</w:t>
      </w:r>
      <w:r w:rsidR="003E7C9E" w:rsidRPr="00AA4677">
        <w:rPr>
          <w:rFonts w:eastAsia="Times New Roman" w:cs="Times New Roman"/>
          <w:szCs w:val="24"/>
        </w:rPr>
        <w:t xml:space="preserve"> information.</w:t>
      </w:r>
    </w:p>
    <w:p w14:paraId="2DB92F53" w14:textId="19DFFCD1"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 developing strategies</w:t>
      </w:r>
      <w:r w:rsidR="003869AD" w:rsidRPr="00AA4677">
        <w:rPr>
          <w:rFonts w:eastAsia="Times New Roman" w:cs="Times New Roman"/>
          <w:szCs w:val="24"/>
        </w:rPr>
        <w:t xml:space="preserve"> for the protection of subject</w:t>
      </w:r>
      <w:r w:rsidRPr="00AA4677">
        <w:rPr>
          <w:rFonts w:eastAsia="Times New Roman" w:cs="Times New Roman"/>
          <w:szCs w:val="24"/>
        </w:rPr>
        <w:t xml:space="preserve"> privacy, consideration should be given to:</w:t>
      </w:r>
    </w:p>
    <w:p w14:paraId="34594397" w14:textId="4D4CC9E8" w:rsidR="003E7C9E" w:rsidRPr="00AA4677" w:rsidRDefault="003E7C9E" w:rsidP="00C129F1">
      <w:pPr>
        <w:numPr>
          <w:ilvl w:val="0"/>
          <w:numId w:val="7"/>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Methods used to identify and contact potential </w:t>
      </w:r>
      <w:r w:rsidR="00BF7470" w:rsidRPr="00AA4677">
        <w:rPr>
          <w:rFonts w:eastAsia="Times New Roman" w:cs="Times New Roman"/>
          <w:szCs w:val="24"/>
        </w:rPr>
        <w:t>subject</w:t>
      </w:r>
      <w:r w:rsidRPr="00AA4677">
        <w:rPr>
          <w:rFonts w:eastAsia="Times New Roman" w:cs="Times New Roman"/>
          <w:szCs w:val="24"/>
        </w:rPr>
        <w:t>s</w:t>
      </w:r>
      <w:r w:rsidR="003E096E" w:rsidRPr="00AA4677">
        <w:rPr>
          <w:rFonts w:eastAsia="Times New Roman" w:cs="Times New Roman"/>
          <w:szCs w:val="24"/>
        </w:rPr>
        <w:t>.</w:t>
      </w:r>
    </w:p>
    <w:p w14:paraId="5F82D9C9" w14:textId="39787010" w:rsidR="003E7C9E" w:rsidRPr="00AA4677" w:rsidRDefault="003E7C9E" w:rsidP="00C129F1">
      <w:pPr>
        <w:numPr>
          <w:ilvl w:val="0"/>
          <w:numId w:val="7"/>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Settings in which an individual will be interacting with an investigator</w:t>
      </w:r>
      <w:r w:rsidR="003E096E" w:rsidRPr="00AA4677">
        <w:rPr>
          <w:rFonts w:eastAsia="Times New Roman" w:cs="Times New Roman"/>
          <w:szCs w:val="24"/>
        </w:rPr>
        <w:t>.</w:t>
      </w:r>
    </w:p>
    <w:p w14:paraId="39E9DD5F" w14:textId="5C6FE768" w:rsidR="003E7C9E" w:rsidRPr="00AA4677" w:rsidRDefault="003E7C9E" w:rsidP="00C129F1">
      <w:pPr>
        <w:numPr>
          <w:ilvl w:val="0"/>
          <w:numId w:val="7"/>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Appropriateness of all personnel present for research activities</w:t>
      </w:r>
      <w:r w:rsidR="003E096E" w:rsidRPr="00AA4677">
        <w:rPr>
          <w:rFonts w:eastAsia="Times New Roman" w:cs="Times New Roman"/>
          <w:szCs w:val="24"/>
        </w:rPr>
        <w:t>.</w:t>
      </w:r>
    </w:p>
    <w:p w14:paraId="5BDE47D2" w14:textId="639803EB" w:rsidR="003E7C9E" w:rsidRPr="00AA4677" w:rsidRDefault="003E7C9E" w:rsidP="00C129F1">
      <w:pPr>
        <w:numPr>
          <w:ilvl w:val="0"/>
          <w:numId w:val="7"/>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Methods used to obtain information about </w:t>
      </w:r>
      <w:r w:rsidR="00BF7470" w:rsidRPr="00AA4677">
        <w:rPr>
          <w:rFonts w:eastAsia="Times New Roman" w:cs="Times New Roman"/>
          <w:szCs w:val="24"/>
        </w:rPr>
        <w:t>subject</w:t>
      </w:r>
      <w:r w:rsidRPr="00AA4677">
        <w:rPr>
          <w:rFonts w:eastAsia="Times New Roman" w:cs="Times New Roman"/>
          <w:szCs w:val="24"/>
        </w:rPr>
        <w:t>s and the nature of the requested information</w:t>
      </w:r>
      <w:r w:rsidR="003E096E" w:rsidRPr="00AA4677">
        <w:rPr>
          <w:rFonts w:eastAsia="Times New Roman" w:cs="Times New Roman"/>
          <w:szCs w:val="24"/>
        </w:rPr>
        <w:t>.</w:t>
      </w:r>
    </w:p>
    <w:p w14:paraId="797639F9" w14:textId="21894E9C" w:rsidR="003E7C9E" w:rsidRPr="00AA4677" w:rsidRDefault="003E7C9E" w:rsidP="00C129F1">
      <w:pPr>
        <w:numPr>
          <w:ilvl w:val="0"/>
          <w:numId w:val="7"/>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Information that is obtained about individuals other than the “target </w:t>
      </w:r>
      <w:r w:rsidR="00BF7470" w:rsidRPr="00AA4677">
        <w:rPr>
          <w:rFonts w:eastAsia="Times New Roman" w:cs="Times New Roman"/>
          <w:szCs w:val="24"/>
        </w:rPr>
        <w:t>subject</w:t>
      </w:r>
      <w:r w:rsidRPr="00AA4677">
        <w:rPr>
          <w:rFonts w:eastAsia="Times New Roman" w:cs="Times New Roman"/>
          <w:szCs w:val="24"/>
        </w:rPr>
        <w:t xml:space="preserve">s,” and whether such individuals meet the regulatory definition of “human </w:t>
      </w:r>
      <w:r w:rsidR="00BF7470" w:rsidRPr="00AA4677">
        <w:rPr>
          <w:rFonts w:eastAsia="Times New Roman" w:cs="Times New Roman"/>
          <w:szCs w:val="24"/>
        </w:rPr>
        <w:t>subject</w:t>
      </w:r>
      <w:r w:rsidRPr="00AA4677">
        <w:rPr>
          <w:rFonts w:eastAsia="Times New Roman" w:cs="Times New Roman"/>
          <w:szCs w:val="24"/>
        </w:rPr>
        <w:t>” (e.g., a subject provides information about a family member for a survey)</w:t>
      </w:r>
      <w:r w:rsidR="003E096E" w:rsidRPr="00AA4677">
        <w:rPr>
          <w:rFonts w:eastAsia="Times New Roman" w:cs="Times New Roman"/>
          <w:szCs w:val="24"/>
        </w:rPr>
        <w:t>.</w:t>
      </w:r>
    </w:p>
    <w:p w14:paraId="479AFADF" w14:textId="77777777" w:rsidR="003E7C9E" w:rsidRPr="00AA4677" w:rsidRDefault="003E7C9E" w:rsidP="00C129F1">
      <w:pPr>
        <w:numPr>
          <w:ilvl w:val="0"/>
          <w:numId w:val="7"/>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How to access the minimum amount of information necessary to complete the study.</w:t>
      </w:r>
    </w:p>
    <w:p w14:paraId="1F9708C4" w14:textId="3BF21B2D" w:rsidR="003E7C9E" w:rsidRPr="00AA4677" w:rsidRDefault="003E7C9E" w:rsidP="001D3801">
      <w:pPr>
        <w:pStyle w:val="Heading4"/>
      </w:pPr>
      <w:r w:rsidRPr="00AA4677">
        <w:t>3.</w:t>
      </w:r>
      <w:r w:rsidR="00A31707" w:rsidRPr="00AA4677">
        <w:t>8.5.2 </w:t>
      </w:r>
      <w:r w:rsidRPr="00AA4677">
        <w:t>Confidentiality</w:t>
      </w:r>
    </w:p>
    <w:p w14:paraId="0038132F" w14:textId="2963365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Confidentiality and anonymity are not the same. If anyone, including the investigator, can readily ascertain the identity of the subjects from the data, then the research is not </w:t>
      </w:r>
      <w:proofErr w:type="gramStart"/>
      <w:r w:rsidRPr="00AA4677">
        <w:rPr>
          <w:rFonts w:eastAsia="Times New Roman" w:cs="Times New Roman"/>
          <w:szCs w:val="24"/>
        </w:rPr>
        <w:t>anonymous</w:t>
      </w:r>
      <w:proofErr w:type="gramEnd"/>
      <w:r w:rsidRPr="00AA4677">
        <w:rPr>
          <w:rFonts w:eastAsia="Times New Roman" w:cs="Times New Roman"/>
          <w:szCs w:val="24"/>
        </w:rPr>
        <w:t xml:space="preserve"> and </w:t>
      </w:r>
      <w:r w:rsidR="003E096E" w:rsidRPr="00AA4677">
        <w:rPr>
          <w:rFonts w:eastAsia="Times New Roman" w:cs="Times New Roman"/>
          <w:szCs w:val="24"/>
        </w:rPr>
        <w:t>the IRB</w:t>
      </w:r>
      <w:r w:rsidRPr="00AA4677">
        <w:rPr>
          <w:rFonts w:eastAsia="Times New Roman" w:cs="Times New Roman"/>
          <w:szCs w:val="24"/>
        </w:rPr>
        <w:t xml:space="preserve"> must determine if appropriate protections are in place to minimize the likelihood that the information will be inappropriately divulged.  The level of confidentiality protections should be commensurate with the potential of harm from inappropriate disclosure.</w:t>
      </w:r>
    </w:p>
    <w:p w14:paraId="0244AC99" w14:textId="6E952402"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At the time of initial review, </w:t>
      </w:r>
      <w:r w:rsidR="00350290" w:rsidRPr="00AA4677">
        <w:rPr>
          <w:rFonts w:eastAsia="Times New Roman" w:cs="Times New Roman"/>
          <w:szCs w:val="24"/>
        </w:rPr>
        <w:t>the IRB</w:t>
      </w:r>
      <w:r w:rsidRPr="00AA4677">
        <w:rPr>
          <w:rFonts w:eastAsia="Times New Roman" w:cs="Times New Roman"/>
          <w:szCs w:val="24"/>
        </w:rPr>
        <w:t xml:space="preserve"> ensures that the confidentiality of research subject</w:t>
      </w:r>
      <w:r w:rsidR="00800FE9" w:rsidRPr="00AA4677">
        <w:rPr>
          <w:rFonts w:eastAsia="Times New Roman" w:cs="Times New Roman"/>
          <w:szCs w:val="24"/>
        </w:rPr>
        <w:t xml:space="preserve"> data</w:t>
      </w:r>
      <w:r w:rsidRPr="00AA4677">
        <w:rPr>
          <w:rFonts w:eastAsia="Times New Roman" w:cs="Times New Roman"/>
          <w:szCs w:val="24"/>
        </w:rPr>
        <w:t xml:space="preserve"> is protected. </w:t>
      </w:r>
      <w:r w:rsidR="00350290" w:rsidRPr="00AA4677">
        <w:rPr>
          <w:rFonts w:eastAsia="Times New Roman" w:cs="Times New Roman"/>
          <w:szCs w:val="24"/>
        </w:rPr>
        <w:t>The IRB</w:t>
      </w:r>
      <w:r w:rsidRPr="00AA4677">
        <w:rPr>
          <w:rFonts w:eastAsia="Times New Roman" w:cs="Times New Roman"/>
          <w:szCs w:val="24"/>
        </w:rPr>
        <w:t xml:space="preserve"> assesses whether there are adequate provisions to maintain confidentiality. </w:t>
      </w:r>
      <w:r w:rsidR="00350290" w:rsidRPr="00AA4677">
        <w:rPr>
          <w:rFonts w:eastAsia="Times New Roman" w:cs="Times New Roman"/>
          <w:szCs w:val="24"/>
        </w:rPr>
        <w:t>The IRB</w:t>
      </w:r>
      <w:r w:rsidRPr="00AA4677">
        <w:rPr>
          <w:rFonts w:eastAsia="Times New Roman" w:cs="Times New Roman"/>
          <w:szCs w:val="24"/>
        </w:rPr>
        <w:t xml:space="preserve"> does this through the evaluation of the methods used to obtain information:</w:t>
      </w:r>
    </w:p>
    <w:p w14:paraId="1F9E17BE" w14:textId="57C855B7" w:rsidR="003E7C9E" w:rsidRPr="00AA4677" w:rsidRDefault="00350290" w:rsidP="00C129F1">
      <w:pPr>
        <w:numPr>
          <w:ilvl w:val="0"/>
          <w:numId w:val="8"/>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About </w:t>
      </w:r>
      <w:proofErr w:type="gramStart"/>
      <w:r w:rsidRPr="00AA4677">
        <w:rPr>
          <w:rFonts w:eastAsia="Times New Roman" w:cs="Times New Roman"/>
          <w:szCs w:val="24"/>
        </w:rPr>
        <w:t>subjects;</w:t>
      </w:r>
      <w:proofErr w:type="gramEnd"/>
    </w:p>
    <w:p w14:paraId="0F0191AE" w14:textId="3B8D24EC" w:rsidR="003E7C9E" w:rsidRPr="00AA4677" w:rsidRDefault="003E7C9E" w:rsidP="00C129F1">
      <w:pPr>
        <w:numPr>
          <w:ilvl w:val="0"/>
          <w:numId w:val="8"/>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About individuals who may be recruited to participate in </w:t>
      </w:r>
      <w:proofErr w:type="gramStart"/>
      <w:r w:rsidRPr="00AA4677">
        <w:rPr>
          <w:rFonts w:eastAsia="Times New Roman" w:cs="Times New Roman"/>
          <w:szCs w:val="24"/>
        </w:rPr>
        <w:t>studies</w:t>
      </w:r>
      <w:r w:rsidR="00350290" w:rsidRPr="00AA4677">
        <w:rPr>
          <w:rFonts w:eastAsia="Times New Roman" w:cs="Times New Roman"/>
          <w:szCs w:val="24"/>
        </w:rPr>
        <w:t>;</w:t>
      </w:r>
      <w:proofErr w:type="gramEnd"/>
    </w:p>
    <w:p w14:paraId="4A3E869B" w14:textId="30CE4A9A" w:rsidR="003E7C9E" w:rsidRPr="00AA4677" w:rsidRDefault="003E7C9E" w:rsidP="00C129F1">
      <w:pPr>
        <w:numPr>
          <w:ilvl w:val="0"/>
          <w:numId w:val="8"/>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The use of personally identifiable records</w:t>
      </w:r>
      <w:r w:rsidR="00350290" w:rsidRPr="00AA4677">
        <w:rPr>
          <w:rFonts w:eastAsia="Times New Roman" w:cs="Times New Roman"/>
          <w:szCs w:val="24"/>
        </w:rPr>
        <w:t>;</w:t>
      </w:r>
      <w:r w:rsidRPr="00AA4677">
        <w:rPr>
          <w:rFonts w:eastAsia="Times New Roman" w:cs="Times New Roman"/>
          <w:szCs w:val="24"/>
        </w:rPr>
        <w:t xml:space="preserve"> and</w:t>
      </w:r>
    </w:p>
    <w:p w14:paraId="5BBEC7F4" w14:textId="77777777" w:rsidR="003E7C9E" w:rsidRPr="00AA4677" w:rsidRDefault="003E7C9E" w:rsidP="00C129F1">
      <w:pPr>
        <w:numPr>
          <w:ilvl w:val="0"/>
          <w:numId w:val="8"/>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The methods to protect the confidentiality of research data.</w:t>
      </w:r>
    </w:p>
    <w:p w14:paraId="4109C37E" w14:textId="1317B750"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PI will provide the information regarding confidentiality of research subjects at the time of initial review through the completion of the application, any necessary HIPAA Forms, research protocol, and/or other submitted, applicable materials. </w:t>
      </w:r>
      <w:r w:rsidR="00350290" w:rsidRPr="00AA4677">
        <w:rPr>
          <w:rFonts w:eastAsia="Times New Roman" w:cs="Times New Roman"/>
          <w:szCs w:val="24"/>
        </w:rPr>
        <w:t>The IRB</w:t>
      </w:r>
      <w:r w:rsidRPr="00AA4677">
        <w:rPr>
          <w:rFonts w:eastAsia="Times New Roman" w:cs="Times New Roman"/>
          <w:szCs w:val="24"/>
        </w:rPr>
        <w:t xml:space="preserve"> will review all information received from the PI and determine </w:t>
      </w:r>
      <w:proofErr w:type="gramStart"/>
      <w:r w:rsidRPr="00AA4677">
        <w:rPr>
          <w:rFonts w:eastAsia="Times New Roman" w:cs="Times New Roman"/>
          <w:szCs w:val="24"/>
        </w:rPr>
        <w:t>whether or not</w:t>
      </w:r>
      <w:proofErr w:type="gramEnd"/>
      <w:r w:rsidRPr="00AA4677">
        <w:rPr>
          <w:rFonts w:eastAsia="Times New Roman" w:cs="Times New Roman"/>
          <w:szCs w:val="24"/>
        </w:rPr>
        <w:t xml:space="preserve"> confidentiality of research subject </w:t>
      </w:r>
      <w:r w:rsidR="00800FE9" w:rsidRPr="00AA4677">
        <w:rPr>
          <w:rFonts w:eastAsia="Times New Roman" w:cs="Times New Roman"/>
          <w:szCs w:val="24"/>
        </w:rPr>
        <w:t xml:space="preserve">data </w:t>
      </w:r>
      <w:r w:rsidRPr="00AA4677">
        <w:rPr>
          <w:rFonts w:eastAsia="Times New Roman" w:cs="Times New Roman"/>
          <w:szCs w:val="24"/>
        </w:rPr>
        <w:t xml:space="preserve">is sufficiently protected. In some cases, </w:t>
      </w:r>
      <w:r w:rsidR="0035029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may also require that a Certificate of Confidentiality be obtained to additionally protect research data.</w:t>
      </w:r>
    </w:p>
    <w:p w14:paraId="2E9D892C" w14:textId="093DB4F5"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reviewing confidentiality protections, </w:t>
      </w:r>
      <w:r w:rsidR="0035029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shall consider the nature, pro</w:t>
      </w:r>
      <w:r w:rsidR="003B6D38" w:rsidRPr="00AA4677">
        <w:rPr>
          <w:rFonts w:eastAsia="Times New Roman" w:cs="Times New Roman"/>
          <w:szCs w:val="24"/>
        </w:rPr>
        <w:t>bability, and magnitude of harm</w:t>
      </w:r>
      <w:r w:rsidRPr="00AA4677">
        <w:rPr>
          <w:rFonts w:eastAsia="Times New Roman" w:cs="Times New Roman"/>
          <w:szCs w:val="24"/>
        </w:rPr>
        <w:t xml:space="preserve"> that would be likely to result from a disclosure of collected information outside the research. It shall evaluate the effectiveness of proposed de-identification techniques, coding systems, encryption methods, storage facilities, access limitations, and other relevant factors in determining the adequacy of confidentiality protections.</w:t>
      </w:r>
    </w:p>
    <w:p w14:paraId="6CA43300" w14:textId="4615A258" w:rsidR="003E7C9E" w:rsidRPr="00AA4677" w:rsidRDefault="003E7C9E" w:rsidP="00C57C98">
      <w:pPr>
        <w:pStyle w:val="Heading3"/>
      </w:pPr>
      <w:r w:rsidRPr="00AA4677">
        <w:t>3.8.6</w:t>
      </w:r>
      <w:r w:rsidR="00A31707" w:rsidRPr="00AA4677">
        <w:t xml:space="preserve"> </w:t>
      </w:r>
      <w:r w:rsidRPr="00AA4677">
        <w:t>Vulnerable Populations</w:t>
      </w:r>
    </w:p>
    <w:p w14:paraId="724574EB" w14:textId="2FC1093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At the time of initial </w:t>
      </w:r>
      <w:r w:rsidR="007E5924" w:rsidRPr="00AA4677">
        <w:rPr>
          <w:rFonts w:eastAsia="Times New Roman" w:cs="Times New Roman"/>
          <w:szCs w:val="24"/>
        </w:rPr>
        <w:t>review,</w:t>
      </w:r>
      <w:r w:rsidRPr="00AA4677">
        <w:rPr>
          <w:rFonts w:eastAsia="Times New Roman" w:cs="Times New Roman"/>
          <w:szCs w:val="24"/>
        </w:rPr>
        <w:t xml:space="preserve"> </w:t>
      </w:r>
      <w:r w:rsidR="00350290" w:rsidRPr="00AA4677">
        <w:rPr>
          <w:rFonts w:eastAsia="Times New Roman" w:cs="Times New Roman"/>
          <w:szCs w:val="24"/>
        </w:rPr>
        <w:t>the IRB</w:t>
      </w:r>
      <w:r w:rsidRPr="00AA4677">
        <w:rPr>
          <w:rFonts w:eastAsia="Times New Roman" w:cs="Times New Roman"/>
          <w:szCs w:val="24"/>
        </w:rPr>
        <w:t xml:space="preserve"> will consider the scientific and ethical reasons for including vulnerable subjects in research. </w:t>
      </w:r>
      <w:r w:rsidR="00350290" w:rsidRPr="00AA4677">
        <w:rPr>
          <w:rFonts w:eastAsia="Times New Roman" w:cs="Times New Roman"/>
          <w:szCs w:val="24"/>
        </w:rPr>
        <w:t>The IRB</w:t>
      </w:r>
      <w:r w:rsidRPr="00AA4677">
        <w:rPr>
          <w:rFonts w:eastAsia="Times New Roman" w:cs="Times New Roman"/>
          <w:szCs w:val="24"/>
        </w:rPr>
        <w:t xml:space="preserve"> may determine and require that, when appropriate, additional safeguards </w:t>
      </w:r>
      <w:r w:rsidR="007E5924" w:rsidRPr="00AA4677">
        <w:rPr>
          <w:rFonts w:eastAsia="Times New Roman" w:cs="Times New Roman"/>
          <w:szCs w:val="24"/>
        </w:rPr>
        <w:t>are</w:t>
      </w:r>
      <w:r w:rsidRPr="00AA4677">
        <w:rPr>
          <w:rFonts w:eastAsia="Times New Roman" w:cs="Times New Roman"/>
          <w:szCs w:val="24"/>
        </w:rPr>
        <w:t xml:space="preserve"> put into place for vulnerable subjects, such as those without decision-making capacity.</w:t>
      </w:r>
      <w:r w:rsidR="00EE7207" w:rsidRPr="00AA4677">
        <w:rPr>
          <w:rFonts w:eastAsia="Times New Roman" w:cs="Times New Roman"/>
          <w:szCs w:val="24"/>
        </w:rPr>
        <w:t xml:space="preserve"> The adequacy of those safeguards will be confirmed at the time of continuing review. </w:t>
      </w:r>
    </w:p>
    <w:p w14:paraId="6DA34731" w14:textId="1B8C0C3B"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For an extensive discussion about </w:t>
      </w:r>
      <w:r w:rsidR="00350290" w:rsidRPr="00AA4677">
        <w:rPr>
          <w:rFonts w:eastAsia="Times New Roman" w:cs="Times New Roman"/>
          <w:szCs w:val="24"/>
        </w:rPr>
        <w:t>the IRB’</w:t>
      </w:r>
      <w:r w:rsidRPr="00AA4677">
        <w:rPr>
          <w:rFonts w:eastAsia="Times New Roman" w:cs="Times New Roman"/>
          <w:szCs w:val="24"/>
        </w:rPr>
        <w:t>s review and approval process for individual populations of vulnerable subjects, please refer to Section 6.</w:t>
      </w:r>
    </w:p>
    <w:p w14:paraId="2BEF0B54" w14:textId="66BDE735" w:rsidR="003E7C9E" w:rsidRPr="00AA4677" w:rsidRDefault="003E7C9E" w:rsidP="00696B35">
      <w:pPr>
        <w:pStyle w:val="Heading2"/>
      </w:pPr>
      <w:bookmarkStart w:id="65" w:name="_Toc192678177"/>
      <w:r w:rsidRPr="00AA4677">
        <w:t xml:space="preserve">3.9 Additional Considerations during </w:t>
      </w:r>
      <w:r w:rsidR="00EE7207" w:rsidRPr="00AA4677">
        <w:t>IRB</w:t>
      </w:r>
      <w:r w:rsidRPr="00AA4677">
        <w:t xml:space="preserve"> Review and Approval of Research</w:t>
      </w:r>
      <w:bookmarkEnd w:id="65"/>
    </w:p>
    <w:p w14:paraId="6545F014" w14:textId="7D6C745F" w:rsidR="003E7C9E" w:rsidRPr="00AA4677" w:rsidRDefault="003E7C9E" w:rsidP="00C57C98">
      <w:pPr>
        <w:pStyle w:val="Heading3"/>
      </w:pPr>
      <w:r w:rsidRPr="00AA4677">
        <w:t>3.9.1 Determination of Risk</w:t>
      </w:r>
    </w:p>
    <w:p w14:paraId="47181C70" w14:textId="55B9FEB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At the time of initial and continuing review, </w:t>
      </w:r>
      <w:r w:rsidR="00A5440E" w:rsidRPr="00AA4677">
        <w:rPr>
          <w:rFonts w:eastAsia="Times New Roman" w:cs="Times New Roman"/>
          <w:szCs w:val="24"/>
        </w:rPr>
        <w:t>the IRB</w:t>
      </w:r>
      <w:r w:rsidRPr="00AA4677">
        <w:rPr>
          <w:rFonts w:eastAsia="Times New Roman" w:cs="Times New Roman"/>
          <w:szCs w:val="24"/>
        </w:rPr>
        <w:t xml:space="preserve"> will </w:t>
      </w:r>
      <w:proofErr w:type="gramStart"/>
      <w:r w:rsidRPr="00AA4677">
        <w:rPr>
          <w:rFonts w:eastAsia="Times New Roman" w:cs="Times New Roman"/>
          <w:szCs w:val="24"/>
        </w:rPr>
        <w:t>make a determination</w:t>
      </w:r>
      <w:proofErr w:type="gramEnd"/>
      <w:r w:rsidRPr="00AA4677">
        <w:rPr>
          <w:rFonts w:eastAsia="Times New Roman" w:cs="Times New Roman"/>
          <w:szCs w:val="24"/>
        </w:rPr>
        <w:t xml:space="preserve"> regarding the risks associated with the research protocols.  Risks associated with the research will be classified as either “minimal” or “greater than minimal” based on the “absolute” interpretation of minimal risk. The meeting minutes will reflect the</w:t>
      </w:r>
      <w:r w:rsidR="00A5440E" w:rsidRPr="00AA4677">
        <w:rPr>
          <w:rFonts w:eastAsia="Times New Roman" w:cs="Times New Roman"/>
          <w:szCs w:val="24"/>
        </w:rPr>
        <w:t xml:space="preserve"> IRB</w:t>
      </w:r>
      <w:r w:rsidRPr="00AA4677">
        <w:rPr>
          <w:rFonts w:eastAsia="Times New Roman" w:cs="Times New Roman"/>
          <w:szCs w:val="24"/>
        </w:rPr>
        <w:t>’s determination regarding risk levels.</w:t>
      </w:r>
      <w:r w:rsidR="00800FE9" w:rsidRPr="00AA4677">
        <w:rPr>
          <w:rFonts w:eastAsia="Times New Roman" w:cs="Times New Roman"/>
          <w:szCs w:val="24"/>
        </w:rPr>
        <w:t xml:space="preserve"> If risk is deemed minimal, </w:t>
      </w:r>
      <w:r w:rsidR="00291AB8" w:rsidRPr="00AA4677">
        <w:rPr>
          <w:rFonts w:eastAsia="Times New Roman" w:cs="Times New Roman"/>
          <w:szCs w:val="24"/>
        </w:rPr>
        <w:t>t</w:t>
      </w:r>
      <w:r w:rsidR="00800FE9" w:rsidRPr="00AA4677">
        <w:rPr>
          <w:rFonts w:eastAsia="Times New Roman" w:cs="Times New Roman"/>
          <w:szCs w:val="24"/>
        </w:rPr>
        <w:t xml:space="preserve">he IRB will additionally vote to determine if subsequent review of the study may be conducted via the expedited review process. </w:t>
      </w:r>
    </w:p>
    <w:p w14:paraId="0307C11E" w14:textId="20186A2A" w:rsidR="003E7C9E" w:rsidRPr="00AA4677" w:rsidRDefault="003E7C9E" w:rsidP="00C57C98">
      <w:pPr>
        <w:pStyle w:val="Heading3"/>
      </w:pPr>
      <w:r w:rsidRPr="00AA4677">
        <w:t>3.9.2 Period of Approval</w:t>
      </w:r>
    </w:p>
    <w:p w14:paraId="380594BC" w14:textId="5E7FFB5E" w:rsidR="00C538CC" w:rsidRPr="00AA4677" w:rsidRDefault="003E7C9E" w:rsidP="00C538CC">
      <w:pPr>
        <w:rPr>
          <w:rFonts w:eastAsia="Arial Unicode MS"/>
        </w:rPr>
      </w:pPr>
      <w:r w:rsidRPr="00AA4677">
        <w:rPr>
          <w:rFonts w:eastAsia="Times New Roman" w:cs="Times New Roman"/>
          <w:szCs w:val="24"/>
        </w:rPr>
        <w:t xml:space="preserve">At the time of initial review and at continuing review, </w:t>
      </w:r>
      <w:r w:rsidR="009C3361"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w:t>
      </w:r>
      <w:proofErr w:type="gramStart"/>
      <w:r w:rsidRPr="00AA4677">
        <w:rPr>
          <w:rFonts w:eastAsia="Times New Roman" w:cs="Times New Roman"/>
          <w:szCs w:val="24"/>
        </w:rPr>
        <w:t>make a determination</w:t>
      </w:r>
      <w:proofErr w:type="gramEnd"/>
      <w:r w:rsidRPr="00AA4677">
        <w:rPr>
          <w:rFonts w:eastAsia="Times New Roman" w:cs="Times New Roman"/>
          <w:szCs w:val="24"/>
        </w:rPr>
        <w:t xml:space="preserve"> regarding the frequency of review of the research protocols. All proto</w:t>
      </w:r>
      <w:r w:rsidR="009C3361" w:rsidRPr="00AA4677">
        <w:rPr>
          <w:rFonts w:eastAsia="Times New Roman" w:cs="Times New Roman"/>
          <w:szCs w:val="24"/>
        </w:rPr>
        <w:t xml:space="preserve">cols will be reviewed by the </w:t>
      </w:r>
      <w:r w:rsidR="00EE7207" w:rsidRPr="00AA4677">
        <w:rPr>
          <w:rFonts w:eastAsia="Times New Roman" w:cs="Times New Roman"/>
          <w:szCs w:val="24"/>
        </w:rPr>
        <w:t>IRB</w:t>
      </w:r>
      <w:r w:rsidR="009C3361" w:rsidRPr="00AA4677">
        <w:rPr>
          <w:rFonts w:eastAsia="Times New Roman" w:cs="Times New Roman"/>
          <w:szCs w:val="24"/>
        </w:rPr>
        <w:t xml:space="preserve"> </w:t>
      </w:r>
      <w:r w:rsidRPr="00AA4677">
        <w:rPr>
          <w:rFonts w:eastAsia="Times New Roman" w:cs="Times New Roman"/>
          <w:szCs w:val="24"/>
        </w:rPr>
        <w:t>at intervals appropriate to the degree of risk but no less than once per year. </w:t>
      </w:r>
      <w:r w:rsidR="00C538CC" w:rsidRPr="00AA4677">
        <w:rPr>
          <w:rFonts w:eastAsia="Times New Roman" w:cs="Times New Roman"/>
          <w:szCs w:val="24"/>
        </w:rPr>
        <w:t xml:space="preserve"> </w:t>
      </w:r>
      <w:r w:rsidR="00C538CC" w:rsidRPr="00AA4677">
        <w:t xml:space="preserve">For research subject to the Common Rule, the IRB will </w:t>
      </w:r>
      <w:r w:rsidR="00C538CC" w:rsidRPr="00AA4677">
        <w:rPr>
          <w:rFonts w:eastAsia="Arial Unicode MS"/>
        </w:rPr>
        <w:t xml:space="preserve">conduct continuing review of research requiring review by the convened IRB at intervals appropriate to the degree of risk of the research, but not less than once per year, except as described elsewhere in these </w:t>
      </w:r>
      <w:proofErr w:type="gramStart"/>
      <w:r w:rsidR="00C538CC" w:rsidRPr="00AA4677">
        <w:rPr>
          <w:rFonts w:eastAsia="Arial Unicode MS"/>
        </w:rPr>
        <w:t>SOPs;</w:t>
      </w:r>
      <w:proofErr w:type="gramEnd"/>
    </w:p>
    <w:p w14:paraId="5B8859DD" w14:textId="4A158E6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 In some circumstances, a shorter review interval (e.g. biannually, quarterly, or after accrual of a specific number of </w:t>
      </w:r>
      <w:r w:rsidR="00BF7470" w:rsidRPr="00AA4677">
        <w:rPr>
          <w:rFonts w:eastAsia="Times New Roman" w:cs="Times New Roman"/>
          <w:szCs w:val="24"/>
        </w:rPr>
        <w:t>subject</w:t>
      </w:r>
      <w:r w:rsidRPr="00AA4677">
        <w:rPr>
          <w:rFonts w:eastAsia="Times New Roman" w:cs="Times New Roman"/>
          <w:szCs w:val="24"/>
        </w:rPr>
        <w:t xml:space="preserve">s) may be required (see below).  The meeting minutes will reflect </w:t>
      </w:r>
      <w:r w:rsidR="009C3361"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’s determination regarding review frequency.</w:t>
      </w:r>
    </w:p>
    <w:p w14:paraId="18EC5572" w14:textId="1230AC33" w:rsidR="003E7C9E" w:rsidRPr="00AA4677" w:rsidRDefault="003E7C9E" w:rsidP="001D3801">
      <w:pPr>
        <w:pStyle w:val="Heading4"/>
      </w:pPr>
      <w:r w:rsidRPr="00AA4677">
        <w:t>3.9.2.1</w:t>
      </w:r>
      <w:r w:rsidR="00A31707" w:rsidRPr="00AA4677">
        <w:t xml:space="preserve"> </w:t>
      </w:r>
      <w:r w:rsidRPr="00AA4677">
        <w:t>Review More Often Than Annually</w:t>
      </w:r>
    </w:p>
    <w:p w14:paraId="3D96BEF2" w14:textId="6AC805D6" w:rsidR="003E7C9E" w:rsidRPr="00AA4677" w:rsidRDefault="00800FE9"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Certain variables may be considered by the IRB in determining those studies </w:t>
      </w:r>
      <w:r w:rsidR="00DA2BF7" w:rsidRPr="00AA4677">
        <w:rPr>
          <w:rFonts w:eastAsia="Times New Roman" w:cs="Times New Roman"/>
          <w:szCs w:val="24"/>
        </w:rPr>
        <w:t xml:space="preserve">that </w:t>
      </w:r>
      <w:r w:rsidRPr="00AA4677">
        <w:rPr>
          <w:rFonts w:eastAsia="Times New Roman" w:cs="Times New Roman"/>
          <w:szCs w:val="24"/>
        </w:rPr>
        <w:t>requir</w:t>
      </w:r>
      <w:r w:rsidR="00DA2BF7" w:rsidRPr="00AA4677">
        <w:rPr>
          <w:rFonts w:eastAsia="Times New Roman" w:cs="Times New Roman"/>
          <w:szCs w:val="24"/>
        </w:rPr>
        <w:t>e</w:t>
      </w:r>
      <w:r w:rsidRPr="00AA4677">
        <w:rPr>
          <w:rFonts w:eastAsia="Times New Roman" w:cs="Times New Roman"/>
          <w:szCs w:val="24"/>
        </w:rPr>
        <w:t xml:space="preserve"> </w:t>
      </w:r>
      <w:r w:rsidR="003E7C9E" w:rsidRPr="00AA4677">
        <w:rPr>
          <w:rFonts w:eastAsia="Times New Roman" w:cs="Times New Roman"/>
          <w:szCs w:val="24"/>
        </w:rPr>
        <w:t>review more often than annually</w:t>
      </w:r>
      <w:r w:rsidR="00DA2BF7" w:rsidRPr="00AA4677">
        <w:rPr>
          <w:rFonts w:eastAsia="Times New Roman" w:cs="Times New Roman"/>
          <w:szCs w:val="24"/>
        </w:rPr>
        <w:t>. For example</w:t>
      </w:r>
      <w:r w:rsidR="003E7C9E" w:rsidRPr="00AA4677">
        <w:rPr>
          <w:rFonts w:eastAsia="Times New Roman" w:cs="Times New Roman"/>
          <w:szCs w:val="24"/>
        </w:rPr>
        <w:t>:</w:t>
      </w:r>
    </w:p>
    <w:p w14:paraId="56EEAF2E" w14:textId="2DB6AD2B" w:rsidR="00DA2BF7" w:rsidRPr="00AA4677" w:rsidRDefault="003E7C9E">
      <w:pPr>
        <w:pStyle w:val="ListParagraph"/>
        <w:numPr>
          <w:ilvl w:val="0"/>
          <w:numId w:val="8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Significant </w:t>
      </w:r>
      <w:r w:rsidR="009C3361" w:rsidRPr="00AA4677">
        <w:rPr>
          <w:rFonts w:eastAsia="Times New Roman" w:cs="Times New Roman"/>
          <w:szCs w:val="24"/>
        </w:rPr>
        <w:t>risk to research subjects (e.g.</w:t>
      </w:r>
      <w:r w:rsidRPr="00AA4677">
        <w:rPr>
          <w:rFonts w:eastAsia="Times New Roman" w:cs="Times New Roman"/>
          <w:szCs w:val="24"/>
        </w:rPr>
        <w:t xml:space="preserve"> death, permanent or </w:t>
      </w:r>
      <w:proofErr w:type="gramStart"/>
      <w:r w:rsidRPr="00AA4677">
        <w:rPr>
          <w:rFonts w:eastAsia="Times New Roman" w:cs="Times New Roman"/>
          <w:szCs w:val="24"/>
        </w:rPr>
        <w:t>long lasting</w:t>
      </w:r>
      <w:proofErr w:type="gramEnd"/>
      <w:r w:rsidRPr="00AA4677">
        <w:rPr>
          <w:rFonts w:eastAsia="Times New Roman" w:cs="Times New Roman"/>
          <w:szCs w:val="24"/>
        </w:rPr>
        <w:t xml:space="preserve"> disability or morbidity, severe toxicity) without the possibility of direct benefit to the </w:t>
      </w:r>
      <w:proofErr w:type="gramStart"/>
      <w:r w:rsidRPr="00AA4677">
        <w:rPr>
          <w:rFonts w:eastAsia="Times New Roman" w:cs="Times New Roman"/>
          <w:szCs w:val="24"/>
        </w:rPr>
        <w:t>subjects;</w:t>
      </w:r>
      <w:proofErr w:type="gramEnd"/>
    </w:p>
    <w:p w14:paraId="4EDF9D1A" w14:textId="12850785" w:rsidR="00DA2BF7" w:rsidRPr="00AA4677" w:rsidRDefault="00A14BA1">
      <w:pPr>
        <w:pStyle w:val="ListParagraph"/>
        <w:numPr>
          <w:ilvl w:val="0"/>
          <w:numId w:val="8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inclusion of </w:t>
      </w:r>
      <w:r w:rsidR="003E7C9E" w:rsidRPr="00AA4677">
        <w:rPr>
          <w:rFonts w:eastAsia="Times New Roman" w:cs="Times New Roman"/>
          <w:szCs w:val="24"/>
        </w:rPr>
        <w:t>vulnerable populations where, even in the presence of possible direct benefit, there is also a possibility of significant risk associated with the research procedures.  </w:t>
      </w:r>
    </w:p>
    <w:p w14:paraId="32BE438B" w14:textId="209DD4BE" w:rsidR="00DA2BF7" w:rsidRPr="00AA4677" w:rsidRDefault="003E7C9E">
      <w:pPr>
        <w:pStyle w:val="ListParagraph"/>
        <w:numPr>
          <w:ilvl w:val="0"/>
          <w:numId w:val="8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 history of serious or continuing non-compliance on the part of the PI.</w:t>
      </w:r>
    </w:p>
    <w:p w14:paraId="0D6D021B" w14:textId="61F74CBF" w:rsidR="00DA2BF7" w:rsidRPr="00AA4677" w:rsidRDefault="003E7C9E">
      <w:pPr>
        <w:pStyle w:val="ListParagraph"/>
        <w:numPr>
          <w:ilvl w:val="0"/>
          <w:numId w:val="87"/>
        </w:numPr>
        <w:shd w:val="clear" w:color="auto" w:fill="FFFFFF"/>
        <w:spacing w:before="100" w:beforeAutospacing="1" w:after="100" w:afterAutospacing="1" w:line="240" w:lineRule="auto"/>
      </w:pPr>
      <w:r w:rsidRPr="00AA4677">
        <w:t>The likely medical condition of the proposed subjects.</w:t>
      </w:r>
    </w:p>
    <w:p w14:paraId="67A738BD" w14:textId="67481F6A" w:rsidR="00DA2BF7" w:rsidRPr="00AA4677" w:rsidRDefault="003E7C9E">
      <w:pPr>
        <w:pStyle w:val="ListParagraph"/>
        <w:numPr>
          <w:ilvl w:val="0"/>
          <w:numId w:val="8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novelty of the research </w:t>
      </w:r>
      <w:proofErr w:type="gramStart"/>
      <w:r w:rsidRPr="00AA4677">
        <w:rPr>
          <w:rFonts w:eastAsia="Times New Roman" w:cs="Times New Roman"/>
          <w:szCs w:val="24"/>
        </w:rPr>
        <w:t>making</w:t>
      </w:r>
      <w:proofErr w:type="gramEnd"/>
      <w:r w:rsidRPr="00AA4677">
        <w:rPr>
          <w:rFonts w:eastAsia="Times New Roman" w:cs="Times New Roman"/>
          <w:szCs w:val="24"/>
        </w:rPr>
        <w:t xml:space="preserve"> unanticipated adverse events more likely.</w:t>
      </w:r>
    </w:p>
    <w:p w14:paraId="056F1815" w14:textId="654A789E" w:rsidR="003E7C9E" w:rsidRPr="00AA4677" w:rsidRDefault="003E7C9E">
      <w:pPr>
        <w:pStyle w:val="ListParagraph"/>
        <w:numPr>
          <w:ilvl w:val="0"/>
          <w:numId w:val="8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Any other factors that </w:t>
      </w:r>
      <w:r w:rsidR="009C3361" w:rsidRPr="00AA4677">
        <w:rPr>
          <w:rFonts w:eastAsia="Times New Roman" w:cs="Times New Roman"/>
          <w:szCs w:val="24"/>
        </w:rPr>
        <w:t>the IRB</w:t>
      </w:r>
      <w:r w:rsidRPr="00AA4677">
        <w:rPr>
          <w:rFonts w:eastAsia="Times New Roman" w:cs="Times New Roman"/>
          <w:szCs w:val="24"/>
        </w:rPr>
        <w:t xml:space="preserve"> deems relevant.</w:t>
      </w:r>
    </w:p>
    <w:p w14:paraId="11FB8F76" w14:textId="49351BB5"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 specifying an approval</w:t>
      </w:r>
      <w:r w:rsidR="009C3361" w:rsidRPr="00AA4677">
        <w:rPr>
          <w:rFonts w:eastAsia="Times New Roman" w:cs="Times New Roman"/>
          <w:szCs w:val="24"/>
        </w:rPr>
        <w:t xml:space="preserve"> period of less than one year, IRB</w:t>
      </w:r>
      <w:r w:rsidRPr="00AA4677">
        <w:rPr>
          <w:rFonts w:eastAsia="Times New Roman" w:cs="Times New Roman"/>
          <w:szCs w:val="24"/>
        </w:rPr>
        <w:t xml:space="preserve"> may define the period with either a time interval or a maximum number of subjects </w:t>
      </w:r>
      <w:r w:rsidR="003F685E" w:rsidRPr="00AA4677">
        <w:rPr>
          <w:rFonts w:eastAsia="Times New Roman" w:cs="Times New Roman"/>
          <w:szCs w:val="24"/>
        </w:rPr>
        <w:t xml:space="preserve">to be </w:t>
      </w:r>
      <w:r w:rsidRPr="00AA4677">
        <w:rPr>
          <w:rFonts w:eastAsia="Times New Roman" w:cs="Times New Roman"/>
          <w:szCs w:val="24"/>
        </w:rPr>
        <w:t xml:space="preserve">either studied or enrolled.  If a maximum number of subjects studied or enrolled is used to define the approval period, it is understood that the approval period in no case can exceed </w:t>
      </w:r>
      <w:r w:rsidR="009C3361" w:rsidRPr="00AA4677">
        <w:rPr>
          <w:rFonts w:eastAsia="Times New Roman" w:cs="Times New Roman"/>
          <w:szCs w:val="24"/>
        </w:rPr>
        <w:t>one (1)</w:t>
      </w:r>
      <w:r w:rsidRPr="00AA4677">
        <w:rPr>
          <w:rFonts w:eastAsia="Times New Roman" w:cs="Times New Roman"/>
          <w:szCs w:val="24"/>
        </w:rPr>
        <w:t xml:space="preserve"> year</w:t>
      </w:r>
      <w:r w:rsidR="00C538CC" w:rsidRPr="00AA4677">
        <w:rPr>
          <w:rFonts w:eastAsia="Times New Roman" w:cs="Times New Roman"/>
          <w:szCs w:val="24"/>
        </w:rPr>
        <w:t xml:space="preserve"> unless the study does not require continuing review. If an approval period of less than </w:t>
      </w:r>
      <w:r w:rsidR="00AE6042" w:rsidRPr="00AA4677">
        <w:rPr>
          <w:rFonts w:eastAsia="Times New Roman" w:cs="Times New Roman"/>
          <w:szCs w:val="24"/>
        </w:rPr>
        <w:t xml:space="preserve">one year is specified by the IRB for research that is subject to continuing review, the reason for more frequent review must be documented in the minutes or the reviewer checklist. </w:t>
      </w:r>
    </w:p>
    <w:p w14:paraId="7ABB4D53" w14:textId="6AA48FE7" w:rsidR="003E7C9E" w:rsidRPr="00AA4677" w:rsidRDefault="003E7C9E" w:rsidP="00C57C98">
      <w:pPr>
        <w:pStyle w:val="Heading3"/>
      </w:pPr>
      <w:r w:rsidRPr="00AA4677">
        <w:t>3.9.3 Independent Verification That No Material Changes Have Occurred</w:t>
      </w:r>
    </w:p>
    <w:p w14:paraId="7E92507A" w14:textId="770DB66B" w:rsidR="003E7C9E" w:rsidRPr="00AA4677" w:rsidRDefault="009C3361"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3F685E" w:rsidRPr="00AA4677">
        <w:rPr>
          <w:rFonts w:eastAsia="Times New Roman" w:cs="Times New Roman"/>
          <w:szCs w:val="24"/>
        </w:rPr>
        <w:t xml:space="preserve">IRB </w:t>
      </w:r>
      <w:r w:rsidR="003E7C9E" w:rsidRPr="00AA4677">
        <w:rPr>
          <w:rFonts w:eastAsia="Times New Roman" w:cs="Times New Roman"/>
          <w:szCs w:val="24"/>
        </w:rPr>
        <w:t xml:space="preserve">recognizes that protecting the rights and welfare of subjects sometimes requires that </w:t>
      </w: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3E7C9E" w:rsidRPr="00AA4677">
        <w:rPr>
          <w:rFonts w:eastAsia="Times New Roman" w:cs="Times New Roman"/>
          <w:szCs w:val="24"/>
        </w:rPr>
        <w:t>verify independently, utilizing sources other than the investigator</w:t>
      </w:r>
      <w:r w:rsidR="00475FED" w:rsidRPr="00AA4677">
        <w:rPr>
          <w:rFonts w:eastAsia="Times New Roman" w:cs="Times New Roman"/>
          <w:szCs w:val="24"/>
        </w:rPr>
        <w:t>,</w:t>
      </w:r>
      <w:r w:rsidR="003E7C9E" w:rsidRPr="00AA4677">
        <w:rPr>
          <w:rFonts w:eastAsia="Times New Roman" w:cs="Times New Roman"/>
          <w:szCs w:val="24"/>
        </w:rPr>
        <w:t xml:space="preserve"> that no material changes </w:t>
      </w:r>
      <w:r w:rsidR="00AE6042" w:rsidRPr="00AA4677">
        <w:rPr>
          <w:rFonts w:eastAsia="Times New Roman" w:cs="Times New Roman"/>
          <w:szCs w:val="24"/>
        </w:rPr>
        <w:t>since previous IRB review</w:t>
      </w:r>
      <w:r w:rsidR="00291AB8" w:rsidRPr="00AA4677">
        <w:rPr>
          <w:rFonts w:eastAsia="Times New Roman" w:cs="Times New Roman"/>
          <w:szCs w:val="24"/>
        </w:rPr>
        <w:t xml:space="preserve"> have occurred</w:t>
      </w:r>
      <w:r w:rsidR="00773A6C" w:rsidRPr="00AA4677">
        <w:rPr>
          <w:rFonts w:eastAsia="Times New Roman" w:cs="Times New Roman"/>
          <w:szCs w:val="24"/>
        </w:rPr>
        <w:t xml:space="preserve"> and that the consent document is still accurate and complete</w:t>
      </w:r>
      <w:r w:rsidR="00AE6042" w:rsidRPr="00AA4677">
        <w:rPr>
          <w:rFonts w:eastAsia="Times New Roman" w:cs="Times New Roman"/>
          <w:szCs w:val="24"/>
        </w:rPr>
        <w:t>.</w:t>
      </w:r>
      <w:r w:rsidR="003E7C9E" w:rsidRPr="00AA4677">
        <w:rPr>
          <w:rFonts w:eastAsia="Times New Roman" w:cs="Times New Roman"/>
          <w:szCs w:val="24"/>
        </w:rPr>
        <w:t xml:space="preserve"> Independent verification from sources other than the investigator may be necessary at times, for example, in cooperative studies or </w:t>
      </w:r>
      <w:proofErr w:type="gramStart"/>
      <w:r w:rsidR="003E7C9E" w:rsidRPr="00AA4677">
        <w:rPr>
          <w:rFonts w:eastAsia="Times New Roman" w:cs="Times New Roman"/>
          <w:szCs w:val="24"/>
        </w:rPr>
        <w:t>other</w:t>
      </w:r>
      <w:proofErr w:type="gramEnd"/>
      <w:r w:rsidR="003E7C9E" w:rsidRPr="00AA4677">
        <w:rPr>
          <w:rFonts w:eastAsia="Times New Roman" w:cs="Times New Roman"/>
          <w:szCs w:val="24"/>
        </w:rPr>
        <w:t xml:space="preserve"> multi-center research.</w:t>
      </w:r>
    </w:p>
    <w:p w14:paraId="4E2644BE" w14:textId="7D81F768" w:rsidR="003E7C9E" w:rsidRPr="00AA4677" w:rsidRDefault="009C3361" w:rsidP="00E56C20">
      <w:pPr>
        <w:pStyle w:val="CommentText"/>
        <w:rPr>
          <w:sz w:val="24"/>
        </w:rPr>
      </w:pPr>
      <w:r w:rsidRPr="00AA4677">
        <w:rPr>
          <w:rFonts w:eastAsia="Times New Roman" w:cs="Times New Roman"/>
          <w:sz w:val="24"/>
          <w:szCs w:val="24"/>
        </w:rPr>
        <w:t xml:space="preserve">The </w:t>
      </w:r>
      <w:r w:rsidR="003F685E" w:rsidRPr="00AA4677">
        <w:rPr>
          <w:rFonts w:eastAsia="Times New Roman" w:cs="Times New Roman"/>
          <w:sz w:val="24"/>
          <w:szCs w:val="24"/>
        </w:rPr>
        <w:t xml:space="preserve">IRB </w:t>
      </w:r>
      <w:r w:rsidR="003E7C9E" w:rsidRPr="00AA4677">
        <w:rPr>
          <w:rFonts w:eastAsia="Times New Roman" w:cs="Times New Roman"/>
          <w:sz w:val="24"/>
          <w:szCs w:val="24"/>
        </w:rPr>
        <w:t>will determine the need for verification from outside sources on a case-by-case basis</w:t>
      </w:r>
      <w:r w:rsidR="00AE6042" w:rsidRPr="00AA4677">
        <w:rPr>
          <w:rFonts w:eastAsia="Times New Roman" w:cs="Times New Roman"/>
          <w:sz w:val="24"/>
          <w:szCs w:val="24"/>
        </w:rPr>
        <w:t>. The following factors will be considered when determining which studies require independent verification</w:t>
      </w:r>
      <w:r w:rsidR="00E56C20" w:rsidRPr="00AA4677">
        <w:rPr>
          <w:rFonts w:eastAsia="Times New Roman" w:cs="Times New Roman"/>
          <w:sz w:val="24"/>
          <w:szCs w:val="24"/>
        </w:rPr>
        <w:t xml:space="preserve">. </w:t>
      </w:r>
      <w:r w:rsidR="00E56C20" w:rsidRPr="00AA4677">
        <w:rPr>
          <w:sz w:val="24"/>
        </w:rPr>
        <w:t xml:space="preserve">This content was updated based upon updates to AAHRPP’s Evaluation Instrument.  AAHRPP’s listing of </w:t>
      </w:r>
      <w:proofErr w:type="gramStart"/>
      <w:r w:rsidR="00E56C20" w:rsidRPr="00AA4677">
        <w:rPr>
          <w:sz w:val="24"/>
        </w:rPr>
        <w:t>considerations (#</w:t>
      </w:r>
      <w:proofErr w:type="gramEnd"/>
      <w:r w:rsidR="00E56C20" w:rsidRPr="00AA4677">
        <w:rPr>
          <w:sz w:val="24"/>
        </w:rPr>
        <w:t>’s 1-7) are required for FDA-regulated research</w:t>
      </w:r>
      <w:r w:rsidR="00AE6042" w:rsidRPr="00AA4677">
        <w:rPr>
          <w:rFonts w:eastAsia="Times New Roman" w:cs="Times New Roman"/>
          <w:sz w:val="24"/>
          <w:szCs w:val="24"/>
        </w:rPr>
        <w:t xml:space="preserve">: </w:t>
      </w:r>
      <w:r w:rsidR="003F685E" w:rsidRPr="00AA4677">
        <w:rPr>
          <w:rFonts w:eastAsia="Times New Roman" w:cs="Times New Roman"/>
          <w:sz w:val="24"/>
          <w:szCs w:val="24"/>
        </w:rPr>
        <w:t xml:space="preserve"> </w:t>
      </w:r>
    </w:p>
    <w:p w14:paraId="6B10D6E5" w14:textId="77777777" w:rsidR="00AE6042" w:rsidRPr="00AA4677" w:rsidRDefault="00AE6042" w:rsidP="00C129F1">
      <w:pPr>
        <w:numPr>
          <w:ilvl w:val="0"/>
          <w:numId w:val="9"/>
        </w:numPr>
        <w:spacing w:after="120" w:line="240" w:lineRule="auto"/>
      </w:pPr>
      <w:r w:rsidRPr="00AA4677">
        <w:t xml:space="preserve">The nature, probability, and magnitude of anticipated risks to </w:t>
      </w:r>
      <w:proofErr w:type="gramStart"/>
      <w:r w:rsidRPr="00AA4677">
        <w:t>subjects;</w:t>
      </w:r>
      <w:proofErr w:type="gramEnd"/>
    </w:p>
    <w:p w14:paraId="0010F70C" w14:textId="77777777" w:rsidR="00AE6042" w:rsidRPr="00AA4677" w:rsidRDefault="00AE6042" w:rsidP="00C129F1">
      <w:pPr>
        <w:numPr>
          <w:ilvl w:val="0"/>
          <w:numId w:val="9"/>
        </w:numPr>
        <w:spacing w:after="120" w:line="240" w:lineRule="auto"/>
      </w:pPr>
      <w:r w:rsidRPr="00AA4677">
        <w:t xml:space="preserve">The degree of uncertainty regarding the risks </w:t>
      </w:r>
      <w:proofErr w:type="gramStart"/>
      <w:r w:rsidRPr="00AA4677">
        <w:t>involved;</w:t>
      </w:r>
      <w:proofErr w:type="gramEnd"/>
    </w:p>
    <w:p w14:paraId="25E2318C" w14:textId="77777777" w:rsidR="00AE6042" w:rsidRPr="00AA4677" w:rsidRDefault="00AE6042" w:rsidP="00C129F1">
      <w:pPr>
        <w:numPr>
          <w:ilvl w:val="0"/>
          <w:numId w:val="9"/>
        </w:numPr>
        <w:spacing w:after="120" w:line="240" w:lineRule="auto"/>
      </w:pPr>
      <w:r w:rsidRPr="00AA4677">
        <w:t xml:space="preserve">Whether the research involves novel therapies or </w:t>
      </w:r>
      <w:proofErr w:type="gramStart"/>
      <w:r w:rsidRPr="00AA4677">
        <w:t>procedures;</w:t>
      </w:r>
      <w:proofErr w:type="gramEnd"/>
      <w:r w:rsidRPr="00AA4677">
        <w:t xml:space="preserve">  </w:t>
      </w:r>
    </w:p>
    <w:p w14:paraId="71938573" w14:textId="77777777" w:rsidR="00AE6042" w:rsidRPr="00AA4677" w:rsidRDefault="00AE6042" w:rsidP="00C129F1">
      <w:pPr>
        <w:numPr>
          <w:ilvl w:val="0"/>
          <w:numId w:val="9"/>
        </w:numPr>
        <w:spacing w:after="120" w:line="240" w:lineRule="auto"/>
      </w:pPr>
      <w:r w:rsidRPr="00AA4677">
        <w:t>The vulnerability(</w:t>
      </w:r>
      <w:proofErr w:type="spellStart"/>
      <w:r w:rsidRPr="00AA4677">
        <w:t>ies</w:t>
      </w:r>
      <w:proofErr w:type="spellEnd"/>
      <w:r w:rsidRPr="00AA4677">
        <w:t xml:space="preserve">) of the subject </w:t>
      </w:r>
      <w:proofErr w:type="gramStart"/>
      <w:r w:rsidRPr="00AA4677">
        <w:t>population;</w:t>
      </w:r>
      <w:proofErr w:type="gramEnd"/>
    </w:p>
    <w:p w14:paraId="43738018" w14:textId="77777777" w:rsidR="00AE6042" w:rsidRPr="00AA4677" w:rsidRDefault="00AE6042" w:rsidP="00C129F1">
      <w:pPr>
        <w:numPr>
          <w:ilvl w:val="0"/>
          <w:numId w:val="9"/>
        </w:numPr>
        <w:spacing w:after="120" w:line="240" w:lineRule="auto"/>
      </w:pPr>
      <w:r w:rsidRPr="00AA4677">
        <w:t xml:space="preserve">The projected rate of </w:t>
      </w:r>
      <w:proofErr w:type="gramStart"/>
      <w:r w:rsidRPr="00AA4677">
        <w:t>enrollment;</w:t>
      </w:r>
      <w:proofErr w:type="gramEnd"/>
    </w:p>
    <w:p w14:paraId="4105E12D" w14:textId="77777777" w:rsidR="00AE6042" w:rsidRPr="00AA4677" w:rsidRDefault="00AE6042" w:rsidP="00C129F1">
      <w:pPr>
        <w:numPr>
          <w:ilvl w:val="0"/>
          <w:numId w:val="9"/>
        </w:numPr>
        <w:spacing w:after="120" w:line="240" w:lineRule="auto"/>
      </w:pPr>
      <w:r w:rsidRPr="00AA4677">
        <w:t xml:space="preserve">The experience and expertise of the </w:t>
      </w:r>
      <w:proofErr w:type="gramStart"/>
      <w:r w:rsidRPr="00AA4677">
        <w:t>investigators;</w:t>
      </w:r>
      <w:proofErr w:type="gramEnd"/>
    </w:p>
    <w:p w14:paraId="199C47A1" w14:textId="77777777" w:rsidR="00AE6042" w:rsidRPr="00AA4677" w:rsidRDefault="00AE6042" w:rsidP="00C129F1">
      <w:pPr>
        <w:numPr>
          <w:ilvl w:val="0"/>
          <w:numId w:val="9"/>
        </w:numPr>
        <w:spacing w:after="120" w:line="240" w:lineRule="auto"/>
      </w:pPr>
      <w:r w:rsidRPr="00AA4677">
        <w:t>The IRB’s previous experience with the investigators or the sponsor (e.g., compliance history, complaints from subjects, etc.</w:t>
      </w:r>
      <w:proofErr w:type="gramStart"/>
      <w:r w:rsidRPr="00AA4677">
        <w:t>);</w:t>
      </w:r>
      <w:proofErr w:type="gramEnd"/>
    </w:p>
    <w:p w14:paraId="1B749B85" w14:textId="77777777" w:rsidR="00AE6042" w:rsidRPr="00AA4677" w:rsidRDefault="00AE6042" w:rsidP="00C129F1">
      <w:pPr>
        <w:numPr>
          <w:ilvl w:val="0"/>
          <w:numId w:val="9"/>
        </w:numPr>
        <w:spacing w:after="120" w:line="240" w:lineRule="auto"/>
      </w:pPr>
      <w:r w:rsidRPr="00AA4677">
        <w:t xml:space="preserve">The probable nature and frequency of changes that may ordinarily be expected in the type of </w:t>
      </w:r>
      <w:proofErr w:type="gramStart"/>
      <w:r w:rsidRPr="00AA4677">
        <w:t>research;</w:t>
      </w:r>
      <w:proofErr w:type="gramEnd"/>
    </w:p>
    <w:p w14:paraId="637F0159" w14:textId="77777777" w:rsidR="00AE6042" w:rsidRPr="00AA4677" w:rsidRDefault="00AE6042" w:rsidP="00C129F1">
      <w:pPr>
        <w:numPr>
          <w:ilvl w:val="0"/>
          <w:numId w:val="9"/>
        </w:numPr>
        <w:spacing w:after="120" w:line="240" w:lineRule="auto"/>
      </w:pPr>
      <w:r w:rsidRPr="00AA4677">
        <w:t xml:space="preserve">Whether the research undergoes routine independent </w:t>
      </w:r>
      <w:proofErr w:type="gramStart"/>
      <w:r w:rsidRPr="00AA4677">
        <w:t>monitoring;</w:t>
      </w:r>
      <w:proofErr w:type="gramEnd"/>
    </w:p>
    <w:p w14:paraId="1A63B0D7" w14:textId="77777777" w:rsidR="00AE6042" w:rsidRPr="00AA4677" w:rsidRDefault="00AE6042" w:rsidP="00C129F1">
      <w:pPr>
        <w:numPr>
          <w:ilvl w:val="0"/>
          <w:numId w:val="9"/>
        </w:numPr>
        <w:spacing w:after="120" w:line="240" w:lineRule="auto"/>
      </w:pPr>
      <w:r w:rsidRPr="00AA4677">
        <w:t>Whether concerns about possible material changes occurring without IRB approval have been raised based on information provided in continuing review reports or from other sources; and</w:t>
      </w:r>
    </w:p>
    <w:p w14:paraId="32C80FC5" w14:textId="0CB4AEDF" w:rsidR="00AE6042" w:rsidRPr="00AA4677" w:rsidRDefault="00AE6042" w:rsidP="00C129F1">
      <w:pPr>
        <w:numPr>
          <w:ilvl w:val="0"/>
          <w:numId w:val="9"/>
        </w:numPr>
        <w:spacing w:after="120" w:line="240" w:lineRule="auto"/>
      </w:pPr>
      <w:r w:rsidRPr="00AA4677">
        <w:lastRenderedPageBreak/>
        <w:t xml:space="preserve">Any other factors that suggest independent verification </w:t>
      </w:r>
      <w:proofErr w:type="gramStart"/>
      <w:r w:rsidRPr="00AA4677">
        <w:t>is</w:t>
      </w:r>
      <w:proofErr w:type="gramEnd"/>
      <w:r w:rsidRPr="00AA4677">
        <w:t xml:space="preserve"> warranted.</w:t>
      </w:r>
    </w:p>
    <w:p w14:paraId="5F3DDF02" w14:textId="13D0227F"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any material changes have occurred without </w:t>
      </w:r>
      <w:r w:rsidR="009C3361" w:rsidRPr="00AA4677">
        <w:rPr>
          <w:rFonts w:eastAsia="Times New Roman" w:cs="Times New Roman"/>
          <w:szCs w:val="24"/>
        </w:rPr>
        <w:t>IRB</w:t>
      </w:r>
      <w:r w:rsidRPr="00AA4677">
        <w:rPr>
          <w:rFonts w:eastAsia="Times New Roman" w:cs="Times New Roman"/>
          <w:szCs w:val="24"/>
        </w:rPr>
        <w:t xml:space="preserve"> review and approval, </w:t>
      </w:r>
      <w:r w:rsidR="009C3361"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w:t>
      </w:r>
      <w:r w:rsidR="003F685E" w:rsidRPr="00AA4677">
        <w:rPr>
          <w:rFonts w:eastAsia="Times New Roman" w:cs="Times New Roman"/>
          <w:szCs w:val="24"/>
        </w:rPr>
        <w:t xml:space="preserve">assess the issue in accordance with procedures for noncompliance detailed in Section 10. </w:t>
      </w:r>
    </w:p>
    <w:p w14:paraId="63A13241" w14:textId="7EAB9E52" w:rsidR="003E7C9E" w:rsidRPr="00AA4677" w:rsidRDefault="003E7C9E" w:rsidP="00C57C98">
      <w:pPr>
        <w:pStyle w:val="Heading3"/>
      </w:pPr>
      <w:r w:rsidRPr="00AA4677">
        <w:t>3.9.4 Consent Monitoring</w:t>
      </w:r>
    </w:p>
    <w:p w14:paraId="3A11E259" w14:textId="18091663"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 reviewing the adequacy of informed consent procedures</w:t>
      </w:r>
      <w:r w:rsidR="00987025" w:rsidRPr="00AA4677">
        <w:rPr>
          <w:rFonts w:eastAsia="Times New Roman" w:cs="Times New Roman"/>
          <w:szCs w:val="24"/>
        </w:rPr>
        <w:t xml:space="preserve">, </w:t>
      </w:r>
      <w:r w:rsidR="009C3361" w:rsidRPr="00AA4677">
        <w:rPr>
          <w:rFonts w:eastAsia="Times New Roman" w:cs="Times New Roman"/>
          <w:szCs w:val="24"/>
        </w:rPr>
        <w:t>the IRB</w:t>
      </w:r>
      <w:r w:rsidRPr="00AA4677">
        <w:rPr>
          <w:rFonts w:eastAsia="Times New Roman" w:cs="Times New Roman"/>
          <w:szCs w:val="24"/>
        </w:rPr>
        <w:t xml:space="preserve"> </w:t>
      </w:r>
      <w:r w:rsidR="00126BFF">
        <w:rPr>
          <w:rFonts w:eastAsia="Times New Roman" w:cs="Times New Roman"/>
          <w:szCs w:val="24"/>
        </w:rPr>
        <w:t xml:space="preserve">may request </w:t>
      </w:r>
      <w:r w:rsidR="00987025" w:rsidRPr="00AA4677">
        <w:rPr>
          <w:rFonts w:eastAsia="Times New Roman" w:cs="Times New Roman"/>
          <w:szCs w:val="24"/>
        </w:rPr>
        <w:t>monitor</w:t>
      </w:r>
      <w:r w:rsidR="00126BFF">
        <w:rPr>
          <w:rFonts w:eastAsia="Times New Roman" w:cs="Times New Roman"/>
          <w:szCs w:val="24"/>
        </w:rPr>
        <w:t>ing of the</w:t>
      </w:r>
      <w:r w:rsidR="00987025" w:rsidRPr="00AA4677">
        <w:rPr>
          <w:rFonts w:eastAsia="Times New Roman" w:cs="Times New Roman"/>
          <w:szCs w:val="24"/>
        </w:rPr>
        <w:t xml:space="preserve"> consent processes of approved </w:t>
      </w:r>
      <w:r w:rsidR="006601E2" w:rsidRPr="00AA4677">
        <w:rPr>
          <w:rFonts w:eastAsia="Times New Roman" w:cs="Times New Roman"/>
          <w:szCs w:val="24"/>
        </w:rPr>
        <w:t>studies</w:t>
      </w:r>
      <w:r w:rsidR="00987025" w:rsidRPr="00AA4677">
        <w:rPr>
          <w:rFonts w:eastAsia="Times New Roman" w:cs="Times New Roman"/>
          <w:szCs w:val="24"/>
        </w:rPr>
        <w:t xml:space="preserve"> </w:t>
      </w:r>
      <w:r w:rsidRPr="00AA4677">
        <w:rPr>
          <w:rFonts w:eastAsia="Times New Roman" w:cs="Times New Roman"/>
          <w:szCs w:val="24"/>
        </w:rPr>
        <w:t xml:space="preserve">by an impartial observer </w:t>
      </w:r>
      <w:proofErr w:type="gramStart"/>
      <w:r w:rsidRPr="00AA4677">
        <w:rPr>
          <w:rFonts w:eastAsia="Times New Roman" w:cs="Times New Roman"/>
          <w:szCs w:val="24"/>
        </w:rPr>
        <w:t>in order to</w:t>
      </w:r>
      <w:proofErr w:type="gramEnd"/>
      <w:r w:rsidRPr="00AA4677">
        <w:rPr>
          <w:rFonts w:eastAsia="Times New Roman" w:cs="Times New Roman"/>
          <w:szCs w:val="24"/>
        </w:rPr>
        <w:t xml:space="preserve"> reduce the possibility of coercion and undue influence.</w:t>
      </w:r>
    </w:p>
    <w:p w14:paraId="5B253809" w14:textId="51C7759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Such monitoring may</w:t>
      </w:r>
      <w:r w:rsidR="00A13084">
        <w:rPr>
          <w:rFonts w:eastAsia="Times New Roman" w:cs="Times New Roman"/>
          <w:szCs w:val="24"/>
        </w:rPr>
        <w:t xml:space="preserve"> be </w:t>
      </w:r>
      <w:r w:rsidRPr="00AA4677">
        <w:rPr>
          <w:rFonts w:eastAsia="Times New Roman" w:cs="Times New Roman"/>
          <w:szCs w:val="24"/>
        </w:rPr>
        <w:t xml:space="preserve">warranted where the research presents significant risks to subjects, or if subjects are likely to have difficulty understanding the information provided. Monitoring may also be appropriate as a corrective action where </w:t>
      </w:r>
      <w:r w:rsidR="00EC66BD"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has identified problems associated with a particular investigator or a research project.</w:t>
      </w:r>
    </w:p>
    <w:p w14:paraId="529B17EB" w14:textId="77777777" w:rsidR="00855FCF" w:rsidRPr="00AA4677" w:rsidRDefault="00855FCF" w:rsidP="00C57C98">
      <w:pPr>
        <w:pStyle w:val="Heading3"/>
      </w:pPr>
      <w:r w:rsidRPr="00AA4677">
        <w:t xml:space="preserve">3.9.5 Investigator Conflicts of Interest </w:t>
      </w:r>
    </w:p>
    <w:p w14:paraId="22F17953" w14:textId="28EEAF09" w:rsidR="00855FCF" w:rsidRPr="00AA4677" w:rsidRDefault="00855FCF" w:rsidP="00855FCF">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All investigators are informed of University</w:t>
      </w:r>
      <w:r w:rsidR="007E2814" w:rsidRPr="00AA4677">
        <w:rPr>
          <w:rFonts w:eastAsia="Times New Roman" w:cs="Times New Roman"/>
          <w:szCs w:val="24"/>
        </w:rPr>
        <w:t>’s Disclosure of External Interests and Commitments</w:t>
      </w:r>
      <w:r w:rsidRPr="00AA4677">
        <w:rPr>
          <w:rFonts w:eastAsia="Times New Roman" w:cs="Times New Roman"/>
          <w:szCs w:val="24"/>
        </w:rPr>
        <w:t xml:space="preserve"> Policy and disclosures that must be completed for all investigators on the study.  Where disclosure is made that an investigator has significant financial interests, the IRB and the University COI Committee will each independently assess the existence of a financial conflict of interest, and if yes, </w:t>
      </w:r>
      <w:proofErr w:type="gramStart"/>
      <w:r w:rsidRPr="00AA4677">
        <w:rPr>
          <w:rFonts w:eastAsia="Times New Roman" w:cs="Times New Roman"/>
          <w:szCs w:val="24"/>
        </w:rPr>
        <w:t>whether or not</w:t>
      </w:r>
      <w:proofErr w:type="gramEnd"/>
      <w:r w:rsidRPr="00AA4677">
        <w:rPr>
          <w:rFonts w:eastAsia="Times New Roman" w:cs="Times New Roman"/>
          <w:szCs w:val="24"/>
        </w:rPr>
        <w:t xml:space="preserve"> the conflict can be managed, in accordance with PHS policy.  The IRB’s contribution to a resulting conflict management plan will specifically focus on the protection of human subjects. Where there is a conflict between the IRB and COI committees regarding the adequacy of a particular management plan, the IRB decision will be final. (See Section 14 for a detailed discussion of Conflict of Interest).</w:t>
      </w:r>
    </w:p>
    <w:p w14:paraId="4211F953" w14:textId="154B5861" w:rsidR="003E7C9E" w:rsidRPr="00AA4677" w:rsidRDefault="005E64CB" w:rsidP="00C57C98">
      <w:pPr>
        <w:pStyle w:val="Heading3"/>
      </w:pPr>
      <w:r w:rsidRPr="00AA4677">
        <w:t>3.9.6 </w:t>
      </w:r>
      <w:r w:rsidR="003E7C9E" w:rsidRPr="00AA4677">
        <w:t>Significant New Findings</w:t>
      </w:r>
    </w:p>
    <w:p w14:paraId="4696B061" w14:textId="73B49DB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During the course of</w:t>
      </w:r>
      <w:proofErr w:type="gramEnd"/>
      <w:r w:rsidRPr="00AA4677">
        <w:rPr>
          <w:rFonts w:eastAsia="Times New Roman" w:cs="Times New Roman"/>
          <w:szCs w:val="24"/>
        </w:rPr>
        <w:t xml:space="preserve"> research, significant new knowledge or findings about the medication or test article and/or the condition under study may develop.  The PI must report any significant new findings to </w:t>
      </w:r>
      <w:r w:rsidR="00EC66BD" w:rsidRPr="00AA4677">
        <w:rPr>
          <w:rFonts w:eastAsia="Times New Roman" w:cs="Times New Roman"/>
          <w:szCs w:val="24"/>
        </w:rPr>
        <w:t xml:space="preserve">the </w:t>
      </w:r>
      <w:proofErr w:type="gramStart"/>
      <w:r w:rsidR="00EC66BD" w:rsidRPr="00AA4677">
        <w:rPr>
          <w:rFonts w:eastAsia="Times New Roman" w:cs="Times New Roman"/>
          <w:szCs w:val="24"/>
        </w:rPr>
        <w:t>IRB</w:t>
      </w:r>
      <w:proofErr w:type="gramEnd"/>
      <w:r w:rsidRPr="00AA4677">
        <w:rPr>
          <w:rFonts w:eastAsia="Times New Roman" w:cs="Times New Roman"/>
          <w:szCs w:val="24"/>
        </w:rPr>
        <w:t xml:space="preserve"> and </w:t>
      </w:r>
      <w:r w:rsidR="00EC66BD" w:rsidRPr="00AA4677">
        <w:rPr>
          <w:rFonts w:eastAsia="Times New Roman" w:cs="Times New Roman"/>
          <w:szCs w:val="24"/>
        </w:rPr>
        <w:t>the IRB</w:t>
      </w:r>
      <w:r w:rsidRPr="00AA4677">
        <w:rPr>
          <w:rFonts w:eastAsia="Times New Roman" w:cs="Times New Roman"/>
          <w:szCs w:val="24"/>
        </w:rPr>
        <w:t xml:space="preserve"> will review them </w:t>
      </w:r>
      <w:proofErr w:type="gramStart"/>
      <w:r w:rsidRPr="00AA4677">
        <w:rPr>
          <w:rFonts w:eastAsia="Times New Roman" w:cs="Times New Roman"/>
          <w:szCs w:val="24"/>
        </w:rPr>
        <w:t>with regard to</w:t>
      </w:r>
      <w:proofErr w:type="gramEnd"/>
      <w:r w:rsidRPr="00AA4677">
        <w:rPr>
          <w:rFonts w:eastAsia="Times New Roman" w:cs="Times New Roman"/>
          <w:szCs w:val="24"/>
        </w:rPr>
        <w:t xml:space="preserve"> the impact on the subjects’ rights and welfare.  Since the new knowledge or findings may affect the risks or benefits to subjects or subjects' willingness to continue in the research, </w:t>
      </w:r>
      <w:r w:rsidR="00EC66BD" w:rsidRPr="00AA4677">
        <w:rPr>
          <w:rFonts w:eastAsia="Times New Roman" w:cs="Times New Roman"/>
          <w:szCs w:val="24"/>
        </w:rPr>
        <w:t>the IRB</w:t>
      </w:r>
      <w:r w:rsidRPr="00AA4677">
        <w:rPr>
          <w:rFonts w:eastAsia="Times New Roman" w:cs="Times New Roman"/>
          <w:szCs w:val="24"/>
        </w:rPr>
        <w:t xml:space="preserve"> may require, during the ongoing review process, that the PI contact the currently enrolled subjects to inform them of the new information via a consent addendum. </w:t>
      </w:r>
      <w:r w:rsidR="00EC66BD" w:rsidRPr="00AA4677">
        <w:rPr>
          <w:rFonts w:eastAsia="Times New Roman" w:cs="Times New Roman"/>
          <w:szCs w:val="24"/>
        </w:rPr>
        <w:t>The IRB</w:t>
      </w:r>
      <w:r w:rsidRPr="00AA4677">
        <w:rPr>
          <w:rFonts w:eastAsia="Times New Roman" w:cs="Times New Roman"/>
          <w:szCs w:val="24"/>
        </w:rPr>
        <w:t xml:space="preserve"> will communicate this to the PI. The informed consent should be </w:t>
      </w:r>
      <w:proofErr w:type="gramStart"/>
      <w:r w:rsidRPr="00AA4677">
        <w:rPr>
          <w:rFonts w:eastAsia="Times New Roman" w:cs="Times New Roman"/>
          <w:szCs w:val="24"/>
        </w:rPr>
        <w:t>updated</w:t>
      </w:r>
      <w:proofErr w:type="gramEnd"/>
      <w:r w:rsidRPr="00AA4677">
        <w:rPr>
          <w:rFonts w:eastAsia="Times New Roman" w:cs="Times New Roman"/>
          <w:szCs w:val="24"/>
        </w:rPr>
        <w:t xml:space="preserve"> and </w:t>
      </w:r>
      <w:r w:rsidR="00EC66BD" w:rsidRPr="00AA4677">
        <w:rPr>
          <w:rFonts w:eastAsia="Times New Roman" w:cs="Times New Roman"/>
          <w:szCs w:val="24"/>
        </w:rPr>
        <w:t>the IRB</w:t>
      </w:r>
      <w:r w:rsidRPr="00AA4677">
        <w:rPr>
          <w:rFonts w:eastAsia="Times New Roman" w:cs="Times New Roman"/>
          <w:szCs w:val="24"/>
        </w:rPr>
        <w:t xml:space="preserve"> may require that the currently enrolled subjects be re-consented, acknowledging receipt of this new information </w:t>
      </w:r>
      <w:proofErr w:type="gramStart"/>
      <w:r w:rsidRPr="00AA4677">
        <w:rPr>
          <w:rFonts w:eastAsia="Times New Roman" w:cs="Times New Roman"/>
          <w:szCs w:val="24"/>
        </w:rPr>
        <w:t>and for</w:t>
      </w:r>
      <w:proofErr w:type="gramEnd"/>
      <w:r w:rsidRPr="00AA4677">
        <w:rPr>
          <w:rFonts w:eastAsia="Times New Roman" w:cs="Times New Roman"/>
          <w:szCs w:val="24"/>
        </w:rPr>
        <w:t xml:space="preserve"> affirming their continued participation.</w:t>
      </w:r>
    </w:p>
    <w:p w14:paraId="1DF9612B" w14:textId="0C0F03A6" w:rsidR="003E7C9E" w:rsidRPr="00AA4677" w:rsidRDefault="003E7C9E" w:rsidP="00C57C98">
      <w:pPr>
        <w:pStyle w:val="Heading3"/>
      </w:pPr>
      <w:r w:rsidRPr="00AA4677">
        <w:lastRenderedPageBreak/>
        <w:t>3.9.7 </w:t>
      </w:r>
      <w:bookmarkStart w:id="66" w:name="_Hlk209175085"/>
      <w:r w:rsidRPr="00AA4677">
        <w:t>Advertisements</w:t>
      </w:r>
    </w:p>
    <w:p w14:paraId="03115FA1" w14:textId="5CEA4A7A" w:rsidR="003E7C9E" w:rsidRPr="00AA4677" w:rsidRDefault="00EC66BD"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IRB</w:t>
      </w:r>
      <w:r w:rsidR="003E7C9E" w:rsidRPr="00AA4677">
        <w:rPr>
          <w:rFonts w:eastAsia="Times New Roman" w:cs="Times New Roman"/>
          <w:szCs w:val="24"/>
        </w:rPr>
        <w:t xml:space="preserve"> must approve </w:t>
      </w:r>
      <w:proofErr w:type="gramStart"/>
      <w:r w:rsidR="003E7C9E" w:rsidRPr="00AA4677">
        <w:rPr>
          <w:rFonts w:eastAsia="Times New Roman" w:cs="Times New Roman"/>
          <w:szCs w:val="24"/>
        </w:rPr>
        <w:t>any and all</w:t>
      </w:r>
      <w:proofErr w:type="gramEnd"/>
      <w:r w:rsidR="003E7C9E" w:rsidRPr="00AA4677">
        <w:rPr>
          <w:rFonts w:eastAsia="Times New Roman" w:cs="Times New Roman"/>
          <w:szCs w:val="24"/>
        </w:rPr>
        <w:t xml:space="preserve"> advertisements prior to posting and/or distribution for studies that are conducted under the purview of the </w:t>
      </w:r>
      <w:r w:rsidRPr="00AA4677">
        <w:rPr>
          <w:rFonts w:eastAsia="Times New Roman" w:cs="Times New Roman"/>
          <w:szCs w:val="24"/>
        </w:rPr>
        <w:t>IRB</w:t>
      </w:r>
      <w:r w:rsidR="003E7C9E" w:rsidRPr="00AA4677">
        <w:rPr>
          <w:rFonts w:eastAsia="Times New Roman" w:cs="Times New Roman"/>
          <w:szCs w:val="24"/>
        </w:rPr>
        <w:t xml:space="preserve">. </w:t>
      </w:r>
      <w:r w:rsidRPr="00AA4677">
        <w:rPr>
          <w:rFonts w:eastAsia="Times New Roman" w:cs="Times New Roman"/>
          <w:szCs w:val="24"/>
        </w:rPr>
        <w:t xml:space="preserve">The </w:t>
      </w:r>
      <w:r w:rsidR="00987025" w:rsidRPr="00AA4677">
        <w:rPr>
          <w:rFonts w:eastAsia="Times New Roman" w:cs="Times New Roman"/>
          <w:szCs w:val="24"/>
        </w:rPr>
        <w:t xml:space="preserve">following will be </w:t>
      </w:r>
      <w:r w:rsidR="003E7C9E" w:rsidRPr="00AA4677">
        <w:rPr>
          <w:rFonts w:eastAsia="Times New Roman" w:cs="Times New Roman"/>
          <w:szCs w:val="24"/>
        </w:rPr>
        <w:t>review</w:t>
      </w:r>
      <w:r w:rsidR="00987025" w:rsidRPr="00AA4677">
        <w:rPr>
          <w:rFonts w:eastAsia="Times New Roman" w:cs="Times New Roman"/>
          <w:szCs w:val="24"/>
        </w:rPr>
        <w:t>ed</w:t>
      </w:r>
      <w:r w:rsidR="003E7C9E" w:rsidRPr="00AA4677">
        <w:rPr>
          <w:rFonts w:eastAsia="Times New Roman" w:cs="Times New Roman"/>
          <w:szCs w:val="24"/>
        </w:rPr>
        <w:t>:</w:t>
      </w:r>
    </w:p>
    <w:p w14:paraId="4C8E4F05" w14:textId="2F10B17A" w:rsidR="003E7C9E" w:rsidRPr="00AA4677" w:rsidRDefault="003E7C9E" w:rsidP="00C129F1">
      <w:pPr>
        <w:numPr>
          <w:ilvl w:val="0"/>
          <w:numId w:val="10"/>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information contained in the </w:t>
      </w:r>
      <w:proofErr w:type="gramStart"/>
      <w:r w:rsidRPr="00AA4677">
        <w:rPr>
          <w:rFonts w:eastAsia="Times New Roman" w:cs="Times New Roman"/>
          <w:szCs w:val="24"/>
        </w:rPr>
        <w:t>advertisement</w:t>
      </w:r>
      <w:r w:rsidR="00EC66BD" w:rsidRPr="00AA4677">
        <w:rPr>
          <w:rFonts w:eastAsia="Times New Roman" w:cs="Times New Roman"/>
          <w:szCs w:val="24"/>
        </w:rPr>
        <w:t>;</w:t>
      </w:r>
      <w:proofErr w:type="gramEnd"/>
    </w:p>
    <w:p w14:paraId="0A7A611E" w14:textId="67BDE604" w:rsidR="003E7C9E" w:rsidRPr="00AA4677" w:rsidRDefault="00EC66BD" w:rsidP="00C129F1">
      <w:pPr>
        <w:numPr>
          <w:ilvl w:val="0"/>
          <w:numId w:val="10"/>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mode of its </w:t>
      </w:r>
      <w:proofErr w:type="gramStart"/>
      <w:r w:rsidRPr="00AA4677">
        <w:rPr>
          <w:rFonts w:eastAsia="Times New Roman" w:cs="Times New Roman"/>
          <w:szCs w:val="24"/>
        </w:rPr>
        <w:t>communication;</w:t>
      </w:r>
      <w:proofErr w:type="gramEnd"/>
    </w:p>
    <w:p w14:paraId="13EC6E67" w14:textId="5CB27A8B" w:rsidR="003E7C9E" w:rsidRPr="00AA4677" w:rsidRDefault="003E7C9E" w:rsidP="00C129F1">
      <w:pPr>
        <w:numPr>
          <w:ilvl w:val="0"/>
          <w:numId w:val="10"/>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The final copy of printed advert</w:t>
      </w:r>
      <w:r w:rsidR="00EC66BD" w:rsidRPr="00AA4677">
        <w:rPr>
          <w:rFonts w:eastAsia="Times New Roman" w:cs="Times New Roman"/>
          <w:szCs w:val="24"/>
        </w:rPr>
        <w:t>isement; and/or</w:t>
      </w:r>
    </w:p>
    <w:p w14:paraId="7054293A" w14:textId="77777777" w:rsidR="003E7C9E" w:rsidRPr="00AA4677" w:rsidRDefault="003E7C9E" w:rsidP="00C129F1">
      <w:pPr>
        <w:numPr>
          <w:ilvl w:val="0"/>
          <w:numId w:val="10"/>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The final audio/video taped advertisements.</w:t>
      </w:r>
    </w:p>
    <w:p w14:paraId="67BE7EAB" w14:textId="23381E3D"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This information should be submitted to </w:t>
      </w:r>
      <w:r w:rsidR="00EC66BD" w:rsidRPr="00AA4677">
        <w:rPr>
          <w:rFonts w:eastAsia="Times New Roman" w:cs="Times New Roman"/>
          <w:szCs w:val="24"/>
        </w:rPr>
        <w:t>the IRB</w:t>
      </w:r>
      <w:r w:rsidRPr="00AA4677">
        <w:rPr>
          <w:rFonts w:eastAsia="Times New Roman" w:cs="Times New Roman"/>
          <w:szCs w:val="24"/>
        </w:rPr>
        <w:t xml:space="preserve"> with the initial application or as an addendum to the protocol.</w:t>
      </w:r>
    </w:p>
    <w:p w14:paraId="120E55D8" w14:textId="1CB7AC79" w:rsidR="003E7C9E" w:rsidRPr="00AA4677" w:rsidRDefault="00EC66BD"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IRB</w:t>
      </w:r>
      <w:r w:rsidR="003E7C9E" w:rsidRPr="00AA4677">
        <w:rPr>
          <w:rFonts w:eastAsia="Times New Roman" w:cs="Times New Roman"/>
          <w:szCs w:val="24"/>
        </w:rPr>
        <w:t xml:space="preserve"> reviews the material to assure that the material is accurate and is not coercive or unduly optimistic, creating undue influence </w:t>
      </w:r>
      <w:proofErr w:type="gramStart"/>
      <w:r w:rsidR="003E7C9E" w:rsidRPr="00AA4677">
        <w:rPr>
          <w:rFonts w:eastAsia="Times New Roman" w:cs="Times New Roman"/>
          <w:szCs w:val="24"/>
        </w:rPr>
        <w:t>to</w:t>
      </w:r>
      <w:proofErr w:type="gramEnd"/>
      <w:r w:rsidR="003E7C9E" w:rsidRPr="00AA4677">
        <w:rPr>
          <w:rFonts w:eastAsia="Times New Roman" w:cs="Times New Roman"/>
          <w:szCs w:val="24"/>
        </w:rPr>
        <w:t xml:space="preserve"> the subject to </w:t>
      </w:r>
      <w:r w:rsidRPr="00AA4677">
        <w:rPr>
          <w:rFonts w:eastAsia="Times New Roman" w:cs="Times New Roman"/>
          <w:szCs w:val="24"/>
        </w:rPr>
        <w:t>participate</w:t>
      </w:r>
      <w:r w:rsidR="002B28C3">
        <w:rPr>
          <w:rFonts w:eastAsia="Times New Roman" w:cs="Times New Roman"/>
          <w:szCs w:val="24"/>
        </w:rPr>
        <w:t>. The information should include</w:t>
      </w:r>
      <w:r w:rsidR="00475FED" w:rsidRPr="00AA4677">
        <w:rPr>
          <w:rFonts w:eastAsia="Times New Roman" w:cs="Times New Roman"/>
          <w:szCs w:val="24"/>
        </w:rPr>
        <w:t>,</w:t>
      </w:r>
      <w:r w:rsidR="003E7C9E" w:rsidRPr="00AA4677">
        <w:rPr>
          <w:rFonts w:eastAsia="Times New Roman" w:cs="Times New Roman"/>
          <w:szCs w:val="24"/>
        </w:rPr>
        <w:t xml:space="preserve"> but is not limited to:</w:t>
      </w:r>
    </w:p>
    <w:p w14:paraId="4AFFEC47" w14:textId="4A8F933C" w:rsidR="003E7C9E" w:rsidRDefault="003E7C9E" w:rsidP="00C129F1">
      <w:pPr>
        <w:numPr>
          <w:ilvl w:val="0"/>
          <w:numId w:val="11"/>
        </w:numPr>
        <w:shd w:val="clear" w:color="auto" w:fill="FFFFFF"/>
        <w:tabs>
          <w:tab w:val="clear" w:pos="360"/>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Statements implying a certainty of favorable outcome or other benefits beyond what was outlined in the consent document and the protocol</w:t>
      </w:r>
    </w:p>
    <w:p w14:paraId="57182B18" w14:textId="77777777" w:rsidR="003E7C9E" w:rsidRPr="00AA4677" w:rsidRDefault="003E7C9E" w:rsidP="00C129F1">
      <w:pPr>
        <w:numPr>
          <w:ilvl w:val="0"/>
          <w:numId w:val="11"/>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Claims, either explicitly or implicitly, that the drug, biologic or device was safe or effective for the purposes under investigation</w:t>
      </w:r>
    </w:p>
    <w:p w14:paraId="553A269D" w14:textId="77777777" w:rsidR="003E7C9E" w:rsidRPr="00AA4677" w:rsidRDefault="003E7C9E" w:rsidP="00C129F1">
      <w:pPr>
        <w:numPr>
          <w:ilvl w:val="0"/>
          <w:numId w:val="11"/>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Claims, either explicitly or implicitly, that the test article was known to be equivalent or superior to any other drug, </w:t>
      </w:r>
      <w:proofErr w:type="gramStart"/>
      <w:r w:rsidRPr="00AA4677">
        <w:rPr>
          <w:rFonts w:eastAsia="Times New Roman" w:cs="Times New Roman"/>
          <w:szCs w:val="24"/>
        </w:rPr>
        <w:t>biologic</w:t>
      </w:r>
      <w:proofErr w:type="gramEnd"/>
      <w:r w:rsidRPr="00AA4677">
        <w:rPr>
          <w:rFonts w:eastAsia="Times New Roman" w:cs="Times New Roman"/>
          <w:szCs w:val="24"/>
        </w:rPr>
        <w:t xml:space="preserve"> or device</w:t>
      </w:r>
    </w:p>
    <w:p w14:paraId="32E82848" w14:textId="44A25F8C" w:rsidR="003E7C9E" w:rsidRPr="00AA4677" w:rsidRDefault="003E7C9E" w:rsidP="00C129F1">
      <w:pPr>
        <w:numPr>
          <w:ilvl w:val="0"/>
          <w:numId w:val="11"/>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Using terms like “new treatment,” “new medication,” or “new drug” </w:t>
      </w:r>
    </w:p>
    <w:p w14:paraId="0F5E246E" w14:textId="6BE3D666" w:rsidR="003E7C9E" w:rsidRPr="00AA4677" w:rsidRDefault="003E7C9E" w:rsidP="00C129F1">
      <w:pPr>
        <w:numPr>
          <w:ilvl w:val="0"/>
          <w:numId w:val="11"/>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Promising “free medical treatment” when the intent was only to say </w:t>
      </w:r>
      <w:r w:rsidR="00BF7470" w:rsidRPr="00AA4677">
        <w:rPr>
          <w:rFonts w:eastAsia="Times New Roman" w:cs="Times New Roman"/>
          <w:szCs w:val="24"/>
        </w:rPr>
        <w:t>subject</w:t>
      </w:r>
      <w:r w:rsidRPr="00AA4677">
        <w:rPr>
          <w:rFonts w:eastAsia="Times New Roman" w:cs="Times New Roman"/>
          <w:szCs w:val="24"/>
        </w:rPr>
        <w:t>s will not be charged for taking part in the investigation</w:t>
      </w:r>
    </w:p>
    <w:p w14:paraId="29A8545F" w14:textId="1EA4F846" w:rsidR="003E7C9E" w:rsidRPr="00AA4677" w:rsidRDefault="003E7C9E" w:rsidP="00C129F1">
      <w:pPr>
        <w:numPr>
          <w:ilvl w:val="0"/>
          <w:numId w:val="11"/>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Emphasis on payment or the amount to be paid, such as bold type or larger font on printed media</w:t>
      </w:r>
    </w:p>
    <w:p w14:paraId="39B99422" w14:textId="6DC57111" w:rsidR="003E7C9E" w:rsidRPr="00AA4677" w:rsidRDefault="003E7C9E" w:rsidP="00C129F1">
      <w:pPr>
        <w:numPr>
          <w:ilvl w:val="0"/>
          <w:numId w:val="11"/>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The inclusion of exculpatory language.</w:t>
      </w:r>
    </w:p>
    <w:p w14:paraId="1F74AB1A" w14:textId="7777777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Any advertisement to recruit subjects should be limited to the information the prospective subjects need to determine their eligibility and interest. When appropriately worded, the following items may be included:</w:t>
      </w:r>
    </w:p>
    <w:p w14:paraId="59D4DA9D" w14:textId="77777777" w:rsidR="003E7C9E" w:rsidRPr="00AA4677" w:rsidRDefault="003E7C9E" w:rsidP="00C129F1">
      <w:pPr>
        <w:numPr>
          <w:ilvl w:val="0"/>
          <w:numId w:val="12"/>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The name and address of the clinical investigator and/or research facility.</w:t>
      </w:r>
    </w:p>
    <w:p w14:paraId="49011F6F" w14:textId="7BB32F47" w:rsidR="00581689" w:rsidRDefault="00581689" w:rsidP="00C129F1">
      <w:pPr>
        <w:numPr>
          <w:ilvl w:val="0"/>
          <w:numId w:val="12"/>
        </w:numPr>
        <w:shd w:val="clear" w:color="auto" w:fill="FFFFFF"/>
        <w:tabs>
          <w:tab w:val="clear" w:pos="360"/>
          <w:tab w:val="num" w:pos="-360"/>
        </w:tabs>
        <w:spacing w:before="100" w:beforeAutospacing="1" w:after="100" w:afterAutospacing="1" w:line="240" w:lineRule="auto"/>
        <w:rPr>
          <w:rFonts w:eastAsia="Times New Roman" w:cs="Times New Roman"/>
          <w:szCs w:val="24"/>
        </w:rPr>
      </w:pPr>
      <w:r>
        <w:rPr>
          <w:rFonts w:eastAsia="Times New Roman" w:cs="Times New Roman"/>
          <w:szCs w:val="24"/>
        </w:rPr>
        <w:t>The study number (part of the myResearch IRB stamp)</w:t>
      </w:r>
    </w:p>
    <w:p w14:paraId="55D38E87" w14:textId="39D55A97" w:rsidR="003E7C9E" w:rsidRPr="00AA4677" w:rsidRDefault="003E7C9E" w:rsidP="00C129F1">
      <w:pPr>
        <w:numPr>
          <w:ilvl w:val="0"/>
          <w:numId w:val="12"/>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The condition being studied and/or the purpose of the research.</w:t>
      </w:r>
    </w:p>
    <w:p w14:paraId="300FB48D" w14:textId="77777777" w:rsidR="003E7C9E" w:rsidRPr="00AA4677" w:rsidRDefault="003E7C9E" w:rsidP="00C129F1">
      <w:pPr>
        <w:numPr>
          <w:ilvl w:val="0"/>
          <w:numId w:val="12"/>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In summary form, the criteria that will be used to determine eligibility for the study.</w:t>
      </w:r>
    </w:p>
    <w:p w14:paraId="658E4117" w14:textId="77777777" w:rsidR="003E7C9E" w:rsidRPr="00AA4677" w:rsidRDefault="003E7C9E" w:rsidP="00C129F1">
      <w:pPr>
        <w:numPr>
          <w:ilvl w:val="0"/>
          <w:numId w:val="12"/>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The time or other commitment required of the subjects.</w:t>
      </w:r>
    </w:p>
    <w:p w14:paraId="1D63EE38" w14:textId="77777777" w:rsidR="003E7C9E" w:rsidRPr="00AA4677" w:rsidRDefault="003E7C9E" w:rsidP="00C129F1">
      <w:pPr>
        <w:numPr>
          <w:ilvl w:val="0"/>
          <w:numId w:val="12"/>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The location of the research and the person or office to contact for further information.</w:t>
      </w:r>
    </w:p>
    <w:p w14:paraId="1DB68C2C" w14:textId="77777777" w:rsidR="003E7C9E" w:rsidRPr="00AA4677" w:rsidRDefault="003E7C9E" w:rsidP="00C129F1">
      <w:pPr>
        <w:numPr>
          <w:ilvl w:val="0"/>
          <w:numId w:val="12"/>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A clear statement that this is research and not treatment.</w:t>
      </w:r>
    </w:p>
    <w:p w14:paraId="7F2C45CD" w14:textId="0843715F" w:rsidR="003E7C9E" w:rsidRPr="00AA4677" w:rsidRDefault="003E7C9E" w:rsidP="00C129F1">
      <w:pPr>
        <w:numPr>
          <w:ilvl w:val="0"/>
          <w:numId w:val="12"/>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A brief list of pot</w:t>
      </w:r>
      <w:r w:rsidR="00895DC6" w:rsidRPr="00AA4677">
        <w:rPr>
          <w:rFonts w:eastAsia="Times New Roman" w:cs="Times New Roman"/>
          <w:szCs w:val="24"/>
        </w:rPr>
        <w:t>ential benefits (e.g. no cost for a</w:t>
      </w:r>
      <w:r w:rsidRPr="00AA4677">
        <w:rPr>
          <w:rFonts w:eastAsia="Times New Roman" w:cs="Times New Roman"/>
          <w:szCs w:val="24"/>
        </w:rPr>
        <w:t xml:space="preserve"> health exam).</w:t>
      </w:r>
    </w:p>
    <w:p w14:paraId="607ED729" w14:textId="0B5995ED" w:rsidR="003E7C9E" w:rsidRPr="00666DF0" w:rsidRDefault="003E7C9E" w:rsidP="00C129F1">
      <w:pPr>
        <w:numPr>
          <w:ilvl w:val="0"/>
          <w:numId w:val="12"/>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666DF0">
        <w:rPr>
          <w:rFonts w:eastAsia="Times New Roman" w:cs="Times New Roman"/>
          <w:szCs w:val="24"/>
        </w:rPr>
        <w:t xml:space="preserve">Advertisements </w:t>
      </w:r>
      <w:r w:rsidR="00581689" w:rsidRPr="00666DF0">
        <w:rPr>
          <w:rFonts w:eastAsia="Times New Roman" w:cs="Times New Roman"/>
          <w:szCs w:val="24"/>
        </w:rPr>
        <w:t>may include compensation but should</w:t>
      </w:r>
      <w:r w:rsidRPr="00666DF0">
        <w:rPr>
          <w:rFonts w:eastAsia="Times New Roman" w:cs="Times New Roman"/>
          <w:szCs w:val="24"/>
        </w:rPr>
        <w:t xml:space="preserve"> not include compensation for participation in a trial offered by a sponsor t</w:t>
      </w:r>
      <w:r w:rsidR="002B28C3" w:rsidRPr="00666DF0">
        <w:rPr>
          <w:rFonts w:eastAsia="Times New Roman" w:cs="Times New Roman"/>
          <w:szCs w:val="24"/>
        </w:rPr>
        <w:t>hat</w:t>
      </w:r>
      <w:r w:rsidRPr="00666DF0">
        <w:rPr>
          <w:rFonts w:eastAsia="Times New Roman" w:cs="Times New Roman"/>
          <w:szCs w:val="24"/>
        </w:rPr>
        <w:t xml:space="preserve"> involve</w:t>
      </w:r>
      <w:r w:rsidR="002B28C3" w:rsidRPr="00666DF0">
        <w:rPr>
          <w:rFonts w:eastAsia="Times New Roman" w:cs="Times New Roman"/>
          <w:szCs w:val="24"/>
        </w:rPr>
        <w:t>s</w:t>
      </w:r>
      <w:r w:rsidRPr="00666DF0">
        <w:rPr>
          <w:rFonts w:eastAsia="Times New Roman" w:cs="Times New Roman"/>
          <w:szCs w:val="24"/>
        </w:rPr>
        <w:t xml:space="preserve"> a coupon good for a discount on the purchase price of the product once it has been approved for marketing.</w:t>
      </w:r>
    </w:p>
    <w:p w14:paraId="42510698" w14:textId="73D0719C" w:rsidR="002B28C3" w:rsidRPr="00666DF0" w:rsidRDefault="00C46F32" w:rsidP="003E7C9E">
      <w:pPr>
        <w:shd w:val="clear" w:color="auto" w:fill="FFFFFF"/>
        <w:spacing w:before="100" w:beforeAutospacing="1" w:after="100" w:afterAutospacing="1" w:line="240" w:lineRule="auto"/>
        <w:rPr>
          <w:rFonts w:eastAsia="Times New Roman" w:cs="Times New Roman"/>
          <w:szCs w:val="24"/>
        </w:rPr>
      </w:pPr>
      <w:r>
        <w:rPr>
          <w:rFonts w:eastAsia="Times New Roman" w:cs="Times New Roman"/>
          <w:szCs w:val="24"/>
        </w:rPr>
        <w:t>Helpful hints to c</w:t>
      </w:r>
      <w:r w:rsidR="002B28C3" w:rsidRPr="00666DF0">
        <w:rPr>
          <w:rFonts w:eastAsia="Times New Roman" w:cs="Times New Roman"/>
          <w:szCs w:val="24"/>
        </w:rPr>
        <w:t>onside</w:t>
      </w:r>
      <w:r>
        <w:rPr>
          <w:rFonts w:eastAsia="Times New Roman" w:cs="Times New Roman"/>
          <w:szCs w:val="24"/>
        </w:rPr>
        <w:t>r</w:t>
      </w:r>
      <w:r w:rsidR="002B28C3" w:rsidRPr="00666DF0">
        <w:rPr>
          <w:rFonts w:eastAsia="Times New Roman" w:cs="Times New Roman"/>
          <w:szCs w:val="24"/>
        </w:rPr>
        <w:t xml:space="preserve"> when designing recruitment materials:</w:t>
      </w:r>
    </w:p>
    <w:p w14:paraId="02634D1D" w14:textId="39CFC1DF" w:rsidR="002B28C3" w:rsidRPr="00666DF0" w:rsidRDefault="002B28C3" w:rsidP="002B28C3">
      <w:pPr>
        <w:pStyle w:val="ListParagraph"/>
        <w:numPr>
          <w:ilvl w:val="0"/>
          <w:numId w:val="344"/>
        </w:numPr>
        <w:shd w:val="clear" w:color="auto" w:fill="FFFFFF"/>
        <w:spacing w:before="100" w:beforeAutospacing="1" w:after="100" w:afterAutospacing="1" w:line="240" w:lineRule="auto"/>
        <w:rPr>
          <w:rFonts w:eastAsia="Times New Roman" w:cs="Times New Roman"/>
          <w:szCs w:val="24"/>
        </w:rPr>
      </w:pPr>
      <w:r w:rsidRPr="00666DF0">
        <w:rPr>
          <w:rFonts w:eastAsia="Times New Roman" w:cs="Times New Roman"/>
          <w:szCs w:val="24"/>
        </w:rPr>
        <w:t>A headline that speaks to the target audience – if recruitment material is hanging on a wall among dozens of other study flyers, what would make it stand out</w:t>
      </w:r>
    </w:p>
    <w:p w14:paraId="28959A68" w14:textId="417EB6A3" w:rsidR="000D50DB" w:rsidRPr="00666DF0" w:rsidRDefault="000D50DB" w:rsidP="009700BD">
      <w:pPr>
        <w:pStyle w:val="ListParagraph"/>
        <w:numPr>
          <w:ilvl w:val="1"/>
          <w:numId w:val="344"/>
        </w:numPr>
        <w:shd w:val="clear" w:color="auto" w:fill="FFFFFF"/>
        <w:spacing w:before="100" w:beforeAutospacing="1" w:after="100" w:afterAutospacing="1" w:line="240" w:lineRule="auto"/>
        <w:ind w:left="720"/>
        <w:rPr>
          <w:rFonts w:eastAsia="Times New Roman" w:cs="Times New Roman"/>
          <w:szCs w:val="24"/>
        </w:rPr>
      </w:pPr>
      <w:r w:rsidRPr="00666DF0">
        <w:rPr>
          <w:rFonts w:eastAsia="Times New Roman" w:cs="Times New Roman"/>
          <w:szCs w:val="24"/>
        </w:rPr>
        <w:t xml:space="preserve">Language such as “Research Study Seeking Participants” can be too generic. Consider a headline that </w:t>
      </w:r>
      <w:r w:rsidR="009700BD" w:rsidRPr="00666DF0">
        <w:rPr>
          <w:rFonts w:eastAsia="Times New Roman" w:cs="Times New Roman"/>
          <w:szCs w:val="24"/>
        </w:rPr>
        <w:t xml:space="preserve">directly states the purpose of the study. For </w:t>
      </w:r>
      <w:proofErr w:type="gramStart"/>
      <w:r w:rsidR="009700BD" w:rsidRPr="00666DF0">
        <w:rPr>
          <w:rFonts w:eastAsia="Times New Roman" w:cs="Times New Roman"/>
          <w:szCs w:val="24"/>
        </w:rPr>
        <w:t>example</w:t>
      </w:r>
      <w:proofErr w:type="gramEnd"/>
      <w:r w:rsidR="009700BD" w:rsidRPr="00666DF0">
        <w:rPr>
          <w:rFonts w:eastAsia="Times New Roman" w:cs="Times New Roman"/>
          <w:szCs w:val="24"/>
        </w:rPr>
        <w:t xml:space="preserve"> “Do you have migraines?” or “Lookin</w:t>
      </w:r>
      <w:r w:rsidR="00AF0AD0">
        <w:rPr>
          <w:rFonts w:eastAsia="Times New Roman" w:cs="Times New Roman"/>
          <w:szCs w:val="24"/>
        </w:rPr>
        <w:t>g</w:t>
      </w:r>
      <w:r w:rsidR="009700BD" w:rsidRPr="00666DF0">
        <w:rPr>
          <w:rFonts w:eastAsia="Times New Roman" w:cs="Times New Roman"/>
          <w:szCs w:val="24"/>
        </w:rPr>
        <w:t xml:space="preserve"> for ways to improve memory after age 50?”</w:t>
      </w:r>
    </w:p>
    <w:p w14:paraId="62B47427" w14:textId="79B59787" w:rsidR="000D50DB" w:rsidRPr="00666DF0" w:rsidRDefault="002B28C3" w:rsidP="009700BD">
      <w:pPr>
        <w:pStyle w:val="ListParagraph"/>
        <w:numPr>
          <w:ilvl w:val="0"/>
          <w:numId w:val="344"/>
        </w:numPr>
        <w:shd w:val="clear" w:color="auto" w:fill="FFFFFF"/>
        <w:spacing w:before="100" w:beforeAutospacing="1" w:after="100" w:afterAutospacing="1" w:line="240" w:lineRule="auto"/>
        <w:rPr>
          <w:rFonts w:eastAsia="Times New Roman" w:cs="Times New Roman"/>
          <w:szCs w:val="24"/>
        </w:rPr>
      </w:pPr>
      <w:r w:rsidRPr="00666DF0">
        <w:rPr>
          <w:rFonts w:eastAsia="Times New Roman" w:cs="Times New Roman"/>
          <w:szCs w:val="24"/>
        </w:rPr>
        <w:t>An image relevant to the target audien</w:t>
      </w:r>
      <w:r w:rsidR="000D50DB" w:rsidRPr="00666DF0">
        <w:rPr>
          <w:rFonts w:eastAsia="Times New Roman" w:cs="Times New Roman"/>
          <w:szCs w:val="24"/>
        </w:rPr>
        <w:t>ce</w:t>
      </w:r>
      <w:r w:rsidRPr="00666DF0">
        <w:rPr>
          <w:rFonts w:eastAsia="Times New Roman" w:cs="Times New Roman"/>
          <w:szCs w:val="24"/>
        </w:rPr>
        <w:t xml:space="preserve"> – photos and images can draw interest f</w:t>
      </w:r>
      <w:r w:rsidR="000D50DB" w:rsidRPr="00666DF0">
        <w:rPr>
          <w:rFonts w:eastAsia="Times New Roman" w:cs="Times New Roman"/>
          <w:szCs w:val="24"/>
        </w:rPr>
        <w:t>ro</w:t>
      </w:r>
      <w:r w:rsidRPr="00666DF0">
        <w:rPr>
          <w:rFonts w:eastAsia="Times New Roman" w:cs="Times New Roman"/>
          <w:szCs w:val="24"/>
        </w:rPr>
        <w:t>m potential participants</w:t>
      </w:r>
    </w:p>
    <w:p w14:paraId="0AAEB4B5" w14:textId="7CD2772D" w:rsidR="002B28C3" w:rsidRPr="00666DF0" w:rsidRDefault="002B28C3" w:rsidP="003E7C9E">
      <w:pPr>
        <w:pStyle w:val="ListParagraph"/>
        <w:numPr>
          <w:ilvl w:val="0"/>
          <w:numId w:val="344"/>
        </w:numPr>
        <w:shd w:val="clear" w:color="auto" w:fill="FFFFFF"/>
        <w:spacing w:before="100" w:beforeAutospacing="1" w:after="100" w:afterAutospacing="1" w:line="240" w:lineRule="auto"/>
        <w:rPr>
          <w:rFonts w:eastAsia="Times New Roman" w:cs="Times New Roman"/>
          <w:szCs w:val="24"/>
        </w:rPr>
      </w:pPr>
      <w:r w:rsidRPr="00666DF0">
        <w:rPr>
          <w:rFonts w:eastAsia="Times New Roman" w:cs="Times New Roman"/>
          <w:szCs w:val="24"/>
        </w:rPr>
        <w:t>A QR code</w:t>
      </w:r>
      <w:r w:rsidR="009700BD" w:rsidRPr="00666DF0">
        <w:rPr>
          <w:rFonts w:eastAsia="Times New Roman" w:cs="Times New Roman"/>
          <w:szCs w:val="24"/>
        </w:rPr>
        <w:t xml:space="preserve"> </w:t>
      </w:r>
      <w:r w:rsidRPr="00666DF0">
        <w:rPr>
          <w:rFonts w:eastAsia="Times New Roman" w:cs="Times New Roman"/>
          <w:szCs w:val="24"/>
        </w:rPr>
        <w:t>used on the recruitment material that allows the potential participants to access the study screening form</w:t>
      </w:r>
    </w:p>
    <w:p w14:paraId="38D2BE50" w14:textId="7F107995" w:rsidR="002B28C3" w:rsidRPr="00666DF0" w:rsidRDefault="009700BD" w:rsidP="003E7C9E">
      <w:pPr>
        <w:pStyle w:val="ListParagraph"/>
        <w:numPr>
          <w:ilvl w:val="0"/>
          <w:numId w:val="344"/>
        </w:numPr>
        <w:shd w:val="clear" w:color="auto" w:fill="FFFFFF"/>
        <w:spacing w:before="100" w:beforeAutospacing="1" w:after="100" w:afterAutospacing="1" w:line="240" w:lineRule="auto"/>
        <w:rPr>
          <w:rFonts w:eastAsia="Times New Roman" w:cs="Times New Roman"/>
          <w:szCs w:val="24"/>
        </w:rPr>
      </w:pPr>
      <w:r w:rsidRPr="00666DF0">
        <w:rPr>
          <w:rFonts w:eastAsia="Times New Roman" w:cs="Times New Roman"/>
          <w:szCs w:val="24"/>
        </w:rPr>
        <w:t>T</w:t>
      </w:r>
      <w:r w:rsidR="002B28C3" w:rsidRPr="00666DF0">
        <w:rPr>
          <w:rFonts w:eastAsia="Times New Roman" w:cs="Times New Roman"/>
          <w:szCs w:val="24"/>
        </w:rPr>
        <w:t>ear-offs</w:t>
      </w:r>
      <w:r w:rsidRPr="00666DF0">
        <w:rPr>
          <w:rFonts w:eastAsia="Times New Roman" w:cs="Times New Roman"/>
          <w:szCs w:val="24"/>
        </w:rPr>
        <w:t xml:space="preserve"> for individuals interested in contacting the study team for possible participation</w:t>
      </w:r>
    </w:p>
    <w:bookmarkEnd w:id="66"/>
    <w:p w14:paraId="7D112C50" w14:textId="3976BC2D"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Once approved by the</w:t>
      </w:r>
      <w:r w:rsidR="00DC5138" w:rsidRPr="00AA4677">
        <w:rPr>
          <w:rFonts w:eastAsia="Times New Roman" w:cs="Times New Roman"/>
          <w:szCs w:val="24"/>
        </w:rPr>
        <w:t xml:space="preserve"> I</w:t>
      </w:r>
      <w:r w:rsidR="00EC66BD" w:rsidRPr="00AA4677">
        <w:rPr>
          <w:rFonts w:eastAsia="Times New Roman" w:cs="Times New Roman"/>
          <w:szCs w:val="24"/>
        </w:rPr>
        <w:t>RB</w:t>
      </w:r>
      <w:r w:rsidRPr="00AA4677">
        <w:rPr>
          <w:rFonts w:eastAsia="Times New Roman" w:cs="Times New Roman"/>
          <w:szCs w:val="24"/>
        </w:rPr>
        <w:t xml:space="preserve">, an advertisement cannot be altered or manipulated in any way without prior </w:t>
      </w:r>
      <w:r w:rsidR="00EC66BD" w:rsidRPr="00AA4677">
        <w:rPr>
          <w:rFonts w:eastAsia="Times New Roman" w:cs="Times New Roman"/>
          <w:szCs w:val="24"/>
        </w:rPr>
        <w:t>IRB</w:t>
      </w:r>
      <w:r w:rsidRPr="00AA4677">
        <w:rPr>
          <w:rFonts w:eastAsia="Times New Roman" w:cs="Times New Roman"/>
          <w:szCs w:val="24"/>
        </w:rPr>
        <w:t xml:space="preserve"> approval. </w:t>
      </w:r>
    </w:p>
    <w:p w14:paraId="16DDF2E6" w14:textId="191A1C86" w:rsidR="003E7C9E" w:rsidRPr="00AA4677" w:rsidRDefault="003E7C9E" w:rsidP="00C57C98">
      <w:pPr>
        <w:pStyle w:val="Heading3"/>
      </w:pPr>
      <w:r w:rsidRPr="00AA4677">
        <w:t>3.9.8 Payment to Research Subjects</w:t>
      </w:r>
    </w:p>
    <w:p w14:paraId="5BBC2284" w14:textId="4EE9EB8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Payment to research subjects may be an incentive for participation or a way to reimburse a subject for travel and other experiences incurred due to participation. However, payment for participation is not considered a research benefit.  Regardless of the form of remuneration, investigators must take care to avoid coercion of subjects.  Payments should reflect the degree of risk, inconvenience, or discomfort associated </w:t>
      </w:r>
      <w:r w:rsidR="00E25287" w:rsidRPr="00AA4677">
        <w:rPr>
          <w:rFonts w:eastAsia="Times New Roman" w:cs="Times New Roman"/>
          <w:szCs w:val="24"/>
        </w:rPr>
        <w:t>with participation. The amount o</w:t>
      </w:r>
      <w:r w:rsidRPr="00AA4677">
        <w:rPr>
          <w:rFonts w:eastAsia="Times New Roman" w:cs="Times New Roman"/>
          <w:szCs w:val="24"/>
        </w:rPr>
        <w:t>f compensation must be proportional to the risks and inconveniences posed by participation in the study.</w:t>
      </w:r>
    </w:p>
    <w:p w14:paraId="5B850E4C" w14:textId="7777777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Investigators who wish to pay research subjects must indicate in their research project application the justification for such payment. Such justification should:</w:t>
      </w:r>
    </w:p>
    <w:p w14:paraId="1A826C7A" w14:textId="77777777" w:rsidR="003E7C9E" w:rsidRPr="00AA4677" w:rsidRDefault="003E7C9E" w:rsidP="00C129F1">
      <w:pPr>
        <w:numPr>
          <w:ilvl w:val="0"/>
          <w:numId w:val="13"/>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Substantiate that proposed payments are reasonable and commensurate with the expected contributions </w:t>
      </w:r>
      <w:proofErr w:type="gramStart"/>
      <w:r w:rsidRPr="00AA4677">
        <w:rPr>
          <w:rFonts w:eastAsia="Times New Roman" w:cs="Times New Roman"/>
          <w:szCs w:val="24"/>
        </w:rPr>
        <w:t>of</w:t>
      </w:r>
      <w:proofErr w:type="gramEnd"/>
      <w:r w:rsidRPr="00AA4677">
        <w:rPr>
          <w:rFonts w:eastAsia="Times New Roman" w:cs="Times New Roman"/>
          <w:szCs w:val="24"/>
        </w:rPr>
        <w:t xml:space="preserve"> the </w:t>
      </w:r>
      <w:proofErr w:type="gramStart"/>
      <w:r w:rsidRPr="00AA4677">
        <w:rPr>
          <w:rFonts w:eastAsia="Times New Roman" w:cs="Times New Roman"/>
          <w:szCs w:val="24"/>
        </w:rPr>
        <w:t>subject;</w:t>
      </w:r>
      <w:proofErr w:type="gramEnd"/>
    </w:p>
    <w:p w14:paraId="18884942" w14:textId="77777777" w:rsidR="003E7C9E" w:rsidRPr="00AA4677" w:rsidRDefault="003E7C9E" w:rsidP="00C129F1">
      <w:pPr>
        <w:numPr>
          <w:ilvl w:val="0"/>
          <w:numId w:val="13"/>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t>State the terms of the subject participation agreement and the amount of payment in the informed consent form; and</w:t>
      </w:r>
    </w:p>
    <w:p w14:paraId="3F6F20A6" w14:textId="35A03D03" w:rsidR="003E7C9E" w:rsidRPr="00AA4677" w:rsidRDefault="003E7C9E" w:rsidP="00C129F1">
      <w:pPr>
        <w:numPr>
          <w:ilvl w:val="0"/>
          <w:numId w:val="13"/>
        </w:numPr>
        <w:shd w:val="clear" w:color="auto" w:fill="FFFFFF"/>
        <w:tabs>
          <w:tab w:val="clear" w:pos="360"/>
          <w:tab w:val="num" w:pos="-360"/>
        </w:tabs>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Substantiate that subject payments are fair and appropriate, and that they do not constitute (or appear to constitute) undue pressure on the </w:t>
      </w:r>
      <w:r w:rsidR="00794990" w:rsidRPr="00AA4677">
        <w:rPr>
          <w:rFonts w:eastAsia="Times New Roman" w:cs="Times New Roman"/>
          <w:szCs w:val="24"/>
        </w:rPr>
        <w:t>individual</w:t>
      </w:r>
      <w:r w:rsidRPr="00AA4677">
        <w:rPr>
          <w:rFonts w:eastAsia="Times New Roman" w:cs="Times New Roman"/>
          <w:szCs w:val="24"/>
        </w:rPr>
        <w:t xml:space="preserve"> to volunteer for the research study.</w:t>
      </w:r>
    </w:p>
    <w:p w14:paraId="7BEDD9A3" w14:textId="18416778" w:rsidR="00B24738" w:rsidRPr="00AA4677" w:rsidRDefault="00EC66BD" w:rsidP="00B24738">
      <w:pPr>
        <w:shd w:val="clear" w:color="auto" w:fill="FFFFFF"/>
        <w:spacing w:after="0" w:line="240" w:lineRule="auto"/>
        <w:rPr>
          <w:rFonts w:eastAsia="Times New Roman" w:cstheme="minorHAnsi"/>
          <w:b/>
          <w:bCs/>
          <w:szCs w:val="24"/>
        </w:rPr>
      </w:pPr>
      <w:bookmarkStart w:id="67" w:name="_Hlk192160245"/>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must review both the amount of payment and the proposed method of disbursement</w:t>
      </w:r>
      <w:r w:rsidR="0060157D" w:rsidRPr="00AA4677">
        <w:rPr>
          <w:rFonts w:eastAsia="Times New Roman" w:cs="Times New Roman"/>
          <w:szCs w:val="24"/>
        </w:rPr>
        <w:t xml:space="preserve"> (how you are paying the subject</w:t>
      </w:r>
      <w:bookmarkEnd w:id="67"/>
      <w:r w:rsidR="00536262" w:rsidRPr="00AA4677">
        <w:rPr>
          <w:rFonts w:eastAsia="Times New Roman" w:cs="Times New Roman"/>
          <w:szCs w:val="24"/>
        </w:rPr>
        <w:t xml:space="preserve">). </w:t>
      </w:r>
      <w:r w:rsidR="00B24738" w:rsidRPr="00AA4677">
        <w:rPr>
          <w:rFonts w:eastAsia="Times New Roman" w:cstheme="minorHAnsi"/>
          <w:szCs w:val="24"/>
        </w:rPr>
        <w:t>Methods can include cash, debit cards, gift cards, and checks</w:t>
      </w:r>
      <w:r w:rsidR="00B24738" w:rsidRPr="00696B35">
        <w:rPr>
          <w:rFonts w:eastAsia="Times New Roman" w:cstheme="minorHAnsi"/>
          <w:szCs w:val="24"/>
        </w:rPr>
        <w:t xml:space="preserve">. </w:t>
      </w:r>
      <w:r w:rsidR="00B24738" w:rsidRPr="00AA4677">
        <w:rPr>
          <w:rFonts w:eastAsia="Times New Roman" w:cstheme="minorHAnsi"/>
          <w:szCs w:val="24"/>
        </w:rPr>
        <w:t xml:space="preserve">The use of PayPal (or other types of payment apps) and money orders are not allowed. </w:t>
      </w:r>
    </w:p>
    <w:p w14:paraId="7DE0F538" w14:textId="6EC3426A" w:rsidR="003E7C9E" w:rsidRPr="00AA4677" w:rsidRDefault="00EC66BD"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3E7C9E" w:rsidRPr="00AA4677">
        <w:rPr>
          <w:rFonts w:eastAsia="Times New Roman" w:cs="Times New Roman"/>
          <w:szCs w:val="24"/>
        </w:rPr>
        <w:t>does not allow the entire payment to be contingent upon completion of the entire study.  Any amount paid as bonus for completion of the entire study should not be so great that it becomes coercive. </w:t>
      </w:r>
    </w:p>
    <w:p w14:paraId="3A2C5211" w14:textId="0A5F6D15"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consent form must describe the terms of payment and the conditions under which subjects would receive partial payment or no payment (e.g. if they withdraw from the study before their participation is completed).</w:t>
      </w:r>
    </w:p>
    <w:p w14:paraId="51551F3B" w14:textId="45C13630"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Acting as an agent for the Resear</w:t>
      </w:r>
      <w:r w:rsidR="00AA7349" w:rsidRPr="00AA4677">
        <w:rPr>
          <w:rFonts w:eastAsia="Times New Roman" w:cs="Times New Roman"/>
          <w:szCs w:val="24"/>
        </w:rPr>
        <w:t xml:space="preserve">ch Foundation (RF) of SUNY, the </w:t>
      </w:r>
      <w:r w:rsidRPr="00AA4677">
        <w:rPr>
          <w:rFonts w:eastAsia="Times New Roman" w:cs="Times New Roman"/>
          <w:szCs w:val="24"/>
        </w:rPr>
        <w:t xml:space="preserve">Office of Grants Management (OGM) requires certain identifying information (name, address, </w:t>
      </w:r>
      <w:proofErr w:type="gramStart"/>
      <w:r w:rsidRPr="00AA4677">
        <w:rPr>
          <w:rFonts w:eastAsia="Times New Roman" w:cs="Times New Roman"/>
          <w:szCs w:val="24"/>
        </w:rPr>
        <w:t>SSN#)</w:t>
      </w:r>
      <w:proofErr w:type="gramEnd"/>
      <w:r w:rsidRPr="00AA4677">
        <w:rPr>
          <w:rFonts w:eastAsia="Times New Roman" w:cs="Times New Roman"/>
          <w:szCs w:val="24"/>
        </w:rPr>
        <w:t xml:space="preserve"> to issue checks, cash, or gift certificates to subjects. Payments to subjects are entered into the RF's Oracle system, for tracking purposes</w:t>
      </w:r>
      <w:r w:rsidR="00E77EDE" w:rsidRPr="00AA4677">
        <w:rPr>
          <w:rFonts w:eastAsia="Times New Roman" w:cs="Times New Roman"/>
          <w:szCs w:val="24"/>
        </w:rPr>
        <w:t>. All</w:t>
      </w:r>
      <w:r w:rsidRPr="00AA4677">
        <w:rPr>
          <w:rFonts w:eastAsia="Times New Roman" w:cs="Times New Roman"/>
          <w:szCs w:val="24"/>
        </w:rPr>
        <w:t xml:space="preserve"> </w:t>
      </w:r>
      <w:r w:rsidR="00E77EDE" w:rsidRPr="00AA4677">
        <w:rPr>
          <w:rFonts w:eastAsia="Times New Roman" w:cs="Times New Roman"/>
          <w:szCs w:val="24"/>
        </w:rPr>
        <w:t>withholdings/</w:t>
      </w:r>
      <w:r w:rsidRPr="00AA4677">
        <w:rPr>
          <w:rFonts w:eastAsia="Times New Roman" w:cs="Times New Roman"/>
          <w:szCs w:val="24"/>
        </w:rPr>
        <w:t xml:space="preserve">payments </w:t>
      </w:r>
      <w:r w:rsidR="00E77EDE" w:rsidRPr="00AA4677">
        <w:rPr>
          <w:rFonts w:eastAsia="Times New Roman" w:cs="Times New Roman"/>
          <w:szCs w:val="24"/>
        </w:rPr>
        <w:t>made will be reported to those in charge of taxes (IRS) by the Research Foundation. If</w:t>
      </w:r>
      <w:r w:rsidRPr="00AA4677">
        <w:rPr>
          <w:rFonts w:eastAsia="Times New Roman" w:cs="Times New Roman"/>
          <w:szCs w:val="24"/>
        </w:rPr>
        <w:t xml:space="preserve"> an individual subject reach</w:t>
      </w:r>
      <w:r w:rsidR="00E77EDE" w:rsidRPr="00AA4677">
        <w:rPr>
          <w:rFonts w:eastAsia="Times New Roman" w:cs="Times New Roman"/>
          <w:szCs w:val="24"/>
        </w:rPr>
        <w:t>es</w:t>
      </w:r>
      <w:r w:rsidRPr="00AA4677">
        <w:rPr>
          <w:rFonts w:eastAsia="Times New Roman" w:cs="Times New Roman"/>
          <w:szCs w:val="24"/>
        </w:rPr>
        <w:t xml:space="preserve"> or exceed</w:t>
      </w:r>
      <w:r w:rsidR="00E77EDE" w:rsidRPr="00AA4677">
        <w:rPr>
          <w:rFonts w:eastAsia="Times New Roman" w:cs="Times New Roman"/>
          <w:szCs w:val="24"/>
        </w:rPr>
        <w:t>s</w:t>
      </w:r>
      <w:r w:rsidRPr="00AA4677">
        <w:rPr>
          <w:rFonts w:eastAsia="Times New Roman" w:cs="Times New Roman"/>
          <w:szCs w:val="24"/>
        </w:rPr>
        <w:t xml:space="preserve"> $600 during the calendar year, the RF issues a 1099 to the individual. The consent form must inform subjects </w:t>
      </w:r>
      <w:r w:rsidR="00E77EDE" w:rsidRPr="00AA4677">
        <w:rPr>
          <w:rFonts w:eastAsia="Times New Roman" w:cs="Times New Roman"/>
          <w:szCs w:val="24"/>
        </w:rPr>
        <w:t>that are U.S. citizens or resident aliens</w:t>
      </w:r>
      <w:r w:rsidRPr="00AA4677">
        <w:rPr>
          <w:rFonts w:eastAsia="Times New Roman" w:cs="Times New Roman"/>
          <w:szCs w:val="24"/>
        </w:rPr>
        <w:t xml:space="preserve"> </w:t>
      </w:r>
      <w:r w:rsidR="00AB689E" w:rsidRPr="00AA4677">
        <w:rPr>
          <w:rFonts w:eastAsia="Times New Roman" w:cs="Times New Roman"/>
          <w:szCs w:val="24"/>
        </w:rPr>
        <w:t xml:space="preserve">that if they </w:t>
      </w:r>
      <w:r w:rsidRPr="00AA4677">
        <w:rPr>
          <w:rFonts w:eastAsia="Times New Roman" w:cs="Times New Roman"/>
          <w:szCs w:val="24"/>
        </w:rPr>
        <w:t>will be paid more than $600 in a year as a research subject, their social security number will be reported to the IRS, and they will have to pay taxes on that money.</w:t>
      </w:r>
      <w:r w:rsidR="00E77EDE" w:rsidRPr="00AA4677">
        <w:rPr>
          <w:rFonts w:eastAsia="Times New Roman" w:cs="Times New Roman"/>
          <w:szCs w:val="24"/>
        </w:rPr>
        <w:t xml:space="preserve"> </w:t>
      </w:r>
      <w:r w:rsidR="00AB689E" w:rsidRPr="00AA4677">
        <w:rPr>
          <w:rFonts w:eastAsia="Times New Roman" w:cs="Times New Roman"/>
          <w:szCs w:val="24"/>
        </w:rPr>
        <w:t>Subjects that are n</w:t>
      </w:r>
      <w:r w:rsidR="00E77EDE" w:rsidRPr="00AA4677">
        <w:rPr>
          <w:rFonts w:eastAsia="Times New Roman" w:cs="Times New Roman"/>
          <w:szCs w:val="24"/>
        </w:rPr>
        <w:t>on-resident aliens</w:t>
      </w:r>
      <w:r w:rsidR="00AB689E" w:rsidRPr="00AA4677">
        <w:rPr>
          <w:rFonts w:eastAsia="Times New Roman" w:cs="Times New Roman"/>
          <w:szCs w:val="24"/>
        </w:rPr>
        <w:t xml:space="preserve"> will have</w:t>
      </w:r>
      <w:r w:rsidR="00E77EDE" w:rsidRPr="00AA4677">
        <w:rPr>
          <w:rFonts w:eastAsia="Times New Roman" w:cs="Times New Roman"/>
          <w:szCs w:val="24"/>
        </w:rPr>
        <w:t xml:space="preserve"> a 30% tax withholdin</w:t>
      </w:r>
      <w:r w:rsidR="00AB689E" w:rsidRPr="00AA4677">
        <w:rPr>
          <w:rFonts w:eastAsia="Times New Roman" w:cs="Times New Roman"/>
          <w:szCs w:val="24"/>
        </w:rPr>
        <w:t>g from their payment</w:t>
      </w:r>
      <w:r w:rsidR="00E77EDE" w:rsidRPr="00AA4677">
        <w:rPr>
          <w:rFonts w:eastAsia="Times New Roman" w:cs="Times New Roman"/>
          <w:szCs w:val="24"/>
        </w:rPr>
        <w:t xml:space="preserve">. </w:t>
      </w:r>
    </w:p>
    <w:p w14:paraId="499BF818" w14:textId="0C81EA1B" w:rsidR="003E7C9E" w:rsidRPr="00AA4677" w:rsidRDefault="003E7C9E" w:rsidP="00696B35">
      <w:pPr>
        <w:spacing w:before="100" w:beforeAutospacing="1" w:after="100" w:afterAutospacing="1" w:line="240" w:lineRule="auto"/>
        <w:rPr>
          <w:rFonts w:eastAsia="Times New Roman" w:cs="Times New Roman"/>
          <w:szCs w:val="24"/>
        </w:rPr>
      </w:pPr>
      <w:r w:rsidRPr="00AA4677">
        <w:rPr>
          <w:rFonts w:eastAsia="Times New Roman" w:cs="Times New Roman"/>
          <w:szCs w:val="24"/>
        </w:rPr>
        <w:t>For certain sensitive research, e.g. HIV+ patients, the investigator may opt to use a payment form that only identifies the subject by a</w:t>
      </w:r>
      <w:r w:rsidR="0060157D" w:rsidRPr="00AA4677">
        <w:rPr>
          <w:rFonts w:eastAsia="Times New Roman" w:cs="Times New Roman"/>
          <w:szCs w:val="24"/>
        </w:rPr>
        <w:t>n</w:t>
      </w:r>
      <w:r w:rsidRPr="00AA4677">
        <w:rPr>
          <w:rFonts w:eastAsia="Times New Roman" w:cs="Times New Roman"/>
          <w:szCs w:val="24"/>
        </w:rPr>
        <w:t xml:space="preserve"> ID #</w:t>
      </w:r>
      <w:r w:rsidR="00AA7349" w:rsidRPr="00AA4677">
        <w:rPr>
          <w:rFonts w:eastAsia="Times New Roman" w:cs="Times New Roman"/>
          <w:szCs w:val="24"/>
        </w:rPr>
        <w:t xml:space="preserve"> (n</w:t>
      </w:r>
      <w:r w:rsidRPr="00AA4677">
        <w:rPr>
          <w:rFonts w:eastAsia="Times New Roman" w:cs="Times New Roman"/>
          <w:szCs w:val="24"/>
        </w:rPr>
        <w:t xml:space="preserve">o name, </w:t>
      </w:r>
      <w:r w:rsidRPr="00696B35">
        <w:rPr>
          <w:rFonts w:eastAsia="Times New Roman" w:cs="Times New Roman"/>
          <w:szCs w:val="24"/>
        </w:rPr>
        <w:t>address</w:t>
      </w:r>
      <w:r w:rsidRPr="00AA4677">
        <w:rPr>
          <w:rFonts w:eastAsia="Times New Roman" w:cs="Times New Roman"/>
          <w:szCs w:val="24"/>
        </w:rPr>
        <w:t xml:space="preserve"> or SS# </w:t>
      </w:r>
      <w:r w:rsidR="00AA7349" w:rsidRPr="00AA4677">
        <w:rPr>
          <w:rFonts w:eastAsia="Times New Roman" w:cs="Times New Roman"/>
          <w:szCs w:val="24"/>
        </w:rPr>
        <w:t>is</w:t>
      </w:r>
      <w:r w:rsidRPr="00AA4677">
        <w:rPr>
          <w:rFonts w:eastAsia="Times New Roman" w:cs="Times New Roman"/>
          <w:szCs w:val="24"/>
        </w:rPr>
        <w:t xml:space="preserve"> identified</w:t>
      </w:r>
      <w:r w:rsidR="00AA7349" w:rsidRPr="00AA4677">
        <w:rPr>
          <w:rFonts w:eastAsia="Times New Roman" w:cs="Times New Roman"/>
          <w:szCs w:val="24"/>
        </w:rPr>
        <w:t>)</w:t>
      </w:r>
      <w:r w:rsidRPr="00AA4677">
        <w:rPr>
          <w:rFonts w:eastAsia="Times New Roman" w:cs="Times New Roman"/>
          <w:szCs w:val="24"/>
        </w:rPr>
        <w:t xml:space="preserve">. The PI is issued a cash advance from which the payments are </w:t>
      </w:r>
      <w:proofErr w:type="gramStart"/>
      <w:r w:rsidRPr="00AA4677">
        <w:rPr>
          <w:rFonts w:eastAsia="Times New Roman" w:cs="Times New Roman"/>
          <w:szCs w:val="24"/>
        </w:rPr>
        <w:t>made</w:t>
      </w:r>
      <w:proofErr w:type="gramEnd"/>
      <w:r w:rsidRPr="00AA4677">
        <w:rPr>
          <w:rFonts w:eastAsia="Times New Roman" w:cs="Times New Roman"/>
          <w:szCs w:val="24"/>
        </w:rPr>
        <w:t xml:space="preserve"> and the PI accepts the responsibility of tracking the amount of the payments during the calendar year to ensure </w:t>
      </w:r>
      <w:r w:rsidR="00E77EDE" w:rsidRPr="00AA4677">
        <w:rPr>
          <w:rFonts w:eastAsia="Times New Roman" w:cs="Times New Roman"/>
          <w:szCs w:val="24"/>
        </w:rPr>
        <w:t xml:space="preserve"> </w:t>
      </w:r>
      <w:r w:rsidRPr="00AA4677">
        <w:rPr>
          <w:rFonts w:eastAsia="Times New Roman" w:cs="Times New Roman"/>
          <w:szCs w:val="24"/>
        </w:rPr>
        <w:t>compliance with IRS regulations. The consent form discloses the annual $600 criterion for payment of taxes.</w:t>
      </w:r>
      <w:r w:rsidR="00E77EDE" w:rsidRPr="00AA4677">
        <w:rPr>
          <w:rFonts w:eastAsia="Times New Roman" w:cs="Times New Roman"/>
          <w:szCs w:val="24"/>
        </w:rPr>
        <w:t xml:space="preserve"> If the subject is a non-resident alien, the individual is subject to a 30% tax withholding.</w:t>
      </w:r>
    </w:p>
    <w:p w14:paraId="7F898C81" w14:textId="1E1186B7" w:rsidR="003E7C9E" w:rsidRPr="00AA4677" w:rsidRDefault="003E7C9E" w:rsidP="00C57C98">
      <w:pPr>
        <w:pStyle w:val="Heading3"/>
      </w:pPr>
      <w:r w:rsidRPr="00AA4677">
        <w:t>3.9.9 Recruitment Incentives</w:t>
      </w:r>
    </w:p>
    <w:p w14:paraId="5AE01E42" w14:textId="235E094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Payment from sponsors for subject recruitment should be primarily based on expenses incurred by the site to run subjects </w:t>
      </w:r>
      <w:proofErr w:type="gramStart"/>
      <w:r w:rsidRPr="00AA4677">
        <w:rPr>
          <w:rFonts w:eastAsia="Times New Roman" w:cs="Times New Roman"/>
          <w:szCs w:val="24"/>
        </w:rPr>
        <w:t>through</w:t>
      </w:r>
      <w:proofErr w:type="gramEnd"/>
      <w:r w:rsidRPr="00AA4677">
        <w:rPr>
          <w:rFonts w:eastAsia="Times New Roman" w:cs="Times New Roman"/>
          <w:szCs w:val="24"/>
        </w:rPr>
        <w:t xml:space="preserve"> the course of the study. They must not place </w:t>
      </w:r>
      <w:r w:rsidR="00BF7470" w:rsidRPr="00AA4677">
        <w:rPr>
          <w:rFonts w:eastAsia="Times New Roman" w:cs="Times New Roman"/>
          <w:szCs w:val="24"/>
        </w:rPr>
        <w:t>subject</w:t>
      </w:r>
      <w:r w:rsidRPr="00AA4677">
        <w:rPr>
          <w:rFonts w:eastAsia="Times New Roman" w:cs="Times New Roman"/>
          <w:szCs w:val="24"/>
        </w:rPr>
        <w:t xml:space="preserve">s at risk of coercion or undue influence or cause inequitable selection.  Payment in exchange for referrals of prospective </w:t>
      </w:r>
      <w:r w:rsidR="00BF7470" w:rsidRPr="00AA4677">
        <w:rPr>
          <w:rFonts w:eastAsia="Times New Roman" w:cs="Times New Roman"/>
          <w:szCs w:val="24"/>
        </w:rPr>
        <w:t>subject</w:t>
      </w:r>
      <w:r w:rsidRPr="00AA4677">
        <w:rPr>
          <w:rFonts w:eastAsia="Times New Roman" w:cs="Times New Roman"/>
          <w:szCs w:val="24"/>
        </w:rPr>
        <w:t xml:space="preserve">s from </w:t>
      </w:r>
      <w:r w:rsidR="000216F7" w:rsidRPr="00AA4677">
        <w:rPr>
          <w:rFonts w:eastAsia="Times New Roman" w:cs="Times New Roman"/>
          <w:szCs w:val="24"/>
        </w:rPr>
        <w:t>investigators</w:t>
      </w:r>
      <w:r w:rsidRPr="00AA4677">
        <w:rPr>
          <w:rFonts w:eastAsia="Times New Roman" w:cs="Times New Roman"/>
          <w:szCs w:val="24"/>
        </w:rPr>
        <w:t xml:space="preserve"> (physicians) (“finder’s fees”) is not permitted. Payments </w:t>
      </w:r>
      <w:r w:rsidRPr="00AA4677">
        <w:rPr>
          <w:rFonts w:eastAsia="Times New Roman" w:cs="Times New Roman"/>
          <w:szCs w:val="24"/>
        </w:rPr>
        <w:lastRenderedPageBreak/>
        <w:t xml:space="preserve">that are designed to accelerate recruitment by being tied to the rate or timing of enrollment (“bonus payments”) are </w:t>
      </w:r>
      <w:r w:rsidR="008B778F" w:rsidRPr="00AA4677">
        <w:rPr>
          <w:rFonts w:eastAsia="Times New Roman" w:cs="Times New Roman"/>
          <w:szCs w:val="24"/>
        </w:rPr>
        <w:t>not permitted</w:t>
      </w:r>
      <w:r w:rsidRPr="00AA4677">
        <w:rPr>
          <w:rFonts w:eastAsia="Times New Roman" w:cs="Times New Roman"/>
          <w:szCs w:val="24"/>
        </w:rPr>
        <w:t>.</w:t>
      </w:r>
    </w:p>
    <w:p w14:paraId="62F5AB4E" w14:textId="6BA81523" w:rsidR="003E7C9E" w:rsidRPr="00AA4677" w:rsidRDefault="003E7C9E" w:rsidP="00C57C98">
      <w:pPr>
        <w:pStyle w:val="Heading3"/>
      </w:pPr>
      <w:r w:rsidRPr="00AA4677">
        <w:t>3.9.10 Compliance with all Applicable State and Local Laws</w:t>
      </w:r>
    </w:p>
    <w:p w14:paraId="05B9CDAB" w14:textId="7B3F75D7" w:rsidR="003E7C9E" w:rsidRPr="00AA4677" w:rsidRDefault="00AA7349"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follows and must adhere to all applicable state and local laws in the jurisdictions where the research is taking place.  The HRPP and </w:t>
      </w:r>
      <w:r w:rsidRPr="00AA4677">
        <w:rPr>
          <w:rFonts w:eastAsia="Times New Roman" w:cs="Times New Roman"/>
          <w:szCs w:val="24"/>
        </w:rPr>
        <w:t xml:space="preserve">the </w:t>
      </w:r>
      <w:r w:rsidR="00EE7207" w:rsidRPr="00AA4677">
        <w:rPr>
          <w:rFonts w:eastAsia="Times New Roman" w:cs="Times New Roman"/>
          <w:szCs w:val="24"/>
        </w:rPr>
        <w:t>IRB</w:t>
      </w:r>
      <w:r w:rsidR="008B778F" w:rsidRPr="00AA4677">
        <w:rPr>
          <w:rFonts w:eastAsia="Times New Roman" w:cs="Times New Roman"/>
          <w:szCs w:val="24"/>
        </w:rPr>
        <w:t xml:space="preserve"> rely on </w:t>
      </w:r>
      <w:r w:rsidR="003E7C9E" w:rsidRPr="00AA4677">
        <w:rPr>
          <w:rFonts w:eastAsia="Times New Roman" w:cs="Times New Roman"/>
          <w:szCs w:val="24"/>
        </w:rPr>
        <w:t>SUNY Cou</w:t>
      </w:r>
      <w:r w:rsidR="00210F54" w:rsidRPr="00AA4677">
        <w:rPr>
          <w:rFonts w:eastAsia="Times New Roman" w:cs="Times New Roman"/>
          <w:szCs w:val="24"/>
        </w:rPr>
        <w:t xml:space="preserve">nsel for the interpretation and </w:t>
      </w:r>
      <w:r w:rsidR="003E7C9E" w:rsidRPr="00AA4677">
        <w:rPr>
          <w:rFonts w:eastAsia="Times New Roman" w:cs="Times New Roman"/>
          <w:szCs w:val="24"/>
        </w:rPr>
        <w:t xml:space="preserve">application of New York State </w:t>
      </w:r>
      <w:r w:rsidR="008B778F" w:rsidRPr="00AA4677">
        <w:rPr>
          <w:rFonts w:eastAsia="Times New Roman" w:cs="Times New Roman"/>
          <w:szCs w:val="24"/>
        </w:rPr>
        <w:t xml:space="preserve">laws </w:t>
      </w:r>
      <w:r w:rsidR="003E7C9E" w:rsidRPr="00AA4677">
        <w:rPr>
          <w:rFonts w:eastAsia="Times New Roman" w:cs="Times New Roman"/>
          <w:szCs w:val="24"/>
        </w:rPr>
        <w:t>and the laws of any other jurisdiction where research is conducted as they apply to human subject research.</w:t>
      </w:r>
      <w:r w:rsidR="00210F54" w:rsidRPr="00AA4677">
        <w:rPr>
          <w:rFonts w:eastAsia="Times New Roman" w:cs="Times New Roman"/>
          <w:szCs w:val="24"/>
        </w:rPr>
        <w:t xml:space="preserve"> The HRPP and the IRB also rely on SUNY counsel for resolution of conflict between federal or national law and other applicable laws.</w:t>
      </w:r>
    </w:p>
    <w:p w14:paraId="143B856E" w14:textId="438E5BEA" w:rsidR="008B778F" w:rsidRPr="00AA4677" w:rsidRDefault="003E7C9E" w:rsidP="008B778F">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All consent forms must be consistent with applicable state and local laws.</w:t>
      </w:r>
    </w:p>
    <w:p w14:paraId="72AF1452" w14:textId="41AB787D" w:rsidR="002876EC" w:rsidRPr="00AA4677" w:rsidRDefault="003E7C9E" w:rsidP="00696B35">
      <w:pPr>
        <w:pStyle w:val="Heading2"/>
      </w:pPr>
      <w:bookmarkStart w:id="68" w:name="_Toc192678178"/>
      <w:r w:rsidRPr="00AA4677">
        <w:t xml:space="preserve">3.10 Possible </w:t>
      </w:r>
      <w:r w:rsidR="00EE7207" w:rsidRPr="00AA4677">
        <w:t>IRB</w:t>
      </w:r>
      <w:r w:rsidRPr="00AA4677">
        <w:t xml:space="preserve"> Actions</w:t>
      </w:r>
      <w:bookmarkStart w:id="69" w:name="_Toc33533000"/>
      <w:bookmarkEnd w:id="68"/>
    </w:p>
    <w:p w14:paraId="52ECD8AF" w14:textId="77777777" w:rsidR="002876EC" w:rsidRPr="00AA4677" w:rsidRDefault="002876EC" w:rsidP="00696B35">
      <w:pPr>
        <w:pStyle w:val="Heading2"/>
      </w:pPr>
    </w:p>
    <w:p w14:paraId="650F2147" w14:textId="12917E83" w:rsidR="0055310F" w:rsidRPr="00AA4677" w:rsidRDefault="0055310F" w:rsidP="00824AD0">
      <w:r w:rsidRPr="00AA4677">
        <w:t xml:space="preserve">In conducting its review of research, the IRB may take any of the following actions.  </w:t>
      </w:r>
      <w:proofErr w:type="gramStart"/>
      <w:r w:rsidRPr="00AA4677">
        <w:t>With the exception of</w:t>
      </w:r>
      <w:proofErr w:type="gramEnd"/>
      <w:r w:rsidRPr="00AA4677">
        <w:t xml:space="preserve"> disapproval, the actions listed below may be used for either expedited or convened board review, including limited IRB review.  An action of disapproval can only be taken at </w:t>
      </w:r>
      <w:proofErr w:type="gramStart"/>
      <w:r w:rsidRPr="00AA4677">
        <w:t>a convened</w:t>
      </w:r>
      <w:proofErr w:type="gramEnd"/>
      <w:r w:rsidRPr="00AA4677">
        <w:t xml:space="preserve"> IRB </w:t>
      </w:r>
      <w:proofErr w:type="gramStart"/>
      <w:r w:rsidRPr="00AA4677">
        <w:t>meeting</w:t>
      </w:r>
      <w:proofErr w:type="gramEnd"/>
      <w:r w:rsidRPr="00AA4677">
        <w:t>.</w:t>
      </w:r>
      <w:bookmarkEnd w:id="69"/>
    </w:p>
    <w:p w14:paraId="100C212E" w14:textId="2FBB91CA" w:rsidR="003E7C9E" w:rsidRPr="00AA4677" w:rsidRDefault="003E7C9E"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b/>
          <w:bCs/>
          <w:szCs w:val="24"/>
        </w:rPr>
        <w:t>Approval</w:t>
      </w:r>
      <w:r w:rsidR="007D2D53" w:rsidRPr="00AA4677">
        <w:rPr>
          <w:rFonts w:eastAsia="Times New Roman" w:cs="Arial"/>
          <w:b/>
          <w:bCs/>
          <w:szCs w:val="24"/>
        </w:rPr>
        <w:t>:</w:t>
      </w:r>
      <w:r w:rsidRPr="00AA4677">
        <w:rPr>
          <w:rFonts w:eastAsia="Times New Roman" w:cs="Arial"/>
          <w:szCs w:val="24"/>
        </w:rPr>
        <w:t xml:space="preserve"> </w:t>
      </w:r>
      <w:r w:rsidR="001019D1" w:rsidRPr="00AA4677">
        <w:rPr>
          <w:rFonts w:eastAsia="Times New Roman" w:cs="Arial"/>
          <w:szCs w:val="24"/>
        </w:rPr>
        <w:t>T</w:t>
      </w:r>
      <w:r w:rsidRPr="00AA4677">
        <w:rPr>
          <w:rFonts w:eastAsia="Times New Roman" w:cs="Arial"/>
          <w:szCs w:val="24"/>
        </w:rPr>
        <w:t>he study is approved as submitted.</w:t>
      </w:r>
    </w:p>
    <w:p w14:paraId="5E70A7CA" w14:textId="55DA8B12" w:rsidR="005B3436" w:rsidRPr="00AA4677" w:rsidRDefault="003E7C9E"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b/>
          <w:bCs/>
          <w:szCs w:val="24"/>
        </w:rPr>
        <w:t>Modifications Required</w:t>
      </w:r>
      <w:r w:rsidR="00794990" w:rsidRPr="00AA4677">
        <w:rPr>
          <w:rFonts w:eastAsia="Times New Roman" w:cs="Arial"/>
          <w:b/>
          <w:bCs/>
          <w:szCs w:val="24"/>
        </w:rPr>
        <w:t xml:space="preserve"> </w:t>
      </w:r>
      <w:r w:rsidR="00794990" w:rsidRPr="00AA4677">
        <w:rPr>
          <w:rFonts w:eastAsia="Times New Roman" w:cs="Arial"/>
          <w:bCs/>
          <w:szCs w:val="24"/>
        </w:rPr>
        <w:t>in Order to Secure Approval</w:t>
      </w:r>
      <w:r w:rsidR="007D2D53" w:rsidRPr="00AA4677">
        <w:rPr>
          <w:rFonts w:eastAsia="Times New Roman" w:cs="Arial"/>
          <w:bCs/>
          <w:szCs w:val="24"/>
        </w:rPr>
        <w:t>:</w:t>
      </w:r>
      <w:r w:rsidR="001019D1" w:rsidRPr="00AA4677">
        <w:rPr>
          <w:rFonts w:eastAsia="Times New Roman" w:cs="Arial"/>
          <w:b/>
          <w:bCs/>
          <w:szCs w:val="24"/>
        </w:rPr>
        <w:t xml:space="preserve"> </w:t>
      </w:r>
      <w:r w:rsidR="002C32FB" w:rsidRPr="00AA4677">
        <w:rPr>
          <w:rFonts w:eastAsia="Times New Roman" w:cs="Arial"/>
          <w:szCs w:val="24"/>
        </w:rPr>
        <w:t xml:space="preserve"> The requested revisions are prescriptive, </w:t>
      </w:r>
      <w:r w:rsidR="00544399" w:rsidRPr="00AA4677">
        <w:rPr>
          <w:rFonts w:eastAsia="Times New Roman" w:cs="Arial"/>
          <w:szCs w:val="24"/>
        </w:rPr>
        <w:t>requiring concurrence by the PI</w:t>
      </w:r>
      <w:r w:rsidR="002C32FB" w:rsidRPr="00AA4677">
        <w:rPr>
          <w:rFonts w:eastAsia="Times New Roman" w:cs="Arial"/>
          <w:szCs w:val="24"/>
        </w:rPr>
        <w:t xml:space="preserve"> </w:t>
      </w:r>
      <w:r w:rsidR="00544399" w:rsidRPr="00AA4677">
        <w:rPr>
          <w:rFonts w:eastAsia="Times New Roman" w:cs="Arial"/>
          <w:szCs w:val="24"/>
        </w:rPr>
        <w:t>(</w:t>
      </w:r>
      <w:r w:rsidR="002C32FB" w:rsidRPr="00AA4677">
        <w:rPr>
          <w:rFonts w:eastAsia="Times New Roman" w:cs="Arial"/>
          <w:szCs w:val="24"/>
        </w:rPr>
        <w:t>e.g., t</w:t>
      </w:r>
      <w:r w:rsidRPr="00AA4677">
        <w:rPr>
          <w:rFonts w:eastAsia="Times New Roman" w:cs="Arial"/>
          <w:szCs w:val="24"/>
        </w:rPr>
        <w:t xml:space="preserve">he </w:t>
      </w:r>
      <w:r w:rsidR="005B3436" w:rsidRPr="00AA4677">
        <w:rPr>
          <w:rFonts w:eastAsia="Times New Roman" w:cs="Arial"/>
          <w:szCs w:val="24"/>
        </w:rPr>
        <w:t xml:space="preserve">submission </w:t>
      </w:r>
      <w:r w:rsidRPr="00AA4677">
        <w:rPr>
          <w:rFonts w:eastAsia="Times New Roman" w:cs="Arial"/>
          <w:szCs w:val="24"/>
        </w:rPr>
        <w:t>require</w:t>
      </w:r>
      <w:r w:rsidR="005B3436" w:rsidRPr="00AA4677">
        <w:rPr>
          <w:rFonts w:eastAsia="Times New Roman" w:cs="Arial"/>
          <w:szCs w:val="24"/>
        </w:rPr>
        <w:t>s</w:t>
      </w:r>
      <w:r w:rsidRPr="00AA4677">
        <w:rPr>
          <w:rFonts w:eastAsia="Times New Roman" w:cs="Arial"/>
          <w:szCs w:val="24"/>
        </w:rPr>
        <w:t xml:space="preserve"> minor revisions, such as wording changes, with replacement language provided</w:t>
      </w:r>
      <w:r w:rsidR="005B3436" w:rsidRPr="00AA4677">
        <w:rPr>
          <w:rFonts w:eastAsia="Times New Roman" w:cs="Arial"/>
          <w:szCs w:val="24"/>
        </w:rPr>
        <w:t xml:space="preserve"> or confirmation by the PI of the IRB’s understanding of a particular issue</w:t>
      </w:r>
      <w:r w:rsidR="00544399" w:rsidRPr="00AA4677">
        <w:rPr>
          <w:rFonts w:eastAsia="Times New Roman" w:cs="Arial"/>
          <w:szCs w:val="24"/>
        </w:rPr>
        <w:t>)</w:t>
      </w:r>
      <w:r w:rsidR="00645B4F" w:rsidRPr="00AA4677">
        <w:rPr>
          <w:rFonts w:eastAsia="Times New Roman" w:cs="Arial"/>
          <w:szCs w:val="24"/>
        </w:rPr>
        <w:t xml:space="preserve"> and can be approved by an IRB member designated by the chair or a staff member</w:t>
      </w:r>
      <w:r w:rsidRPr="00AA4677">
        <w:rPr>
          <w:rFonts w:eastAsia="Times New Roman" w:cs="Arial"/>
          <w:szCs w:val="24"/>
        </w:rPr>
        <w:t xml:space="preserve">. </w:t>
      </w:r>
      <w:r w:rsidR="00EB5190" w:rsidRPr="00AA4677">
        <w:rPr>
          <w:rFonts w:eastAsia="Times New Roman" w:cs="Arial"/>
          <w:szCs w:val="24"/>
        </w:rPr>
        <w:t xml:space="preserve">If the study is returned with </w:t>
      </w:r>
      <w:r w:rsidR="00EB5190" w:rsidRPr="00AA4677">
        <w:t xml:space="preserve">substantive changes or requirements, requests for more information for IRB consideration, and other issues </w:t>
      </w:r>
      <w:r w:rsidR="00EB5190" w:rsidRPr="00AA4677">
        <w:rPr>
          <w:b/>
        </w:rPr>
        <w:t>related to the criteria for approval</w:t>
      </w:r>
      <w:r w:rsidR="00EB5190" w:rsidRPr="00AA4677">
        <w:t xml:space="preserve"> </w:t>
      </w:r>
      <w:r w:rsidR="0097777E" w:rsidRPr="00AA4677">
        <w:t xml:space="preserve">the changes </w:t>
      </w:r>
      <w:r w:rsidR="00EB5190" w:rsidRPr="00AA4677">
        <w:t>require review and approval by the convened IRB.</w:t>
      </w:r>
    </w:p>
    <w:p w14:paraId="3C618F91" w14:textId="44DB46A1" w:rsidR="003E7C9E" w:rsidRPr="00AA4677" w:rsidRDefault="003E7C9E"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t xml:space="preserve">For </w:t>
      </w:r>
      <w:r w:rsidR="002C32FB" w:rsidRPr="00AA4677">
        <w:rPr>
          <w:rFonts w:eastAsia="Times New Roman" w:cs="Arial"/>
          <w:szCs w:val="24"/>
        </w:rPr>
        <w:t xml:space="preserve">studies undergoing </w:t>
      </w:r>
      <w:r w:rsidRPr="00AA4677">
        <w:rPr>
          <w:rFonts w:eastAsia="Times New Roman" w:cs="Arial"/>
          <w:szCs w:val="24"/>
        </w:rPr>
        <w:t>full review, the needed revisions are agreed upon at the meeting</w:t>
      </w:r>
      <w:r w:rsidR="002C32FB" w:rsidRPr="00AA4677">
        <w:rPr>
          <w:rFonts w:eastAsia="Times New Roman" w:cs="Arial"/>
          <w:szCs w:val="24"/>
        </w:rPr>
        <w:t>;</w:t>
      </w:r>
      <w:r w:rsidRPr="00AA4677">
        <w:rPr>
          <w:rFonts w:eastAsia="Times New Roman" w:cs="Arial"/>
          <w:szCs w:val="24"/>
        </w:rPr>
        <w:t xml:space="preserve"> for </w:t>
      </w:r>
      <w:r w:rsidR="002C32FB" w:rsidRPr="00AA4677">
        <w:rPr>
          <w:rFonts w:eastAsia="Times New Roman" w:cs="Arial"/>
          <w:szCs w:val="24"/>
        </w:rPr>
        <w:t xml:space="preserve">those undergoing </w:t>
      </w:r>
      <w:r w:rsidRPr="00AA4677">
        <w:rPr>
          <w:rFonts w:eastAsia="Times New Roman" w:cs="Arial"/>
          <w:szCs w:val="24"/>
        </w:rPr>
        <w:t xml:space="preserve">expedited review, they are designated by the reviewer(s). </w:t>
      </w:r>
    </w:p>
    <w:p w14:paraId="05CD8DD0" w14:textId="77777777" w:rsidR="003E7C9E" w:rsidRPr="00AA4677" w:rsidRDefault="003E7C9E" w:rsidP="003E7C9E">
      <w:pPr>
        <w:shd w:val="clear" w:color="auto" w:fill="FFFFFF"/>
        <w:spacing w:before="100" w:beforeAutospacing="1" w:after="100" w:afterAutospacing="1" w:line="240" w:lineRule="auto"/>
        <w:rPr>
          <w:rFonts w:eastAsia="Times New Roman" w:cs="Arial"/>
          <w:szCs w:val="24"/>
        </w:rPr>
      </w:pPr>
      <w:proofErr w:type="gramStart"/>
      <w:r w:rsidRPr="00AA4677">
        <w:rPr>
          <w:rFonts w:eastAsia="Times New Roman" w:cs="Arial"/>
          <w:szCs w:val="24"/>
        </w:rPr>
        <w:t>In order to</w:t>
      </w:r>
      <w:proofErr w:type="gramEnd"/>
      <w:r w:rsidRPr="00AA4677">
        <w:rPr>
          <w:rFonts w:eastAsia="Times New Roman" w:cs="Arial"/>
          <w:szCs w:val="24"/>
        </w:rPr>
        <w:t xml:space="preserve"> receive approval for a protocol requiring modifications:</w:t>
      </w:r>
    </w:p>
    <w:p w14:paraId="39C619C3" w14:textId="75D73634" w:rsidR="003E7C9E" w:rsidRPr="00AA4677" w:rsidRDefault="003E7C9E">
      <w:pPr>
        <w:numPr>
          <w:ilvl w:val="0"/>
          <w:numId w:val="283"/>
        </w:num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t>For full review</w:t>
      </w:r>
      <w:r w:rsidR="00DC40B1" w:rsidRPr="00AA4677">
        <w:rPr>
          <w:rFonts w:eastAsia="Times New Roman" w:cs="Arial"/>
          <w:szCs w:val="24"/>
        </w:rPr>
        <w:t xml:space="preserve"> studies</w:t>
      </w:r>
      <w:r w:rsidRPr="00AA4677">
        <w:rPr>
          <w:rFonts w:eastAsia="Times New Roman" w:cs="Arial"/>
          <w:szCs w:val="24"/>
        </w:rPr>
        <w:t xml:space="preserve">, the investigator’s response, the revised protocol and the previously submitted protocol </w:t>
      </w:r>
      <w:proofErr w:type="gramStart"/>
      <w:r w:rsidRPr="00AA4677">
        <w:rPr>
          <w:rFonts w:eastAsia="Times New Roman" w:cs="Arial"/>
          <w:szCs w:val="24"/>
        </w:rPr>
        <w:t>is</w:t>
      </w:r>
      <w:proofErr w:type="gramEnd"/>
      <w:r w:rsidRPr="00AA4677">
        <w:rPr>
          <w:rFonts w:eastAsia="Times New Roman" w:cs="Arial"/>
          <w:szCs w:val="24"/>
        </w:rPr>
        <w:t xml:space="preserve"> triaged by </w:t>
      </w:r>
      <w:r w:rsidR="002C32FB" w:rsidRPr="00AA4677">
        <w:rPr>
          <w:rFonts w:eastAsia="Times New Roman" w:cs="Arial"/>
          <w:szCs w:val="24"/>
        </w:rPr>
        <w:t>IRB</w:t>
      </w:r>
      <w:r w:rsidRPr="00AA4677">
        <w:rPr>
          <w:rFonts w:eastAsia="Times New Roman" w:cs="Arial"/>
          <w:szCs w:val="24"/>
        </w:rPr>
        <w:t xml:space="preserve"> staff to assess if a final reviewer was specifically assigned at the meeting in which the study was reviewed. If not, </w:t>
      </w:r>
      <w:r w:rsidR="002C32FB" w:rsidRPr="00AA4677">
        <w:rPr>
          <w:rFonts w:eastAsia="Times New Roman" w:cs="Arial"/>
          <w:szCs w:val="24"/>
        </w:rPr>
        <w:t>IRB</w:t>
      </w:r>
      <w:r w:rsidRPr="00AA4677">
        <w:rPr>
          <w:rFonts w:eastAsia="Times New Roman" w:cs="Arial"/>
          <w:szCs w:val="24"/>
        </w:rPr>
        <w:t xml:space="preserve"> staff </w:t>
      </w:r>
      <w:r w:rsidR="00DC40B1" w:rsidRPr="00AA4677">
        <w:rPr>
          <w:rFonts w:eastAsia="Times New Roman" w:cs="Arial"/>
          <w:szCs w:val="24"/>
        </w:rPr>
        <w:t>who</w:t>
      </w:r>
      <w:r w:rsidRPr="00AA4677">
        <w:rPr>
          <w:rFonts w:eastAsia="Times New Roman" w:cs="Arial"/>
          <w:szCs w:val="24"/>
        </w:rPr>
        <w:t xml:space="preserve"> are</w:t>
      </w:r>
      <w:r w:rsidR="001019D1" w:rsidRPr="00AA4677">
        <w:rPr>
          <w:rFonts w:eastAsia="Times New Roman" w:cs="Arial"/>
          <w:szCs w:val="24"/>
        </w:rPr>
        <w:t xml:space="preserve"> </w:t>
      </w:r>
      <w:r w:rsidR="00EE7207" w:rsidRPr="00AA4677">
        <w:rPr>
          <w:rFonts w:eastAsia="Times New Roman" w:cs="Arial"/>
          <w:szCs w:val="24"/>
        </w:rPr>
        <w:t>IRB</w:t>
      </w:r>
      <w:r w:rsidRPr="00AA4677">
        <w:rPr>
          <w:rFonts w:eastAsia="Times New Roman" w:cs="Arial"/>
          <w:szCs w:val="24"/>
        </w:rPr>
        <w:t xml:space="preserve"> members will either conduct final review or share with either the </w:t>
      </w:r>
      <w:r w:rsidR="00EE7207" w:rsidRPr="00AA4677">
        <w:rPr>
          <w:rFonts w:eastAsia="Times New Roman" w:cs="Arial"/>
          <w:szCs w:val="24"/>
        </w:rPr>
        <w:t>IRB</w:t>
      </w:r>
      <w:r w:rsidR="001019D1" w:rsidRPr="00AA4677">
        <w:rPr>
          <w:rFonts w:eastAsia="Times New Roman" w:cs="Arial"/>
          <w:szCs w:val="24"/>
        </w:rPr>
        <w:t xml:space="preserve"> C</w:t>
      </w:r>
      <w:r w:rsidRPr="00AA4677">
        <w:rPr>
          <w:rFonts w:eastAsia="Times New Roman" w:cs="Arial"/>
          <w:szCs w:val="24"/>
        </w:rPr>
        <w:t xml:space="preserve">hair,  or a subcommittee (e.g. primary </w:t>
      </w:r>
      <w:r w:rsidRPr="00AA4677">
        <w:rPr>
          <w:rFonts w:eastAsia="Times New Roman" w:cs="Arial"/>
          <w:szCs w:val="24"/>
        </w:rPr>
        <w:lastRenderedPageBreak/>
        <w:t xml:space="preserve">and/or secondary reviewers) for review. The reviewer(s) may approve the study upon receipt and approval of the revisions without further action by </w:t>
      </w:r>
      <w:r w:rsidR="001019D1" w:rsidRPr="00AA4677">
        <w:rPr>
          <w:rFonts w:eastAsia="Times New Roman" w:cs="Arial"/>
          <w:szCs w:val="24"/>
        </w:rPr>
        <w:t xml:space="preserve">the </w:t>
      </w:r>
      <w:r w:rsidR="00EE7207" w:rsidRPr="00AA4677">
        <w:rPr>
          <w:rFonts w:eastAsia="Times New Roman" w:cs="Arial"/>
          <w:szCs w:val="24"/>
        </w:rPr>
        <w:t>IRB</w:t>
      </w:r>
      <w:r w:rsidRPr="00AA4677">
        <w:rPr>
          <w:rFonts w:eastAsia="Times New Roman" w:cs="Arial"/>
          <w:szCs w:val="24"/>
        </w:rPr>
        <w:t>.</w:t>
      </w:r>
    </w:p>
    <w:p w14:paraId="7FD72654" w14:textId="3A2D3454" w:rsidR="003E7C9E" w:rsidRPr="00AA4677" w:rsidRDefault="003E7C9E">
      <w:pPr>
        <w:numPr>
          <w:ilvl w:val="0"/>
          <w:numId w:val="283"/>
        </w:num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t>For expedited</w:t>
      </w:r>
      <w:r w:rsidR="00DC40B1" w:rsidRPr="00AA4677">
        <w:rPr>
          <w:rFonts w:eastAsia="Times New Roman" w:cs="Arial"/>
          <w:szCs w:val="24"/>
        </w:rPr>
        <w:t xml:space="preserve"> studies</w:t>
      </w:r>
      <w:r w:rsidRPr="00AA4677">
        <w:rPr>
          <w:rFonts w:eastAsia="Times New Roman" w:cs="Arial"/>
          <w:szCs w:val="24"/>
        </w:rPr>
        <w:t xml:space="preserve">, the investigator’s response, </w:t>
      </w:r>
      <w:r w:rsidR="00DC40B1" w:rsidRPr="00AA4677">
        <w:rPr>
          <w:rFonts w:eastAsia="Times New Roman" w:cs="Arial"/>
          <w:szCs w:val="24"/>
        </w:rPr>
        <w:t xml:space="preserve">and all other materials will either be returned to the original </w:t>
      </w:r>
      <w:proofErr w:type="gramStart"/>
      <w:r w:rsidR="00DC40B1" w:rsidRPr="00AA4677">
        <w:rPr>
          <w:rFonts w:eastAsia="Times New Roman" w:cs="Arial"/>
          <w:szCs w:val="24"/>
        </w:rPr>
        <w:t>reviewer, or</w:t>
      </w:r>
      <w:proofErr w:type="gramEnd"/>
      <w:r w:rsidR="00DC40B1" w:rsidRPr="00AA4677">
        <w:rPr>
          <w:rFonts w:eastAsia="Times New Roman" w:cs="Arial"/>
          <w:szCs w:val="24"/>
        </w:rPr>
        <w:t xml:space="preserve"> handled by IRB staff. </w:t>
      </w:r>
    </w:p>
    <w:p w14:paraId="7BE65235" w14:textId="46AB857E" w:rsidR="003E7C9E" w:rsidRPr="00AA4677" w:rsidRDefault="003E7C9E"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t xml:space="preserve">Approval of the protocol application will not be </w:t>
      </w:r>
      <w:proofErr w:type="gramStart"/>
      <w:r w:rsidRPr="00AA4677">
        <w:rPr>
          <w:rFonts w:eastAsia="Times New Roman" w:cs="Arial"/>
          <w:szCs w:val="24"/>
        </w:rPr>
        <w:t>granted</w:t>
      </w:r>
      <w:proofErr w:type="gramEnd"/>
      <w:r w:rsidRPr="00AA4677">
        <w:rPr>
          <w:rFonts w:eastAsia="Times New Roman" w:cs="Arial"/>
          <w:szCs w:val="24"/>
        </w:rPr>
        <w:t xml:space="preserve"> and certification will not be issued until all deficiencies, if any, are corrected to the satisfaction of </w:t>
      </w:r>
      <w:r w:rsidR="001019D1" w:rsidRPr="00AA4677">
        <w:rPr>
          <w:rFonts w:eastAsia="Times New Roman" w:cs="Arial"/>
          <w:szCs w:val="24"/>
        </w:rPr>
        <w:t xml:space="preserve">the </w:t>
      </w:r>
      <w:r w:rsidR="00DC40B1" w:rsidRPr="00AA4677">
        <w:rPr>
          <w:rFonts w:eastAsia="Times New Roman" w:cs="Arial"/>
          <w:szCs w:val="24"/>
        </w:rPr>
        <w:t>final</w:t>
      </w:r>
      <w:r w:rsidRPr="00AA4677">
        <w:rPr>
          <w:rFonts w:eastAsia="Times New Roman" w:cs="Arial"/>
          <w:szCs w:val="24"/>
        </w:rPr>
        <w:t xml:space="preserve"> reviewer(s). </w:t>
      </w:r>
    </w:p>
    <w:p w14:paraId="4DECB875" w14:textId="22BAF594" w:rsidR="003E7C9E" w:rsidRPr="00AA4677" w:rsidRDefault="003E7C9E"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t xml:space="preserve">The outcome of </w:t>
      </w:r>
      <w:r w:rsidR="001019D1" w:rsidRPr="00AA4677">
        <w:rPr>
          <w:rFonts w:eastAsia="Times New Roman" w:cs="Arial"/>
          <w:szCs w:val="24"/>
        </w:rPr>
        <w:t xml:space="preserve">the </w:t>
      </w:r>
      <w:r w:rsidR="00EE7207" w:rsidRPr="00AA4677">
        <w:rPr>
          <w:rFonts w:eastAsia="Times New Roman" w:cs="Arial"/>
          <w:szCs w:val="24"/>
        </w:rPr>
        <w:t>IRB</w:t>
      </w:r>
      <w:r w:rsidR="001019D1" w:rsidRPr="00AA4677">
        <w:rPr>
          <w:rFonts w:eastAsia="Times New Roman" w:cs="Arial"/>
          <w:szCs w:val="24"/>
        </w:rPr>
        <w:t>’</w:t>
      </w:r>
      <w:r w:rsidRPr="00AA4677">
        <w:rPr>
          <w:rFonts w:eastAsia="Times New Roman" w:cs="Arial"/>
          <w:szCs w:val="24"/>
        </w:rPr>
        <w:t>s</w:t>
      </w:r>
      <w:r w:rsidR="005B3436" w:rsidRPr="00AA4677">
        <w:rPr>
          <w:rFonts w:eastAsia="Times New Roman" w:cs="Arial"/>
          <w:szCs w:val="24"/>
        </w:rPr>
        <w:t xml:space="preserve"> or expedited reviewer’s</w:t>
      </w:r>
      <w:r w:rsidRPr="00AA4677">
        <w:rPr>
          <w:rFonts w:eastAsia="Times New Roman" w:cs="Arial"/>
          <w:szCs w:val="24"/>
        </w:rPr>
        <w:t xml:space="preserve"> deliberations is once again communicated to the investigator in writing.</w:t>
      </w:r>
      <w:r w:rsidR="005B3436" w:rsidRPr="00AA4677">
        <w:rPr>
          <w:rFonts w:eastAsia="Times New Roman" w:cs="Arial"/>
          <w:szCs w:val="24"/>
        </w:rPr>
        <w:t xml:space="preserve"> These deliberations are also documented in the minutes and in the electronic study file for full and expedited studies, respectively.</w:t>
      </w:r>
    </w:p>
    <w:p w14:paraId="356670FB" w14:textId="223CF4DB" w:rsidR="003E7C9E" w:rsidRPr="00AA4677" w:rsidRDefault="003E7C9E" w:rsidP="003E7C9E">
      <w:pPr>
        <w:shd w:val="clear" w:color="auto" w:fill="FFFFFF"/>
        <w:spacing w:before="100" w:beforeAutospacing="1" w:after="100" w:afterAutospacing="1" w:line="240" w:lineRule="auto"/>
        <w:rPr>
          <w:rFonts w:eastAsia="Times New Roman" w:cs="Arial"/>
          <w:i/>
          <w:szCs w:val="24"/>
        </w:rPr>
      </w:pPr>
      <w:r w:rsidRPr="00AA4677">
        <w:rPr>
          <w:rFonts w:eastAsia="Times New Roman" w:cs="Arial"/>
          <w:bCs/>
          <w:i/>
          <w:szCs w:val="24"/>
        </w:rPr>
        <w:t>Note:</w:t>
      </w:r>
      <w:r w:rsidRPr="00AA4677">
        <w:rPr>
          <w:rFonts w:eastAsia="Times New Roman" w:cs="Arial"/>
          <w:i/>
          <w:szCs w:val="24"/>
        </w:rPr>
        <w:t xml:space="preserve"> For full review, the expiration date for the protocol is calculated based </w:t>
      </w:r>
      <w:r w:rsidR="001019D1" w:rsidRPr="00AA4677">
        <w:rPr>
          <w:rFonts w:eastAsia="Times New Roman" w:cs="Arial"/>
          <w:i/>
          <w:szCs w:val="24"/>
        </w:rPr>
        <w:t xml:space="preserve">on the date that </w:t>
      </w:r>
      <w:r w:rsidR="00222D14" w:rsidRPr="00AA4677">
        <w:rPr>
          <w:rFonts w:eastAsia="Times New Roman" w:cs="Arial"/>
          <w:i/>
          <w:szCs w:val="24"/>
        </w:rPr>
        <w:t>the convened</w:t>
      </w:r>
      <w:r w:rsidR="001019D1" w:rsidRPr="00AA4677">
        <w:rPr>
          <w:rFonts w:eastAsia="Times New Roman" w:cs="Arial"/>
          <w:i/>
          <w:szCs w:val="24"/>
        </w:rPr>
        <w:t xml:space="preserve"> </w:t>
      </w:r>
      <w:r w:rsidR="00EE7207" w:rsidRPr="00AA4677">
        <w:rPr>
          <w:rFonts w:eastAsia="Times New Roman" w:cs="Arial"/>
          <w:i/>
          <w:szCs w:val="24"/>
        </w:rPr>
        <w:t>IRB</w:t>
      </w:r>
      <w:r w:rsidRPr="00AA4677">
        <w:rPr>
          <w:rFonts w:eastAsia="Times New Roman" w:cs="Arial"/>
          <w:i/>
          <w:szCs w:val="24"/>
        </w:rPr>
        <w:t xml:space="preserve"> reviewed the protocol and NOT on the final approval date.</w:t>
      </w:r>
    </w:p>
    <w:p w14:paraId="3209BC6E" w14:textId="4E5EAC10" w:rsidR="005B3436" w:rsidRPr="00AA4677" w:rsidRDefault="003E7C9E" w:rsidP="003E7C9E">
      <w:pPr>
        <w:shd w:val="clear" w:color="auto" w:fill="FFFFFF"/>
        <w:spacing w:before="100" w:beforeAutospacing="1" w:after="100" w:afterAutospacing="1" w:line="240" w:lineRule="auto"/>
        <w:rPr>
          <w:rFonts w:eastAsia="Times New Roman" w:cs="Arial"/>
          <w:bCs/>
          <w:szCs w:val="24"/>
        </w:rPr>
      </w:pPr>
      <w:r w:rsidRPr="00AA4677">
        <w:rPr>
          <w:rFonts w:eastAsia="Times New Roman" w:cs="Arial"/>
          <w:b/>
          <w:bCs/>
          <w:szCs w:val="24"/>
        </w:rPr>
        <w:t>Deferral</w:t>
      </w:r>
      <w:r w:rsidR="00AE1F7E" w:rsidRPr="00AA4677">
        <w:rPr>
          <w:rFonts w:eastAsia="Times New Roman" w:cs="Arial"/>
          <w:b/>
          <w:bCs/>
          <w:szCs w:val="24"/>
        </w:rPr>
        <w:t xml:space="preserve"> (Expedited Review): </w:t>
      </w:r>
      <w:r w:rsidR="00AE1F7E" w:rsidRPr="00AA4677">
        <w:rPr>
          <w:rFonts w:eastAsia="Times New Roman" w:cs="Arial"/>
          <w:bCs/>
          <w:szCs w:val="24"/>
        </w:rPr>
        <w:t>I</w:t>
      </w:r>
      <w:r w:rsidR="005B3436" w:rsidRPr="00AA4677">
        <w:rPr>
          <w:rFonts w:eastAsia="Times New Roman" w:cs="Arial"/>
          <w:bCs/>
          <w:szCs w:val="24"/>
        </w:rPr>
        <w:t>f an expedited reviewer defers a study, the IRB Staff will place it on the agenda for the next IRB meeting.</w:t>
      </w:r>
    </w:p>
    <w:p w14:paraId="36092EAB" w14:textId="20FBCCF6" w:rsidR="003E7C9E" w:rsidRPr="00AA4677" w:rsidRDefault="00AE1F7E"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b/>
          <w:bCs/>
          <w:szCs w:val="24"/>
        </w:rPr>
        <w:t>Deferral (</w:t>
      </w:r>
      <w:r w:rsidR="005B3436" w:rsidRPr="00AA4677">
        <w:rPr>
          <w:rFonts w:eastAsia="Times New Roman" w:cs="Arial"/>
          <w:b/>
          <w:bCs/>
          <w:szCs w:val="24"/>
        </w:rPr>
        <w:t>Full Review</w:t>
      </w:r>
      <w:r w:rsidRPr="00AA4677">
        <w:rPr>
          <w:rFonts w:eastAsia="Times New Roman" w:cs="Arial"/>
          <w:b/>
          <w:bCs/>
          <w:szCs w:val="24"/>
        </w:rPr>
        <w:t>)</w:t>
      </w:r>
      <w:r w:rsidR="005B3436" w:rsidRPr="00AA4677">
        <w:rPr>
          <w:rFonts w:eastAsia="Times New Roman" w:cs="Arial"/>
          <w:b/>
          <w:bCs/>
          <w:szCs w:val="24"/>
        </w:rPr>
        <w:t>:</w:t>
      </w:r>
      <w:r w:rsidR="005B3436" w:rsidRPr="00AA4677">
        <w:rPr>
          <w:rFonts w:eastAsia="Times New Roman" w:cs="Arial"/>
          <w:bCs/>
          <w:szCs w:val="24"/>
        </w:rPr>
        <w:t xml:space="preserve"> </w:t>
      </w:r>
      <w:r w:rsidR="00825922" w:rsidRPr="00AA4677">
        <w:rPr>
          <w:rFonts w:eastAsia="Times New Roman" w:cs="Arial"/>
          <w:szCs w:val="24"/>
        </w:rPr>
        <w:t xml:space="preserve"> </w:t>
      </w:r>
      <w:r w:rsidR="005B3436" w:rsidRPr="00AA4677">
        <w:rPr>
          <w:rFonts w:eastAsia="Times New Roman" w:cs="Arial"/>
          <w:szCs w:val="24"/>
        </w:rPr>
        <w:t>A deferral means that s</w:t>
      </w:r>
      <w:r w:rsidR="003E7C9E" w:rsidRPr="00AA4677">
        <w:rPr>
          <w:rFonts w:eastAsia="Times New Roman" w:cs="Arial"/>
          <w:szCs w:val="24"/>
        </w:rPr>
        <w:t xml:space="preserve">ubstantive changes regarding the </w:t>
      </w:r>
      <w:r w:rsidR="005B3436" w:rsidRPr="00AA4677">
        <w:rPr>
          <w:rFonts w:eastAsia="Times New Roman" w:cs="Arial"/>
          <w:szCs w:val="24"/>
        </w:rPr>
        <w:t xml:space="preserve">submission </w:t>
      </w:r>
      <w:r w:rsidR="003E7C9E" w:rsidRPr="00AA4677">
        <w:rPr>
          <w:rFonts w:eastAsia="Times New Roman" w:cs="Arial"/>
          <w:szCs w:val="24"/>
        </w:rPr>
        <w:t>must be addressed. This action is taken if substantive modification or clarification is required, or insufficient information is provided to judge the protocol application adequately (</w:t>
      </w:r>
      <w:r w:rsidR="007E5924" w:rsidRPr="00AA4677">
        <w:rPr>
          <w:rFonts w:eastAsia="Times New Roman" w:cs="Arial"/>
          <w:szCs w:val="24"/>
        </w:rPr>
        <w:t>e.g.,</w:t>
      </w:r>
      <w:r w:rsidR="003E7C9E" w:rsidRPr="00AA4677">
        <w:rPr>
          <w:rFonts w:eastAsia="Times New Roman" w:cs="Arial"/>
          <w:szCs w:val="24"/>
        </w:rPr>
        <w:t xml:space="preserve"> the risks and benefits cannot be assessed with the information provided). </w:t>
      </w:r>
      <w:r w:rsidR="001019D1" w:rsidRPr="00AA4677">
        <w:rPr>
          <w:rFonts w:eastAsia="Times New Roman" w:cs="Arial"/>
          <w:szCs w:val="24"/>
        </w:rPr>
        <w:t xml:space="preserve">The </w:t>
      </w:r>
      <w:r w:rsidR="00EE7207" w:rsidRPr="00AA4677">
        <w:rPr>
          <w:rFonts w:eastAsia="Times New Roman" w:cs="Arial"/>
          <w:szCs w:val="24"/>
        </w:rPr>
        <w:t>IRB</w:t>
      </w:r>
      <w:r w:rsidR="003E7C9E" w:rsidRPr="00AA4677">
        <w:rPr>
          <w:rFonts w:eastAsia="Times New Roman" w:cs="Arial"/>
          <w:szCs w:val="24"/>
        </w:rPr>
        <w:t xml:space="preserve"> approval of the proposed research must not occur until subsequent review of the material the PI submitted by the convened </w:t>
      </w:r>
      <w:r w:rsidR="00EE7207" w:rsidRPr="00AA4677">
        <w:rPr>
          <w:rFonts w:eastAsia="Times New Roman" w:cs="Arial"/>
          <w:szCs w:val="24"/>
        </w:rPr>
        <w:t>IRB</w:t>
      </w:r>
      <w:r w:rsidR="005B3436" w:rsidRPr="00AA4677">
        <w:rPr>
          <w:rFonts w:eastAsia="Times New Roman" w:cs="Arial"/>
          <w:szCs w:val="24"/>
        </w:rPr>
        <w:t>.</w:t>
      </w:r>
    </w:p>
    <w:p w14:paraId="195015AA" w14:textId="77777777" w:rsidR="003E7C9E" w:rsidRPr="00AA4677" w:rsidRDefault="003E7C9E" w:rsidP="003E7C9E">
      <w:pPr>
        <w:shd w:val="clear" w:color="auto" w:fill="FFFFFF"/>
        <w:spacing w:before="100" w:beforeAutospacing="1" w:after="100" w:afterAutospacing="1" w:line="240" w:lineRule="auto"/>
        <w:rPr>
          <w:rFonts w:eastAsia="Times New Roman" w:cs="Arial"/>
          <w:szCs w:val="24"/>
        </w:rPr>
      </w:pPr>
      <w:proofErr w:type="gramStart"/>
      <w:r w:rsidRPr="00AA4677">
        <w:rPr>
          <w:rFonts w:eastAsia="Times New Roman" w:cs="Arial"/>
          <w:szCs w:val="24"/>
        </w:rPr>
        <w:t>In order to</w:t>
      </w:r>
      <w:proofErr w:type="gramEnd"/>
      <w:r w:rsidRPr="00AA4677">
        <w:rPr>
          <w:rFonts w:eastAsia="Times New Roman" w:cs="Arial"/>
          <w:szCs w:val="24"/>
        </w:rPr>
        <w:t xml:space="preserve"> receive approval for a protocol deferred for substantive issues:</w:t>
      </w:r>
    </w:p>
    <w:p w14:paraId="305BCF6F" w14:textId="3D2CFFE0" w:rsidR="003E7C9E" w:rsidRPr="00AA4677" w:rsidRDefault="003E7C9E" w:rsidP="00C129F1">
      <w:pPr>
        <w:numPr>
          <w:ilvl w:val="0"/>
          <w:numId w:val="14"/>
        </w:numPr>
        <w:shd w:val="clear" w:color="auto" w:fill="FFFFFF"/>
        <w:tabs>
          <w:tab w:val="clear" w:pos="360"/>
          <w:tab w:val="num" w:pos="0"/>
        </w:tabs>
        <w:spacing w:before="100" w:beforeAutospacing="1" w:after="100" w:afterAutospacing="1" w:line="240" w:lineRule="auto"/>
        <w:rPr>
          <w:rFonts w:eastAsia="Times New Roman" w:cs="Arial"/>
          <w:szCs w:val="24"/>
        </w:rPr>
      </w:pPr>
      <w:r w:rsidRPr="00AA4677">
        <w:rPr>
          <w:rFonts w:eastAsia="Times New Roman" w:cs="Arial"/>
          <w:szCs w:val="24"/>
        </w:rPr>
        <w:t xml:space="preserve">For full review, the investigator’s response must be submitted for review at a subsequent, convened meeting of the same </w:t>
      </w:r>
      <w:r w:rsidR="00EE7207" w:rsidRPr="00AA4677">
        <w:rPr>
          <w:rFonts w:eastAsia="Times New Roman" w:cs="Arial"/>
          <w:szCs w:val="24"/>
        </w:rPr>
        <w:t>IRB</w:t>
      </w:r>
      <w:r w:rsidRPr="00AA4677">
        <w:rPr>
          <w:rFonts w:eastAsia="Times New Roman" w:cs="Arial"/>
          <w:szCs w:val="24"/>
        </w:rPr>
        <w:t xml:space="preserve">. The ORC provides </w:t>
      </w:r>
      <w:r w:rsidR="001019D1" w:rsidRPr="00AA4677">
        <w:rPr>
          <w:rFonts w:eastAsia="Times New Roman" w:cs="Arial"/>
          <w:szCs w:val="24"/>
        </w:rPr>
        <w:t xml:space="preserve">the </w:t>
      </w:r>
      <w:r w:rsidR="00EE7207" w:rsidRPr="00AA4677">
        <w:rPr>
          <w:rFonts w:eastAsia="Times New Roman" w:cs="Arial"/>
          <w:szCs w:val="24"/>
        </w:rPr>
        <w:t>IRB</w:t>
      </w:r>
      <w:r w:rsidRPr="00AA4677">
        <w:rPr>
          <w:rFonts w:eastAsia="Times New Roman" w:cs="Arial"/>
          <w:szCs w:val="24"/>
        </w:rPr>
        <w:t xml:space="preserve"> with the investigator’s response</w:t>
      </w:r>
      <w:r w:rsidR="005B3436" w:rsidRPr="00AA4677">
        <w:rPr>
          <w:rFonts w:eastAsia="Times New Roman" w:cs="Arial"/>
          <w:szCs w:val="24"/>
        </w:rPr>
        <w:t xml:space="preserve">.  All prior and new materials are available to all members via the </w:t>
      </w:r>
      <w:r w:rsidR="00DC5138" w:rsidRPr="00AA4677">
        <w:rPr>
          <w:rFonts w:eastAsia="Times New Roman" w:cs="Arial"/>
          <w:szCs w:val="24"/>
        </w:rPr>
        <w:t>electronic management system</w:t>
      </w:r>
      <w:r w:rsidR="005B3436" w:rsidRPr="00AA4677">
        <w:rPr>
          <w:rFonts w:eastAsia="Times New Roman" w:cs="Arial"/>
          <w:szCs w:val="24"/>
        </w:rPr>
        <w:t xml:space="preserve">. </w:t>
      </w:r>
      <w:r w:rsidRPr="00AA4677">
        <w:rPr>
          <w:rFonts w:eastAsia="Times New Roman" w:cs="Arial"/>
          <w:szCs w:val="24"/>
        </w:rPr>
        <w:t>The item is placed on the agenda for re-review at the next meeting.</w:t>
      </w:r>
    </w:p>
    <w:p w14:paraId="0456643D" w14:textId="25C5FEE5" w:rsidR="003E7C9E" w:rsidRPr="00AA4677" w:rsidRDefault="003E7C9E"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t xml:space="preserve">Approval of the protocol application will not be </w:t>
      </w:r>
      <w:proofErr w:type="gramStart"/>
      <w:r w:rsidRPr="00AA4677">
        <w:rPr>
          <w:rFonts w:eastAsia="Times New Roman" w:cs="Arial"/>
          <w:szCs w:val="24"/>
        </w:rPr>
        <w:t>granted</w:t>
      </w:r>
      <w:proofErr w:type="gramEnd"/>
      <w:r w:rsidRPr="00AA4677">
        <w:rPr>
          <w:rFonts w:eastAsia="Times New Roman" w:cs="Arial"/>
          <w:szCs w:val="24"/>
        </w:rPr>
        <w:t xml:space="preserve"> and certification will not be issued until all deficiencies, if any, are corrected to the satisfaction of </w:t>
      </w:r>
      <w:r w:rsidR="001019D1" w:rsidRPr="00AA4677">
        <w:rPr>
          <w:rFonts w:eastAsia="Times New Roman" w:cs="Arial"/>
          <w:szCs w:val="24"/>
        </w:rPr>
        <w:t xml:space="preserve">the </w:t>
      </w:r>
      <w:r w:rsidR="00EE7207" w:rsidRPr="00AA4677">
        <w:rPr>
          <w:rFonts w:eastAsia="Times New Roman" w:cs="Arial"/>
          <w:szCs w:val="24"/>
        </w:rPr>
        <w:t>IRB</w:t>
      </w:r>
      <w:r w:rsidR="005B3436" w:rsidRPr="00AA4677">
        <w:rPr>
          <w:rFonts w:eastAsia="Times New Roman" w:cs="Arial"/>
          <w:szCs w:val="24"/>
        </w:rPr>
        <w:t>.</w:t>
      </w:r>
    </w:p>
    <w:p w14:paraId="37D04FB0" w14:textId="587B025F" w:rsidR="009014F7" w:rsidRPr="00AA4677" w:rsidRDefault="009014F7"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t>Studies that have been deferred twice and during the review appear to be receiving a third deferral should be considered for a vote of “disapproval” un</w:t>
      </w:r>
      <w:r w:rsidR="00F35410" w:rsidRPr="00AA4677">
        <w:rPr>
          <w:rFonts w:eastAsia="Times New Roman" w:cs="Arial"/>
          <w:szCs w:val="24"/>
        </w:rPr>
        <w:t>less the IRB determines that issues related to the</w:t>
      </w:r>
      <w:r w:rsidRPr="00AA4677">
        <w:rPr>
          <w:rFonts w:eastAsia="Times New Roman" w:cs="Arial"/>
          <w:szCs w:val="24"/>
        </w:rPr>
        <w:t xml:space="preserve"> deferral can be corrected.</w:t>
      </w:r>
    </w:p>
    <w:p w14:paraId="01502605" w14:textId="5EBEF379" w:rsidR="003E7C9E" w:rsidRPr="00AA4677" w:rsidRDefault="001019D1"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t xml:space="preserve">The outcome of the </w:t>
      </w:r>
      <w:r w:rsidR="00EE7207" w:rsidRPr="00AA4677">
        <w:rPr>
          <w:rFonts w:eastAsia="Times New Roman" w:cs="Arial"/>
          <w:szCs w:val="24"/>
        </w:rPr>
        <w:t>IRB</w:t>
      </w:r>
      <w:r w:rsidR="000042C4" w:rsidRPr="00AA4677">
        <w:rPr>
          <w:rFonts w:eastAsia="Times New Roman" w:cs="Arial"/>
          <w:szCs w:val="24"/>
        </w:rPr>
        <w:t>'s deliberations is</w:t>
      </w:r>
      <w:r w:rsidR="003E7C9E" w:rsidRPr="00AA4677">
        <w:rPr>
          <w:rFonts w:eastAsia="Times New Roman" w:cs="Arial"/>
          <w:szCs w:val="24"/>
        </w:rPr>
        <w:t xml:space="preserve"> communicated to the investigator in writing.</w:t>
      </w:r>
    </w:p>
    <w:p w14:paraId="7ACF4795" w14:textId="5F4D07AD" w:rsidR="003E7C9E" w:rsidRPr="00AA4677" w:rsidRDefault="001019D1"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lastRenderedPageBreak/>
        <w:t xml:space="preserve">The </w:t>
      </w:r>
      <w:r w:rsidR="00EE7207" w:rsidRPr="00AA4677">
        <w:rPr>
          <w:rFonts w:eastAsia="Times New Roman" w:cs="Arial"/>
          <w:szCs w:val="24"/>
        </w:rPr>
        <w:t>IRB</w:t>
      </w:r>
      <w:r w:rsidR="003E7C9E" w:rsidRPr="00AA4677">
        <w:rPr>
          <w:rFonts w:eastAsia="Times New Roman" w:cs="Arial"/>
          <w:szCs w:val="24"/>
        </w:rPr>
        <w:t>'s determination concerning the subsequent amended submission will be documented in the minutes of the</w:t>
      </w:r>
      <w:r w:rsidRPr="00AA4677">
        <w:rPr>
          <w:rFonts w:eastAsia="Times New Roman" w:cs="Arial"/>
          <w:szCs w:val="24"/>
        </w:rPr>
        <w:t xml:space="preserve"> </w:t>
      </w:r>
      <w:r w:rsidR="00EE7207" w:rsidRPr="00AA4677">
        <w:rPr>
          <w:rFonts w:eastAsia="Times New Roman" w:cs="Arial"/>
          <w:szCs w:val="24"/>
        </w:rPr>
        <w:t>IRB</w:t>
      </w:r>
      <w:r w:rsidR="003E7C9E" w:rsidRPr="00AA4677">
        <w:rPr>
          <w:rFonts w:eastAsia="Times New Roman" w:cs="Arial"/>
          <w:szCs w:val="24"/>
        </w:rPr>
        <w:t xml:space="preserve"> meeting.</w:t>
      </w:r>
    </w:p>
    <w:p w14:paraId="7CFA210D" w14:textId="25D1A899" w:rsidR="003E7C9E" w:rsidRPr="00AA4677" w:rsidRDefault="003E7C9E"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b/>
          <w:bCs/>
          <w:szCs w:val="24"/>
        </w:rPr>
        <w:t>Disapproval</w:t>
      </w:r>
      <w:r w:rsidR="007D2D53" w:rsidRPr="00AA4677">
        <w:rPr>
          <w:rFonts w:eastAsia="Times New Roman" w:cs="Arial"/>
          <w:b/>
          <w:bCs/>
          <w:szCs w:val="24"/>
        </w:rPr>
        <w:t>:</w:t>
      </w:r>
      <w:r w:rsidR="001019D1" w:rsidRPr="00AA4677">
        <w:rPr>
          <w:rFonts w:eastAsia="Times New Roman" w:cs="Arial"/>
          <w:b/>
          <w:bCs/>
          <w:szCs w:val="24"/>
        </w:rPr>
        <w:t xml:space="preserve"> </w:t>
      </w:r>
      <w:r w:rsidR="001019D1" w:rsidRPr="00AA4677">
        <w:rPr>
          <w:rFonts w:eastAsia="Times New Roman" w:cs="Arial"/>
          <w:szCs w:val="24"/>
        </w:rPr>
        <w:t xml:space="preserve">The </w:t>
      </w:r>
      <w:r w:rsidR="00EE7207" w:rsidRPr="00AA4677">
        <w:rPr>
          <w:rFonts w:eastAsia="Times New Roman" w:cs="Arial"/>
          <w:szCs w:val="24"/>
        </w:rPr>
        <w:t>IRB</w:t>
      </w:r>
      <w:r w:rsidR="001019D1" w:rsidRPr="00AA4677">
        <w:rPr>
          <w:rFonts w:eastAsia="Times New Roman" w:cs="Arial"/>
          <w:szCs w:val="24"/>
        </w:rPr>
        <w:t xml:space="preserve"> </w:t>
      </w:r>
      <w:r w:rsidRPr="00AA4677">
        <w:rPr>
          <w:rFonts w:eastAsia="Times New Roman" w:cs="Arial"/>
          <w:szCs w:val="24"/>
        </w:rPr>
        <w:t xml:space="preserve">has determined that the research cannot be conducted at </w:t>
      </w:r>
      <w:r w:rsidR="001019D1" w:rsidRPr="00AA4677">
        <w:rPr>
          <w:rFonts w:eastAsia="Times New Roman" w:cs="Arial"/>
          <w:szCs w:val="24"/>
        </w:rPr>
        <w:t xml:space="preserve">the University </w:t>
      </w:r>
      <w:r w:rsidRPr="00AA4677">
        <w:rPr>
          <w:rFonts w:eastAsia="Times New Roman" w:cs="Arial"/>
          <w:szCs w:val="24"/>
        </w:rPr>
        <w:t xml:space="preserve">or by employees or agents of </w:t>
      </w:r>
      <w:r w:rsidR="001019D1" w:rsidRPr="00AA4677">
        <w:rPr>
          <w:rFonts w:eastAsia="Times New Roman" w:cs="Arial"/>
          <w:szCs w:val="24"/>
        </w:rPr>
        <w:t>the University</w:t>
      </w:r>
      <w:r w:rsidRPr="00AA4677">
        <w:rPr>
          <w:rFonts w:eastAsia="Times New Roman" w:cs="Arial"/>
          <w:szCs w:val="24"/>
        </w:rPr>
        <w:t xml:space="preserve"> or otherwise under the auspices of </w:t>
      </w:r>
      <w:r w:rsidR="001019D1" w:rsidRPr="00AA4677">
        <w:rPr>
          <w:rFonts w:eastAsia="Times New Roman" w:cs="Arial"/>
          <w:szCs w:val="24"/>
        </w:rPr>
        <w:t>the University.</w:t>
      </w:r>
      <w:r w:rsidRPr="00AA4677">
        <w:rPr>
          <w:rFonts w:eastAsia="Times New Roman" w:cs="Arial"/>
          <w:szCs w:val="24"/>
        </w:rPr>
        <w:t xml:space="preserve"> </w:t>
      </w:r>
      <w:proofErr w:type="gramStart"/>
      <w:r w:rsidRPr="00AA4677">
        <w:rPr>
          <w:rFonts w:eastAsia="Times New Roman" w:cs="Arial"/>
          <w:szCs w:val="24"/>
        </w:rPr>
        <w:t>Disapprovals</w:t>
      </w:r>
      <w:proofErr w:type="gramEnd"/>
      <w:r w:rsidRPr="00AA4677">
        <w:rPr>
          <w:rFonts w:eastAsia="Times New Roman" w:cs="Arial"/>
          <w:szCs w:val="24"/>
        </w:rPr>
        <w:t xml:space="preserve"> must be determined at meetings of the full committee; they cannot be determined at the level of expedited review.</w:t>
      </w:r>
    </w:p>
    <w:p w14:paraId="22D2FA1E" w14:textId="62CE77AA" w:rsidR="003E7C9E" w:rsidRPr="00AA4677" w:rsidRDefault="003E7C9E" w:rsidP="003E7C9E">
      <w:pPr>
        <w:shd w:val="clear" w:color="auto" w:fill="FFFFFF"/>
        <w:spacing w:before="100" w:beforeAutospacing="1" w:after="100" w:afterAutospacing="1" w:line="240" w:lineRule="auto"/>
        <w:rPr>
          <w:rFonts w:eastAsia="Times New Roman" w:cs="Arial"/>
          <w:szCs w:val="24"/>
        </w:rPr>
      </w:pPr>
      <w:r w:rsidRPr="00AA4677">
        <w:rPr>
          <w:rFonts w:eastAsia="Times New Roman" w:cs="Arial"/>
          <w:b/>
          <w:bCs/>
          <w:szCs w:val="24"/>
        </w:rPr>
        <w:t>Tabled</w:t>
      </w:r>
      <w:r w:rsidR="007D2D53" w:rsidRPr="00AA4677">
        <w:rPr>
          <w:rFonts w:eastAsia="Times New Roman" w:cs="Arial"/>
          <w:b/>
          <w:bCs/>
          <w:szCs w:val="24"/>
        </w:rPr>
        <w:t>:</w:t>
      </w:r>
      <w:r w:rsidRPr="00AA4677">
        <w:rPr>
          <w:rFonts w:eastAsia="Times New Roman" w:cs="Arial"/>
          <w:b/>
          <w:bCs/>
          <w:szCs w:val="24"/>
        </w:rPr>
        <w:t> </w:t>
      </w:r>
      <w:r w:rsidR="001019D1" w:rsidRPr="00AA4677">
        <w:rPr>
          <w:rFonts w:eastAsia="Times New Roman" w:cs="Arial"/>
          <w:szCs w:val="24"/>
        </w:rPr>
        <w:t xml:space="preserve">The </w:t>
      </w:r>
      <w:r w:rsidR="00EE7207" w:rsidRPr="00AA4677">
        <w:rPr>
          <w:rFonts w:eastAsia="Times New Roman" w:cs="Arial"/>
          <w:szCs w:val="24"/>
        </w:rPr>
        <w:t>IRB</w:t>
      </w:r>
      <w:r w:rsidRPr="00AA4677">
        <w:rPr>
          <w:rFonts w:eastAsia="Times New Roman" w:cs="Arial"/>
          <w:szCs w:val="24"/>
        </w:rPr>
        <w:t xml:space="preserve"> is unable to review the research at the convened meeting (e.g., due to incomplete submission, loss of quorum, etc.)</w:t>
      </w:r>
      <w:r w:rsidR="001019D1" w:rsidRPr="00AA4677">
        <w:rPr>
          <w:rFonts w:eastAsia="Times New Roman" w:cs="Arial"/>
          <w:szCs w:val="24"/>
        </w:rPr>
        <w:t>.</w:t>
      </w:r>
      <w:r w:rsidRPr="00AA4677">
        <w:rPr>
          <w:rFonts w:eastAsia="Times New Roman" w:cs="Arial"/>
          <w:szCs w:val="24"/>
        </w:rPr>
        <w:t xml:space="preserve">  </w:t>
      </w:r>
    </w:p>
    <w:p w14:paraId="12D21742" w14:textId="2223FCFF" w:rsidR="003E7C9E" w:rsidRPr="00AA4677" w:rsidRDefault="003E7C9E" w:rsidP="00696B35">
      <w:pPr>
        <w:pStyle w:val="Heading2"/>
      </w:pPr>
      <w:bookmarkStart w:id="70" w:name="_Toc192678179"/>
      <w:r w:rsidRPr="00AA4677">
        <w:t>3.11 Study Suspension, Termination</w:t>
      </w:r>
      <w:bookmarkEnd w:id="70"/>
      <w:r w:rsidRPr="00AA4677">
        <w:t xml:space="preserve"> </w:t>
      </w:r>
    </w:p>
    <w:p w14:paraId="5AE518B2" w14:textId="206A7ED8" w:rsidR="003E7C9E" w:rsidRPr="00AA4677" w:rsidRDefault="003E7C9E" w:rsidP="00C57C98">
      <w:pPr>
        <w:pStyle w:val="Heading3"/>
      </w:pPr>
      <w:r w:rsidRPr="00AA4677">
        <w:t>3.11.1 Suspension/Termination</w:t>
      </w:r>
    </w:p>
    <w:p w14:paraId="21F14493" w14:textId="3EEF717F" w:rsidR="003E7C9E" w:rsidRPr="00AA4677" w:rsidRDefault="00EE7207"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w:t>
      </w:r>
      <w:r w:rsidR="003E7C9E" w:rsidRPr="00AA4677">
        <w:rPr>
          <w:rFonts w:eastAsia="Times New Roman" w:cs="Times New Roman"/>
          <w:szCs w:val="24"/>
        </w:rPr>
        <w:t xml:space="preserve"> </w:t>
      </w:r>
      <w:r w:rsidR="00A11007" w:rsidRPr="00AA4677">
        <w:rPr>
          <w:rFonts w:eastAsia="Times New Roman" w:cs="Times New Roman"/>
          <w:szCs w:val="24"/>
        </w:rPr>
        <w:t xml:space="preserve">approval </w:t>
      </w:r>
      <w:r w:rsidR="003E7C9E" w:rsidRPr="00AA4677">
        <w:rPr>
          <w:rFonts w:eastAsia="Times New Roman" w:cs="Times New Roman"/>
          <w:szCs w:val="24"/>
        </w:rPr>
        <w:t xml:space="preserve">may </w:t>
      </w:r>
      <w:r w:rsidR="00A11007" w:rsidRPr="00AA4677">
        <w:rPr>
          <w:rFonts w:eastAsia="Times New Roman" w:cs="Times New Roman"/>
          <w:szCs w:val="24"/>
        </w:rPr>
        <w:t xml:space="preserve">be </w:t>
      </w:r>
      <w:r w:rsidR="003E7C9E" w:rsidRPr="00AA4677">
        <w:rPr>
          <w:rFonts w:eastAsia="Times New Roman" w:cs="Times New Roman"/>
          <w:szCs w:val="24"/>
        </w:rPr>
        <w:t>suspend</w:t>
      </w:r>
      <w:r w:rsidR="00A11007" w:rsidRPr="00AA4677">
        <w:rPr>
          <w:rFonts w:eastAsia="Times New Roman" w:cs="Times New Roman"/>
          <w:szCs w:val="24"/>
        </w:rPr>
        <w:t>ed</w:t>
      </w:r>
      <w:r w:rsidR="003E7C9E" w:rsidRPr="00AA4677">
        <w:rPr>
          <w:rFonts w:eastAsia="Times New Roman" w:cs="Times New Roman"/>
          <w:szCs w:val="24"/>
        </w:rPr>
        <w:t xml:space="preserve"> or terminate</w:t>
      </w:r>
      <w:r w:rsidR="00A11007" w:rsidRPr="00AA4677">
        <w:rPr>
          <w:rFonts w:eastAsia="Times New Roman" w:cs="Times New Roman"/>
          <w:szCs w:val="24"/>
        </w:rPr>
        <w:t>d if</w:t>
      </w:r>
      <w:r w:rsidR="003E7C9E" w:rsidRPr="00AA4677">
        <w:rPr>
          <w:rFonts w:eastAsia="Times New Roman" w:cs="Times New Roman"/>
          <w:szCs w:val="24"/>
        </w:rPr>
        <w:t xml:space="preserve"> research </w:t>
      </w:r>
      <w:r w:rsidR="00A11007" w:rsidRPr="00AA4677">
        <w:rPr>
          <w:rFonts w:eastAsia="Times New Roman" w:cs="Times New Roman"/>
          <w:szCs w:val="24"/>
        </w:rPr>
        <w:t xml:space="preserve">is </w:t>
      </w:r>
      <w:r w:rsidR="003E7C9E" w:rsidRPr="00AA4677">
        <w:rPr>
          <w:rFonts w:eastAsia="Times New Roman" w:cs="Times New Roman"/>
          <w:szCs w:val="24"/>
        </w:rPr>
        <w:t>not being conducted in accordance with</w:t>
      </w:r>
      <w:r w:rsidR="001019D1" w:rsidRPr="00AA4677">
        <w:rPr>
          <w:rFonts w:eastAsia="Times New Roman" w:cs="Times New Roman"/>
          <w:szCs w:val="24"/>
        </w:rPr>
        <w:t xml:space="preserve"> the </w:t>
      </w:r>
      <w:r w:rsidRPr="00AA4677">
        <w:rPr>
          <w:rFonts w:eastAsia="Times New Roman" w:cs="Times New Roman"/>
          <w:szCs w:val="24"/>
        </w:rPr>
        <w:t>IRB</w:t>
      </w:r>
      <w:r w:rsidR="001019D1" w:rsidRPr="00AA4677">
        <w:rPr>
          <w:rFonts w:eastAsia="Times New Roman" w:cs="Times New Roman"/>
          <w:szCs w:val="24"/>
        </w:rPr>
        <w:t xml:space="preserve"> </w:t>
      </w:r>
      <w:r w:rsidR="003E7C9E" w:rsidRPr="00AA4677">
        <w:rPr>
          <w:rFonts w:eastAsia="Times New Roman" w:cs="Times New Roman"/>
          <w:szCs w:val="24"/>
        </w:rPr>
        <w:t>or regulatory requirements or that has been associated with unexpected problems or serious harm to subjects.  (See Section 8 for a discussion of unexpected problems and Section 10 for a discussion of non-compliance). </w:t>
      </w:r>
      <w:r w:rsidR="00A11007" w:rsidRPr="00AA4677">
        <w:t xml:space="preserve">The IRB’s authority to suspend or terminate research applies to all research </w:t>
      </w:r>
      <w:proofErr w:type="gramStart"/>
      <w:r w:rsidR="00A11007" w:rsidRPr="00AA4677">
        <w:t>subject</w:t>
      </w:r>
      <w:proofErr w:type="gramEnd"/>
      <w:r w:rsidR="00A11007" w:rsidRPr="00AA4677">
        <w:t xml:space="preserve"> to IRB approval, including exempt research with limited IRB review and research for which continuing review is no longer required.</w:t>
      </w:r>
    </w:p>
    <w:p w14:paraId="3FE0820F" w14:textId="192D9C58" w:rsidR="003E7C9E" w:rsidRPr="00AA4677" w:rsidRDefault="006017A8"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Suspension of</w:t>
      </w:r>
      <w:r w:rsidR="001019D1" w:rsidRPr="00AA4677">
        <w:rPr>
          <w:rFonts w:eastAsia="Times New Roman" w:cs="Times New Roman"/>
          <w:szCs w:val="24"/>
        </w:rPr>
        <w:t xml:space="preserve"> </w:t>
      </w:r>
      <w:r w:rsidR="00EE7207" w:rsidRPr="00AA4677">
        <w:rPr>
          <w:rFonts w:eastAsia="Times New Roman" w:cs="Times New Roman"/>
          <w:szCs w:val="24"/>
        </w:rPr>
        <w:t>IRB</w:t>
      </w:r>
      <w:r w:rsidR="003E7C9E" w:rsidRPr="00AA4677">
        <w:rPr>
          <w:rFonts w:eastAsia="Times New Roman" w:cs="Times New Roman"/>
          <w:szCs w:val="24"/>
        </w:rPr>
        <w:t xml:space="preserve"> approval is a directive of the convened </w:t>
      </w:r>
      <w:r w:rsidR="00EE7207" w:rsidRPr="00AA4677">
        <w:rPr>
          <w:rFonts w:eastAsia="Times New Roman" w:cs="Times New Roman"/>
          <w:szCs w:val="24"/>
        </w:rPr>
        <w:t>IRB</w:t>
      </w:r>
      <w:r w:rsidR="003E7C9E" w:rsidRPr="00AA4677">
        <w:rPr>
          <w:rFonts w:eastAsia="Times New Roman" w:cs="Times New Roman"/>
          <w:szCs w:val="24"/>
        </w:rPr>
        <w:t>,</w:t>
      </w:r>
      <w:r w:rsidR="001019D1" w:rsidRPr="00AA4677">
        <w:rPr>
          <w:rFonts w:eastAsia="Times New Roman" w:cs="Times New Roman"/>
          <w:szCs w:val="24"/>
        </w:rPr>
        <w:t xml:space="preserve"> </w:t>
      </w:r>
      <w:r w:rsidR="00EE7207" w:rsidRPr="00AA4677">
        <w:rPr>
          <w:rFonts w:eastAsia="Times New Roman" w:cs="Times New Roman"/>
          <w:szCs w:val="24"/>
        </w:rPr>
        <w:t>IRB</w:t>
      </w:r>
      <w:r w:rsidR="003E7C9E" w:rsidRPr="00AA4677">
        <w:rPr>
          <w:rFonts w:eastAsia="Times New Roman" w:cs="Times New Roman"/>
          <w:szCs w:val="24"/>
        </w:rPr>
        <w:t xml:space="preserve"> Chair, </w:t>
      </w:r>
      <w:r w:rsidR="00C66572" w:rsidRPr="00AA4677">
        <w:rPr>
          <w:rFonts w:eastAsia="Times New Roman" w:cs="Times New Roman"/>
          <w:szCs w:val="24"/>
        </w:rPr>
        <w:t>AVP-RC</w:t>
      </w:r>
      <w:r w:rsidR="00E71CAB" w:rsidRPr="00AA4677">
        <w:rPr>
          <w:rFonts w:eastAsia="Times New Roman" w:cs="Times New Roman"/>
          <w:szCs w:val="24"/>
        </w:rPr>
        <w:t xml:space="preserve">, </w:t>
      </w:r>
      <w:r w:rsidR="003E7C9E" w:rsidRPr="00AA4677">
        <w:rPr>
          <w:rFonts w:eastAsia="Times New Roman" w:cs="Times New Roman"/>
          <w:szCs w:val="24"/>
        </w:rPr>
        <w:t xml:space="preserve">or </w:t>
      </w:r>
      <w:r w:rsidR="00E71CAB" w:rsidRPr="00AA4677">
        <w:rPr>
          <w:rFonts w:eastAsia="Times New Roman" w:cs="Times New Roman"/>
          <w:szCs w:val="24"/>
        </w:rPr>
        <w:t xml:space="preserve">the </w:t>
      </w:r>
      <w:r w:rsidR="00E25287" w:rsidRPr="00AA4677">
        <w:rPr>
          <w:rFonts w:eastAsia="Times New Roman" w:cs="Times New Roman"/>
          <w:szCs w:val="24"/>
        </w:rPr>
        <w:t>IO to tempo</w:t>
      </w:r>
      <w:r w:rsidR="003E7C9E" w:rsidRPr="00AA4677">
        <w:rPr>
          <w:rFonts w:eastAsia="Times New Roman" w:cs="Times New Roman"/>
          <w:szCs w:val="24"/>
        </w:rPr>
        <w:t xml:space="preserve">rarily stop some or all previously approved research activities. Suspended protocols remain open and require continuing review. Termination of </w:t>
      </w:r>
      <w:r w:rsidR="00EE7207" w:rsidRPr="00AA4677">
        <w:rPr>
          <w:rFonts w:eastAsia="Times New Roman" w:cs="Times New Roman"/>
          <w:szCs w:val="24"/>
        </w:rPr>
        <w:t>IRB</w:t>
      </w:r>
      <w:r w:rsidR="003E7C9E" w:rsidRPr="00AA4677">
        <w:rPr>
          <w:rFonts w:eastAsia="Times New Roman" w:cs="Times New Roman"/>
          <w:szCs w:val="24"/>
        </w:rPr>
        <w:t xml:space="preserve"> approval is a directive of the convened </w:t>
      </w:r>
      <w:r w:rsidR="00EE7207" w:rsidRPr="00AA4677">
        <w:rPr>
          <w:rFonts w:eastAsia="Times New Roman" w:cs="Times New Roman"/>
          <w:szCs w:val="24"/>
        </w:rPr>
        <w:t>IRB</w:t>
      </w:r>
      <w:r w:rsidR="000042C4" w:rsidRPr="00AA4677">
        <w:rPr>
          <w:rFonts w:eastAsia="Times New Roman" w:cs="Times New Roman"/>
          <w:szCs w:val="24"/>
        </w:rPr>
        <w:t xml:space="preserve"> to</w:t>
      </w:r>
      <w:r w:rsidR="003E7C9E" w:rsidRPr="00AA4677">
        <w:rPr>
          <w:rFonts w:eastAsia="Times New Roman" w:cs="Times New Roman"/>
          <w:szCs w:val="24"/>
        </w:rPr>
        <w:t xml:space="preserve"> permanently</w:t>
      </w:r>
      <w:r w:rsidR="000042C4" w:rsidRPr="00AA4677">
        <w:rPr>
          <w:rFonts w:eastAsia="Times New Roman" w:cs="Times New Roman"/>
          <w:szCs w:val="24"/>
        </w:rPr>
        <w:t xml:space="preserve"> stop</w:t>
      </w:r>
      <w:r w:rsidR="003E7C9E" w:rsidRPr="00AA4677">
        <w:rPr>
          <w:rFonts w:eastAsia="Times New Roman" w:cs="Times New Roman"/>
          <w:szCs w:val="24"/>
        </w:rPr>
        <w:t xml:space="preserve"> all activities in a previously approved research protocol. Terminated protocols are considered closed and no longer require continuing review.</w:t>
      </w:r>
    </w:p>
    <w:p w14:paraId="22EA5E4E" w14:textId="4E414DA4" w:rsidR="003E7C9E" w:rsidRPr="00AA4677" w:rsidRDefault="001019D1"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shall notify the PI and the PI’s </w:t>
      </w:r>
      <w:r w:rsidRPr="00AA4677">
        <w:rPr>
          <w:rFonts w:eastAsia="Times New Roman" w:cs="Times New Roman"/>
          <w:szCs w:val="24"/>
        </w:rPr>
        <w:t>d</w:t>
      </w:r>
      <w:r w:rsidR="003E7C9E" w:rsidRPr="00AA4677">
        <w:rPr>
          <w:rFonts w:eastAsia="Times New Roman" w:cs="Times New Roman"/>
          <w:szCs w:val="24"/>
        </w:rPr>
        <w:t xml:space="preserve">epartment </w:t>
      </w:r>
      <w:r w:rsidRPr="00AA4677">
        <w:rPr>
          <w:rFonts w:eastAsia="Times New Roman" w:cs="Times New Roman"/>
          <w:szCs w:val="24"/>
        </w:rPr>
        <w:t>c</w:t>
      </w:r>
      <w:r w:rsidR="003E7C9E" w:rsidRPr="00AA4677">
        <w:rPr>
          <w:rFonts w:eastAsia="Times New Roman" w:cs="Times New Roman"/>
          <w:szCs w:val="24"/>
        </w:rPr>
        <w:t xml:space="preserve">hair </w:t>
      </w:r>
      <w:r w:rsidR="008D1CEA" w:rsidRPr="00AA4677">
        <w:rPr>
          <w:rFonts w:eastAsia="Times New Roman" w:cs="Times New Roman"/>
          <w:szCs w:val="24"/>
        </w:rPr>
        <w:t xml:space="preserve">promptly and </w:t>
      </w:r>
      <w:r w:rsidR="003E7C9E" w:rsidRPr="00AA4677">
        <w:rPr>
          <w:rFonts w:eastAsia="Times New Roman" w:cs="Times New Roman"/>
          <w:szCs w:val="24"/>
        </w:rPr>
        <w:t xml:space="preserve">in writing of such suspensions or terminations and shall include a statement of the reasons for </w:t>
      </w: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's actions. The terms and conditions of the suspension must be explicit. The investigator shall be provided with an opportunity to respond in person or in writing.</w:t>
      </w:r>
    </w:p>
    <w:p w14:paraId="14309C8C" w14:textId="0C82AB7F"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Chair</w:t>
      </w:r>
      <w:r w:rsidR="00C66572" w:rsidRPr="00AA4677">
        <w:rPr>
          <w:rFonts w:eastAsia="Times New Roman" w:cs="Times New Roman"/>
          <w:szCs w:val="24"/>
        </w:rPr>
        <w:t>, AVP-RC</w:t>
      </w:r>
      <w:r w:rsidR="00E71CAB" w:rsidRPr="00AA4677">
        <w:rPr>
          <w:rFonts w:eastAsia="Times New Roman" w:cs="Times New Roman"/>
          <w:szCs w:val="24"/>
        </w:rPr>
        <w:t xml:space="preserve">, </w:t>
      </w:r>
      <w:r w:rsidRPr="00AA4677">
        <w:rPr>
          <w:rFonts w:eastAsia="Times New Roman" w:cs="Times New Roman"/>
          <w:szCs w:val="24"/>
        </w:rPr>
        <w:t xml:space="preserve">or IO may suspend research to ensure protection of the rights and welfare of </w:t>
      </w:r>
      <w:r w:rsidR="00BF7470" w:rsidRPr="00AA4677">
        <w:rPr>
          <w:rFonts w:eastAsia="Times New Roman" w:cs="Times New Roman"/>
          <w:szCs w:val="24"/>
        </w:rPr>
        <w:t>subject</w:t>
      </w:r>
      <w:r w:rsidRPr="00AA4677">
        <w:rPr>
          <w:rFonts w:eastAsia="Times New Roman" w:cs="Times New Roman"/>
          <w:szCs w:val="24"/>
        </w:rPr>
        <w:t>s</w:t>
      </w:r>
      <w:r w:rsidR="008D1CEA" w:rsidRPr="00AA4677">
        <w:rPr>
          <w:rFonts w:eastAsia="Times New Roman" w:cs="Times New Roman"/>
          <w:szCs w:val="24"/>
        </w:rPr>
        <w:t xml:space="preserve"> on an urgent basis</w:t>
      </w:r>
      <w:r w:rsidRPr="00AA4677">
        <w:rPr>
          <w:rFonts w:eastAsia="Times New Roman" w:cs="Times New Roman"/>
          <w:szCs w:val="24"/>
        </w:rPr>
        <w:t xml:space="preserve">.  Suspension </w:t>
      </w:r>
      <w:r w:rsidR="000042C4" w:rsidRPr="00AA4677">
        <w:rPr>
          <w:rFonts w:eastAsia="Times New Roman" w:cs="Times New Roman"/>
          <w:szCs w:val="24"/>
        </w:rPr>
        <w:t>or IRB approval</w:t>
      </w:r>
      <w:r w:rsidRPr="00AA4677">
        <w:rPr>
          <w:rFonts w:eastAsia="Times New Roman" w:cs="Times New Roman"/>
          <w:szCs w:val="24"/>
        </w:rPr>
        <w:t xml:space="preserve"> made by the</w:t>
      </w:r>
      <w:r w:rsidR="00E71CAB" w:rsidRPr="00AA4677">
        <w:rPr>
          <w:rFonts w:eastAsia="Times New Roman" w:cs="Times New Roman"/>
          <w:szCs w:val="24"/>
        </w:rPr>
        <w:t xml:space="preserve">se individuals </w:t>
      </w:r>
      <w:r w:rsidRPr="00AA4677">
        <w:rPr>
          <w:rFonts w:eastAsia="Times New Roman" w:cs="Times New Roman"/>
          <w:b/>
          <w:szCs w:val="24"/>
        </w:rPr>
        <w:t>must</w:t>
      </w:r>
      <w:r w:rsidRPr="00AA4677">
        <w:rPr>
          <w:rFonts w:eastAsia="Times New Roman" w:cs="Times New Roman"/>
          <w:szCs w:val="24"/>
        </w:rPr>
        <w:t xml:space="preserve"> be reported to </w:t>
      </w:r>
      <w:r w:rsidR="001019D1" w:rsidRPr="00AA4677">
        <w:rPr>
          <w:rFonts w:eastAsia="Times New Roman" w:cs="Times New Roman"/>
          <w:szCs w:val="24"/>
        </w:rPr>
        <w:t xml:space="preserve">a meeting of the convened </w:t>
      </w:r>
      <w:r w:rsidR="00EE7207" w:rsidRPr="00AA4677">
        <w:rPr>
          <w:rFonts w:eastAsia="Times New Roman" w:cs="Times New Roman"/>
          <w:szCs w:val="24"/>
        </w:rPr>
        <w:t>IRB</w:t>
      </w:r>
      <w:r w:rsidR="00563823" w:rsidRPr="00AA4677">
        <w:rPr>
          <w:rFonts w:eastAsia="Times New Roman" w:cs="Times New Roman"/>
          <w:szCs w:val="24"/>
        </w:rPr>
        <w:t xml:space="preserve"> for further deliberation and actions. </w:t>
      </w:r>
    </w:p>
    <w:p w14:paraId="27F261E8" w14:textId="3B14968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Research may only </w:t>
      </w:r>
      <w:proofErr w:type="gramStart"/>
      <w:r w:rsidRPr="00AA4677">
        <w:rPr>
          <w:rFonts w:eastAsia="Times New Roman" w:cs="Times New Roman"/>
          <w:szCs w:val="24"/>
        </w:rPr>
        <w:t>terminated</w:t>
      </w:r>
      <w:proofErr w:type="gramEnd"/>
      <w:r w:rsidRPr="00AA4677">
        <w:rPr>
          <w:rFonts w:eastAsia="Times New Roman" w:cs="Times New Roman"/>
          <w:szCs w:val="24"/>
        </w:rPr>
        <w:t xml:space="preserve"> by the convened </w:t>
      </w:r>
      <w:r w:rsidR="00EE7207" w:rsidRPr="00AA4677">
        <w:rPr>
          <w:rFonts w:eastAsia="Times New Roman" w:cs="Times New Roman"/>
          <w:szCs w:val="24"/>
        </w:rPr>
        <w:t>IRB</w:t>
      </w:r>
      <w:r w:rsidRPr="00AA4677">
        <w:rPr>
          <w:rFonts w:eastAsia="Times New Roman" w:cs="Times New Roman"/>
          <w:szCs w:val="24"/>
        </w:rPr>
        <w:t>. Terminati</w:t>
      </w:r>
      <w:r w:rsidR="000042C4" w:rsidRPr="00AA4677">
        <w:rPr>
          <w:rFonts w:eastAsia="Times New Roman" w:cs="Times New Roman"/>
          <w:szCs w:val="24"/>
        </w:rPr>
        <w:t xml:space="preserve">ons of protocols approved under </w:t>
      </w:r>
      <w:r w:rsidRPr="00AA4677">
        <w:rPr>
          <w:rFonts w:eastAsia="Times New Roman" w:cs="Times New Roman"/>
          <w:szCs w:val="24"/>
        </w:rPr>
        <w:t xml:space="preserve">expedited review must be made by the convened </w:t>
      </w:r>
      <w:r w:rsidR="00EE7207" w:rsidRPr="00AA4677">
        <w:rPr>
          <w:rFonts w:eastAsia="Times New Roman" w:cs="Times New Roman"/>
          <w:szCs w:val="24"/>
        </w:rPr>
        <w:t>IRB</w:t>
      </w:r>
      <w:r w:rsidRPr="00AA4677">
        <w:rPr>
          <w:rFonts w:eastAsia="Times New Roman" w:cs="Times New Roman"/>
          <w:szCs w:val="24"/>
        </w:rPr>
        <w:t>.</w:t>
      </w:r>
    </w:p>
    <w:p w14:paraId="18A2B9DB" w14:textId="36F51580"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When study approval is suspended or terminated by the convened </w:t>
      </w:r>
      <w:r w:rsidR="00EE7207" w:rsidRPr="00AA4677">
        <w:rPr>
          <w:rFonts w:eastAsia="Times New Roman" w:cs="Times New Roman"/>
          <w:szCs w:val="24"/>
        </w:rPr>
        <w:t>IRB</w:t>
      </w:r>
      <w:r w:rsidRPr="00AA4677">
        <w:rPr>
          <w:rFonts w:eastAsia="Times New Roman" w:cs="Times New Roman"/>
          <w:szCs w:val="24"/>
        </w:rPr>
        <w:t xml:space="preserve"> or an authorized individual, </w:t>
      </w:r>
      <w:r w:rsidR="002F7BA5" w:rsidRPr="00AA4677">
        <w:rPr>
          <w:rFonts w:eastAsia="Times New Roman" w:cs="Times New Roman"/>
          <w:szCs w:val="24"/>
        </w:rPr>
        <w:t xml:space="preserve">consideration will also be made of actions needed to protect the rights and welfare of currently and/or formerly enrolled subjects, e.g., informing them of the suspension/ termination, procedures that are needed to withdraw them safely such as </w:t>
      </w:r>
      <w:r w:rsidRPr="00AA4677">
        <w:rPr>
          <w:rFonts w:eastAsia="Times New Roman" w:cs="Times New Roman"/>
          <w:szCs w:val="24"/>
        </w:rPr>
        <w:t xml:space="preserve">transferring </w:t>
      </w:r>
      <w:r w:rsidR="002F7BA5" w:rsidRPr="00AA4677">
        <w:rPr>
          <w:rFonts w:eastAsia="Times New Roman" w:cs="Times New Roman"/>
          <w:szCs w:val="24"/>
        </w:rPr>
        <w:t xml:space="preserve">currently enrolled </w:t>
      </w:r>
      <w:r w:rsidR="00BF7470" w:rsidRPr="00AA4677">
        <w:rPr>
          <w:rFonts w:eastAsia="Times New Roman" w:cs="Times New Roman"/>
          <w:szCs w:val="24"/>
        </w:rPr>
        <w:t>subject</w:t>
      </w:r>
      <w:r w:rsidRPr="00AA4677">
        <w:rPr>
          <w:rFonts w:eastAsia="Times New Roman" w:cs="Times New Roman"/>
          <w:szCs w:val="24"/>
        </w:rPr>
        <w:t xml:space="preserve">s to another investigator; making arrangements for care or follow-up outside the research; allowing continuation of some research activities under the supervision of an independent monitor; or requiring or permitting follow-up of </w:t>
      </w:r>
      <w:r w:rsidR="00BF7470" w:rsidRPr="00AA4677">
        <w:rPr>
          <w:rFonts w:eastAsia="Times New Roman" w:cs="Times New Roman"/>
          <w:szCs w:val="24"/>
        </w:rPr>
        <w:t>subject</w:t>
      </w:r>
      <w:r w:rsidRPr="00AA4677">
        <w:rPr>
          <w:rFonts w:eastAsia="Times New Roman" w:cs="Times New Roman"/>
          <w:szCs w:val="24"/>
        </w:rPr>
        <w:t>s for safety reasons.</w:t>
      </w:r>
    </w:p>
    <w:p w14:paraId="3074D571" w14:textId="5EDA42A5" w:rsidR="002E4240" w:rsidRPr="00AA4677" w:rsidRDefault="003E7C9E" w:rsidP="002E4240">
      <w:pPr>
        <w:shd w:val="clear" w:color="auto" w:fill="FFFFFF"/>
        <w:spacing w:after="0" w:line="240" w:lineRule="auto"/>
        <w:rPr>
          <w:rFonts w:eastAsia="Times New Roman" w:cs="Times New Roman"/>
          <w:szCs w:val="24"/>
        </w:rPr>
      </w:pPr>
      <w:r w:rsidRPr="00AA4677">
        <w:rPr>
          <w:rFonts w:eastAsia="Times New Roman" w:cs="Times New Roman"/>
          <w:szCs w:val="24"/>
        </w:rPr>
        <w:t xml:space="preserve">If follow-up of subjects for safety reasons is permitted/required by the convened </w:t>
      </w:r>
      <w:r w:rsidR="00EE7207" w:rsidRPr="00AA4677">
        <w:rPr>
          <w:rFonts w:eastAsia="Times New Roman" w:cs="Times New Roman"/>
          <w:szCs w:val="24"/>
        </w:rPr>
        <w:t>IRB</w:t>
      </w:r>
      <w:r w:rsidRPr="00AA4677">
        <w:rPr>
          <w:rFonts w:eastAsia="Times New Roman" w:cs="Times New Roman"/>
          <w:szCs w:val="24"/>
        </w:rPr>
        <w:t xml:space="preserve"> or individual ordering the suspension or </w:t>
      </w:r>
      <w:r w:rsidR="008765A3" w:rsidRPr="00AA4677">
        <w:rPr>
          <w:rFonts w:eastAsia="Times New Roman" w:cs="Times New Roman"/>
          <w:szCs w:val="24"/>
        </w:rPr>
        <w:t xml:space="preserve">termination, the convened </w:t>
      </w:r>
      <w:r w:rsidR="00EE7207" w:rsidRPr="00AA4677">
        <w:rPr>
          <w:rFonts w:eastAsia="Times New Roman" w:cs="Times New Roman"/>
          <w:szCs w:val="24"/>
        </w:rPr>
        <w:t>IRB</w:t>
      </w:r>
      <w:r w:rsidRPr="00AA4677">
        <w:rPr>
          <w:rFonts w:eastAsia="Times New Roman" w:cs="Times New Roman"/>
          <w:szCs w:val="24"/>
        </w:rPr>
        <w:t xml:space="preserve"> or individual ordering the suspension or termination will require that the subjects should be so informed</w:t>
      </w:r>
      <w:r w:rsidR="002F7BA5" w:rsidRPr="00AA4677">
        <w:rPr>
          <w:rFonts w:eastAsia="Times New Roman" w:cs="Times New Roman"/>
          <w:szCs w:val="24"/>
        </w:rPr>
        <w:t>,</w:t>
      </w:r>
      <w:r w:rsidRPr="00AA4677">
        <w:rPr>
          <w:rFonts w:eastAsia="Times New Roman" w:cs="Times New Roman"/>
          <w:szCs w:val="24"/>
        </w:rPr>
        <w:t xml:space="preserve"> and that any adverse events/outcomes be reported to </w:t>
      </w:r>
      <w:r w:rsidR="008765A3"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the sponsor</w:t>
      </w:r>
      <w:r w:rsidRPr="00666DF0">
        <w:rPr>
          <w:rFonts w:eastAsia="Times New Roman" w:cs="Times New Roman"/>
          <w:szCs w:val="24"/>
        </w:rPr>
        <w:t>.</w:t>
      </w:r>
      <w:r w:rsidR="002E4240" w:rsidRPr="00666DF0">
        <w:rPr>
          <w:rFonts w:eastAsia="Times New Roman" w:cs="Times New Roman"/>
          <w:szCs w:val="24"/>
        </w:rPr>
        <w:t xml:space="preserve"> Suspensions must be lifted at a fully convened IRB meeting and must be documented in the minutes.</w:t>
      </w:r>
    </w:p>
    <w:p w14:paraId="5D0DF98B" w14:textId="563F1EE3" w:rsidR="002E4240" w:rsidRDefault="000042C4" w:rsidP="002E4240">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i</w:t>
      </w:r>
      <w:r w:rsidR="003E7C9E" w:rsidRPr="00AA4677">
        <w:rPr>
          <w:rFonts w:eastAsia="Times New Roman" w:cs="Times New Roman"/>
          <w:szCs w:val="24"/>
        </w:rPr>
        <w:t>nvestigator MUST continue to provide reports on adverse events and unanticipated problems to both the</w:t>
      </w:r>
      <w:r w:rsidR="008765A3" w:rsidRPr="00AA4677">
        <w:rPr>
          <w:rFonts w:eastAsia="Times New Roman" w:cs="Times New Roman"/>
          <w:szCs w:val="24"/>
        </w:rPr>
        <w:t xml:space="preserve"> </w:t>
      </w:r>
      <w:r w:rsidR="00EE7207" w:rsidRPr="00AA4677">
        <w:rPr>
          <w:rFonts w:eastAsia="Times New Roman" w:cs="Times New Roman"/>
          <w:szCs w:val="24"/>
        </w:rPr>
        <w:t>IRB</w:t>
      </w:r>
      <w:r w:rsidR="003E7C9E" w:rsidRPr="00AA4677">
        <w:rPr>
          <w:rFonts w:eastAsia="Times New Roman" w:cs="Times New Roman"/>
          <w:szCs w:val="24"/>
        </w:rPr>
        <w:t xml:space="preserve"> and sponsor just as if there had never been a suspension (i.e. all events that need to be reported during a study need to continue to be reported during the suspension period)</w:t>
      </w:r>
      <w:r w:rsidR="008765A3" w:rsidRPr="00AA4677">
        <w:rPr>
          <w:rFonts w:eastAsia="Times New Roman" w:cs="Times New Roman"/>
          <w:szCs w:val="24"/>
        </w:rPr>
        <w:t>.</w:t>
      </w:r>
    </w:p>
    <w:p w14:paraId="2834B654" w14:textId="526DE599" w:rsidR="000042C4" w:rsidRPr="00AA4677" w:rsidRDefault="003E7C9E" w:rsidP="00F32ADD">
      <w:pPr>
        <w:shd w:val="clear" w:color="auto" w:fill="FFFFFF"/>
        <w:spacing w:after="0" w:line="240" w:lineRule="auto"/>
        <w:rPr>
          <w:rFonts w:eastAsia="Times New Roman" w:cs="Times New Roman"/>
          <w:szCs w:val="24"/>
        </w:rPr>
      </w:pPr>
      <w:r w:rsidRPr="00AA4677">
        <w:rPr>
          <w:rFonts w:eastAsia="Times New Roman" w:cs="Times New Roman"/>
          <w:szCs w:val="24"/>
        </w:rPr>
        <w:t xml:space="preserve">Refer to Section 11 for </w:t>
      </w:r>
      <w:r w:rsidR="008765A3" w:rsidRPr="00AA4677">
        <w:rPr>
          <w:rFonts w:eastAsia="Times New Roman" w:cs="Times New Roman"/>
          <w:szCs w:val="24"/>
        </w:rPr>
        <w:t>the University</w:t>
      </w:r>
      <w:r w:rsidRPr="00AA4677">
        <w:rPr>
          <w:rFonts w:eastAsia="Times New Roman" w:cs="Times New Roman"/>
          <w:szCs w:val="24"/>
        </w:rPr>
        <w:t>’s requirements for reporting suspensions or terminations to external agencies.</w:t>
      </w:r>
      <w:r w:rsidR="002F7BA5" w:rsidRPr="00AA4677" w:rsidDel="002F7BA5">
        <w:rPr>
          <w:rFonts w:eastAsia="Times New Roman" w:cs="Times New Roman"/>
          <w:szCs w:val="24"/>
        </w:rPr>
        <w:t xml:space="preserve"> </w:t>
      </w:r>
    </w:p>
    <w:p w14:paraId="678416D0" w14:textId="77777777" w:rsidR="00F32ADD" w:rsidRPr="00AA4677" w:rsidRDefault="00F32ADD" w:rsidP="005920B2">
      <w:pPr>
        <w:pStyle w:val="Heading1"/>
      </w:pPr>
    </w:p>
    <w:p w14:paraId="50A8A61A" w14:textId="46A5F3BB" w:rsidR="003E7C9E" w:rsidRPr="00AA4677" w:rsidRDefault="00F32ADD" w:rsidP="005920B2">
      <w:pPr>
        <w:pStyle w:val="Heading1"/>
        <w:rPr>
          <w:rFonts w:cs="Times New Roman"/>
        </w:rPr>
      </w:pPr>
      <w:bookmarkStart w:id="71" w:name="_Toc192678180"/>
      <w:r w:rsidRPr="00AA4677">
        <w:t>3</w:t>
      </w:r>
      <w:r w:rsidR="003E7C9E" w:rsidRPr="00AA4677">
        <w:t>.12 Continuing Review</w:t>
      </w:r>
      <w:bookmarkEnd w:id="71"/>
      <w:r w:rsidR="003E7C9E" w:rsidRPr="00AA4677">
        <w:t xml:space="preserve"> </w:t>
      </w:r>
    </w:p>
    <w:p w14:paraId="18B1A35A" w14:textId="77777777" w:rsidR="00F32ADD" w:rsidRPr="00AA4677" w:rsidRDefault="00F32ADD" w:rsidP="00F32ADD">
      <w:pPr>
        <w:spacing w:after="0" w:line="240" w:lineRule="auto"/>
      </w:pPr>
    </w:p>
    <w:p w14:paraId="304D5890" w14:textId="4B951C58" w:rsidR="00A346F0" w:rsidRPr="00AA4677" w:rsidRDefault="00ED1A29" w:rsidP="00FC7AFD">
      <w:pPr>
        <w:spacing w:after="0" w:line="240" w:lineRule="auto"/>
      </w:pPr>
      <w:r w:rsidRPr="00AA4677">
        <w:t>For research subject to the Common Rule, the IRB will conduct continuing review of ongoing research requiring review by the convened IRB at intervals that are appropriate to the level of risk of the research, but not less than once per year, except as described below. The date by which continuing review must occur will be recorded in the IRB electronic management system and on initial and continuing review approval letters.</w:t>
      </w:r>
    </w:p>
    <w:p w14:paraId="25A735FD" w14:textId="77777777" w:rsidR="00FC7AFD" w:rsidRPr="00AA4677" w:rsidRDefault="00FC7AFD" w:rsidP="00FC7AFD">
      <w:pPr>
        <w:spacing w:after="0" w:line="240" w:lineRule="auto"/>
      </w:pPr>
    </w:p>
    <w:p w14:paraId="30E5D32A" w14:textId="4C31DF39" w:rsidR="00ED1A29" w:rsidRPr="00AA4677" w:rsidRDefault="00ED1A29" w:rsidP="00ED1A29">
      <w:pPr>
        <w:rPr>
          <w:b/>
        </w:rPr>
      </w:pPr>
      <w:r w:rsidRPr="00AA4677">
        <w:rPr>
          <w:b/>
        </w:rPr>
        <w:t>Unless an IRB determines otherwise, continuing review of research subject to the Common Rule is not required in the following circumstances:</w:t>
      </w:r>
    </w:p>
    <w:p w14:paraId="7BE2CCD8" w14:textId="77777777" w:rsidR="00ED1A29" w:rsidRPr="00AA4677" w:rsidRDefault="00ED1A29">
      <w:pPr>
        <w:pStyle w:val="ListParagraph"/>
        <w:numPr>
          <w:ilvl w:val="0"/>
          <w:numId w:val="146"/>
        </w:numPr>
        <w:spacing w:after="120" w:line="240" w:lineRule="auto"/>
        <w:ind w:left="360"/>
      </w:pPr>
      <w:bookmarkStart w:id="72" w:name="_Hlk500939576"/>
      <w:r w:rsidRPr="00AA4677">
        <w:t xml:space="preserve">Research eligible for expedited review in accordance with 45 CFR </w:t>
      </w:r>
      <w:proofErr w:type="gramStart"/>
      <w:r w:rsidRPr="00AA4677">
        <w:t>46.110;</w:t>
      </w:r>
      <w:proofErr w:type="gramEnd"/>
      <w:r w:rsidRPr="00AA4677">
        <w:t xml:space="preserve"> </w:t>
      </w:r>
    </w:p>
    <w:p w14:paraId="46D96B76" w14:textId="7B03D990" w:rsidR="00ED1A29" w:rsidRPr="00AA4677" w:rsidRDefault="00ED1A29">
      <w:pPr>
        <w:pStyle w:val="ListParagraph"/>
        <w:numPr>
          <w:ilvl w:val="0"/>
          <w:numId w:val="146"/>
        </w:numPr>
        <w:spacing w:after="120" w:line="240" w:lineRule="auto"/>
        <w:ind w:left="360"/>
      </w:pPr>
      <w:r w:rsidRPr="00AA4677">
        <w:t xml:space="preserve">Research reviewed by the IRB in accordance with the limited IRB review described in Section </w:t>
      </w:r>
      <w:proofErr w:type="gramStart"/>
      <w:r w:rsidR="003311A4" w:rsidRPr="00AA4677">
        <w:t>3.5.2</w:t>
      </w:r>
      <w:r w:rsidRPr="00AA4677">
        <w:t>;</w:t>
      </w:r>
      <w:proofErr w:type="gramEnd"/>
      <w:r w:rsidRPr="00AA4677">
        <w:t xml:space="preserve"> </w:t>
      </w:r>
    </w:p>
    <w:p w14:paraId="1DFC6469" w14:textId="77777777" w:rsidR="00ED1A29" w:rsidRPr="00AA4677" w:rsidRDefault="00ED1A29">
      <w:pPr>
        <w:pStyle w:val="ListParagraph"/>
        <w:numPr>
          <w:ilvl w:val="0"/>
          <w:numId w:val="146"/>
        </w:numPr>
        <w:spacing w:after="120" w:line="240" w:lineRule="auto"/>
        <w:ind w:left="360"/>
      </w:pPr>
      <w:r w:rsidRPr="00AA4677">
        <w:t>Research that has progressed to the point that it involves only one or both of the following, which are part of the IRB-approved study:</w:t>
      </w:r>
    </w:p>
    <w:p w14:paraId="76A4E21D" w14:textId="77777777" w:rsidR="00ED1A29" w:rsidRPr="00AA4677" w:rsidRDefault="00ED1A29">
      <w:pPr>
        <w:pStyle w:val="ListParagraph"/>
        <w:numPr>
          <w:ilvl w:val="1"/>
          <w:numId w:val="146"/>
        </w:numPr>
        <w:spacing w:after="120" w:line="240" w:lineRule="auto"/>
        <w:ind w:left="720"/>
      </w:pPr>
      <w:r w:rsidRPr="00AA4677">
        <w:t>Data analysis, including analysis of identifiable private information or identifiable biospecimens, or</w:t>
      </w:r>
    </w:p>
    <w:p w14:paraId="3112FF89" w14:textId="719D5721" w:rsidR="00ED1A29" w:rsidRPr="00AA4677" w:rsidRDefault="00ED1A29">
      <w:pPr>
        <w:pStyle w:val="ListParagraph"/>
        <w:numPr>
          <w:ilvl w:val="1"/>
          <w:numId w:val="146"/>
        </w:numPr>
        <w:spacing w:after="120" w:line="240" w:lineRule="auto"/>
        <w:ind w:left="720"/>
      </w:pPr>
      <w:r w:rsidRPr="00AA4677">
        <w:lastRenderedPageBreak/>
        <w:t>Accessing follow-up clinical data from procedures that subjects would undergo as part of clinical care.</w:t>
      </w:r>
    </w:p>
    <w:p w14:paraId="3C24912A" w14:textId="12F42D53" w:rsidR="00474770" w:rsidRPr="00AA4677" w:rsidRDefault="00474770" w:rsidP="00474770">
      <w:pPr>
        <w:spacing w:after="120" w:line="240" w:lineRule="auto"/>
      </w:pPr>
      <w:r w:rsidRPr="00AA4677">
        <w:rPr>
          <w:b/>
        </w:rPr>
        <w:t>Studies that fall into these categories and are determined to not require continuing review</w:t>
      </w:r>
      <w:r w:rsidR="002F4911" w:rsidRPr="00AA4677">
        <w:rPr>
          <w:b/>
        </w:rPr>
        <w:t xml:space="preserve"> are still subject to prompt reporting requirements</w:t>
      </w:r>
      <w:r w:rsidR="002F4911" w:rsidRPr="00AA4677">
        <w:t xml:space="preserve"> (e.g., proposed amendments, unanticipated problems involving risk to subjects or others, protocol deviation/violations/non-compliance).</w:t>
      </w:r>
      <w:r w:rsidR="002F4911" w:rsidRPr="00AA4677">
        <w:rPr>
          <w:b/>
        </w:rPr>
        <w:t xml:space="preserve"> </w:t>
      </w:r>
      <w:r w:rsidR="000042C4" w:rsidRPr="00AA4677">
        <w:rPr>
          <w:b/>
        </w:rPr>
        <w:t>They will also</w:t>
      </w:r>
      <w:r w:rsidRPr="00AA4677">
        <w:rPr>
          <w:b/>
        </w:rPr>
        <w:t xml:space="preserve"> require </w:t>
      </w:r>
      <w:r w:rsidR="000042C4" w:rsidRPr="00AA4677">
        <w:rPr>
          <w:b/>
        </w:rPr>
        <w:t>submission of a status</w:t>
      </w:r>
      <w:r w:rsidRPr="00AA4677">
        <w:rPr>
          <w:b/>
        </w:rPr>
        <w:t xml:space="preserve"> report</w:t>
      </w:r>
      <w:r w:rsidRPr="00AA4677">
        <w:t xml:space="preserve"> </w:t>
      </w:r>
      <w:r w:rsidR="000042C4" w:rsidRPr="00AA4677">
        <w:t xml:space="preserve">every two years </w:t>
      </w:r>
      <w:r w:rsidRPr="00AA4677">
        <w:t>that will collect information regarding</w:t>
      </w:r>
      <w:r w:rsidR="000042C4" w:rsidRPr="00AA4677">
        <w:t xml:space="preserve"> the</w:t>
      </w:r>
      <w:r w:rsidRPr="00AA4677">
        <w:t xml:space="preserve"> status of the research activity. Investigators will receive courtesy reminder </w:t>
      </w:r>
      <w:r w:rsidR="00682A51" w:rsidRPr="00AA4677">
        <w:t xml:space="preserve">e-mail </w:t>
      </w:r>
      <w:r w:rsidRPr="00AA4677">
        <w:t>notice</w:t>
      </w:r>
      <w:r w:rsidR="000042C4" w:rsidRPr="00AA4677">
        <w:t>s for completion of the status</w:t>
      </w:r>
      <w:r w:rsidRPr="00AA4677">
        <w:t xml:space="preserve"> report. </w:t>
      </w:r>
      <w:r w:rsidR="00682A51" w:rsidRPr="00AA4677">
        <w:t>ORC</w:t>
      </w:r>
      <w:r w:rsidRPr="00AA4677">
        <w:t xml:space="preserve"> staff will review the report for compliance with institutional policies (verification of human subjects training, COI review, </w:t>
      </w:r>
      <w:proofErr w:type="spellStart"/>
      <w:r w:rsidRPr="00AA4677">
        <w:t>etc</w:t>
      </w:r>
      <w:proofErr w:type="spellEnd"/>
      <w:r w:rsidRPr="00AA4677">
        <w:t xml:space="preserve">). </w:t>
      </w:r>
      <w:r w:rsidR="00FC7F99" w:rsidRPr="00AA4677">
        <w:t>Failure to submit a</w:t>
      </w:r>
      <w:r w:rsidR="000042C4" w:rsidRPr="00AA4677">
        <w:t xml:space="preserve"> status</w:t>
      </w:r>
      <w:r w:rsidR="00FC7F99" w:rsidRPr="00AA4677">
        <w:t xml:space="preserve"> report</w:t>
      </w:r>
      <w:r w:rsidR="00682A51" w:rsidRPr="00AA4677">
        <w:t xml:space="preserve"> as required</w:t>
      </w:r>
      <w:r w:rsidR="00FC7F99" w:rsidRPr="00AA4677">
        <w:t xml:space="preserve"> </w:t>
      </w:r>
      <w:r w:rsidR="00682A51" w:rsidRPr="00AA4677">
        <w:t xml:space="preserve">will constitute non-compliance with SBU’s HRPP policy and may result in suspension of the study until compliance with this policy is confirmed.  </w:t>
      </w:r>
    </w:p>
    <w:p w14:paraId="0231E14B" w14:textId="3DAF75D4" w:rsidR="00ED1A29" w:rsidRPr="00AA4677" w:rsidRDefault="00474770" w:rsidP="00C57C98">
      <w:pPr>
        <w:spacing w:after="0" w:line="240" w:lineRule="auto"/>
        <w:jc w:val="both"/>
        <w:rPr>
          <w:rFonts w:cstheme="minorHAnsi"/>
        </w:rPr>
      </w:pPr>
      <w:r w:rsidRPr="00AA4677">
        <w:rPr>
          <w:rFonts w:cstheme="minorHAnsi"/>
          <w:b/>
        </w:rPr>
        <w:t xml:space="preserve">Studies that fall into these categories may be determined to require continuing review.  </w:t>
      </w:r>
      <w:r w:rsidR="00ED1A29" w:rsidRPr="00AA4677">
        <w:rPr>
          <w:rFonts w:cstheme="minorHAnsi"/>
        </w:rPr>
        <w:t>For example, the IRB may determine that continuing review is required when:</w:t>
      </w:r>
    </w:p>
    <w:p w14:paraId="4E9CA81A" w14:textId="77777777" w:rsidR="00ED1A29" w:rsidRPr="00AA4677" w:rsidRDefault="00ED1A29">
      <w:pPr>
        <w:pStyle w:val="ListParagraph"/>
        <w:numPr>
          <w:ilvl w:val="0"/>
          <w:numId w:val="147"/>
        </w:numPr>
        <w:spacing w:after="0" w:line="240" w:lineRule="auto"/>
        <w:ind w:left="360"/>
        <w:contextualSpacing w:val="0"/>
        <w:jc w:val="both"/>
        <w:rPr>
          <w:rFonts w:cstheme="minorHAnsi"/>
        </w:rPr>
      </w:pPr>
      <w:r w:rsidRPr="00AA4677">
        <w:rPr>
          <w:rFonts w:cstheme="minorHAnsi"/>
        </w:rPr>
        <w:t>Required by other applicable regulations (e.g., FDA</w:t>
      </w:r>
      <w:proofErr w:type="gramStart"/>
      <w:r w:rsidRPr="00AA4677">
        <w:rPr>
          <w:rFonts w:cstheme="minorHAnsi"/>
        </w:rPr>
        <w:t>);</w:t>
      </w:r>
      <w:proofErr w:type="gramEnd"/>
    </w:p>
    <w:p w14:paraId="6AE9CD94" w14:textId="77777777" w:rsidR="00ED1A29" w:rsidRPr="00AA4677" w:rsidRDefault="00ED1A29">
      <w:pPr>
        <w:pStyle w:val="ListParagraph"/>
        <w:numPr>
          <w:ilvl w:val="0"/>
          <w:numId w:val="147"/>
        </w:numPr>
        <w:spacing w:after="0" w:line="240" w:lineRule="auto"/>
        <w:ind w:left="360"/>
        <w:contextualSpacing w:val="0"/>
        <w:jc w:val="both"/>
        <w:rPr>
          <w:rFonts w:cstheme="minorHAnsi"/>
        </w:rPr>
      </w:pPr>
      <w:r w:rsidRPr="00AA4677">
        <w:rPr>
          <w:rFonts w:cstheme="minorHAnsi"/>
        </w:rPr>
        <w:t>Required by the terms of a grant, contract, or other agreement</w:t>
      </w:r>
    </w:p>
    <w:p w14:paraId="26809955" w14:textId="77777777" w:rsidR="00ED1A29" w:rsidRPr="00AA4677" w:rsidRDefault="00ED1A29">
      <w:pPr>
        <w:pStyle w:val="ListParagraph"/>
        <w:numPr>
          <w:ilvl w:val="0"/>
          <w:numId w:val="147"/>
        </w:numPr>
        <w:spacing w:after="0" w:line="240" w:lineRule="auto"/>
        <w:ind w:left="360"/>
        <w:contextualSpacing w:val="0"/>
        <w:jc w:val="both"/>
        <w:rPr>
          <w:rFonts w:cstheme="minorHAnsi"/>
        </w:rPr>
      </w:pPr>
      <w:r w:rsidRPr="00AA4677">
        <w:rPr>
          <w:rFonts w:cstheme="minorHAnsi"/>
        </w:rPr>
        <w:t xml:space="preserve">The research involves topics, procedures, or data that may be considered sensitive or </w:t>
      </w:r>
      <w:proofErr w:type="gramStart"/>
      <w:r w:rsidRPr="00AA4677">
        <w:rPr>
          <w:rFonts w:cstheme="minorHAnsi"/>
        </w:rPr>
        <w:t>controversial;</w:t>
      </w:r>
      <w:proofErr w:type="gramEnd"/>
    </w:p>
    <w:p w14:paraId="2E872161" w14:textId="77777777" w:rsidR="00ED1A29" w:rsidRPr="00AA4677" w:rsidRDefault="00ED1A29">
      <w:pPr>
        <w:pStyle w:val="ListParagraph"/>
        <w:numPr>
          <w:ilvl w:val="0"/>
          <w:numId w:val="147"/>
        </w:numPr>
        <w:spacing w:after="0" w:line="240" w:lineRule="auto"/>
        <w:ind w:left="360"/>
        <w:contextualSpacing w:val="0"/>
        <w:jc w:val="both"/>
        <w:rPr>
          <w:rFonts w:cstheme="minorHAnsi"/>
        </w:rPr>
      </w:pPr>
      <w:r w:rsidRPr="00AA4677">
        <w:rPr>
          <w:rFonts w:cstheme="minorHAnsi"/>
        </w:rPr>
        <w:t xml:space="preserve">The research involves particularly vulnerable subjects or circumstances that increase subjects’ </w:t>
      </w:r>
      <w:proofErr w:type="gramStart"/>
      <w:r w:rsidRPr="00AA4677">
        <w:rPr>
          <w:rFonts w:cstheme="minorHAnsi"/>
        </w:rPr>
        <w:t>vulnerability;</w:t>
      </w:r>
      <w:proofErr w:type="gramEnd"/>
    </w:p>
    <w:p w14:paraId="1118555E" w14:textId="77777777" w:rsidR="00ED1A29" w:rsidRPr="00AA4677" w:rsidRDefault="00ED1A29">
      <w:pPr>
        <w:pStyle w:val="ListParagraph"/>
        <w:numPr>
          <w:ilvl w:val="0"/>
          <w:numId w:val="147"/>
        </w:numPr>
        <w:spacing w:after="0" w:line="240" w:lineRule="auto"/>
        <w:ind w:left="360"/>
        <w:contextualSpacing w:val="0"/>
        <w:jc w:val="both"/>
        <w:rPr>
          <w:rFonts w:cstheme="minorHAnsi"/>
        </w:rPr>
      </w:pPr>
      <w:r w:rsidRPr="00AA4677">
        <w:rPr>
          <w:rFonts w:cstheme="minorHAnsi"/>
        </w:rPr>
        <w:t xml:space="preserve">An investigator has minimal experience in research or the research type, topic, or procedures; </w:t>
      </w:r>
      <w:r w:rsidRPr="00AA4677">
        <w:rPr>
          <w:rFonts w:cstheme="minorHAnsi"/>
          <w:noProof/>
        </w:rPr>
        <w:t>and/or</w:t>
      </w:r>
    </w:p>
    <w:p w14:paraId="6C2075FD" w14:textId="4A3A3E78" w:rsidR="00C57C98" w:rsidRPr="00AA4677" w:rsidRDefault="00ED1A29">
      <w:pPr>
        <w:pStyle w:val="ListParagraph"/>
        <w:numPr>
          <w:ilvl w:val="0"/>
          <w:numId w:val="147"/>
        </w:numPr>
        <w:spacing w:after="0" w:line="240" w:lineRule="auto"/>
        <w:ind w:left="360"/>
        <w:contextualSpacing w:val="0"/>
        <w:jc w:val="both"/>
        <w:rPr>
          <w:rFonts w:cstheme="minorHAnsi"/>
        </w:rPr>
      </w:pPr>
      <w:r w:rsidRPr="00AA4677">
        <w:rPr>
          <w:rFonts w:cstheme="minorHAnsi"/>
        </w:rPr>
        <w:t xml:space="preserve">An investigator has a history of noncompliance </w:t>
      </w:r>
    </w:p>
    <w:p w14:paraId="377B56DD" w14:textId="77777777" w:rsidR="00A346F0" w:rsidRPr="00AA4677" w:rsidRDefault="00A346F0" w:rsidP="00A346F0">
      <w:pPr>
        <w:pStyle w:val="ListParagraph"/>
        <w:spacing w:after="0" w:line="240" w:lineRule="auto"/>
        <w:ind w:left="360"/>
        <w:contextualSpacing w:val="0"/>
        <w:jc w:val="both"/>
        <w:rPr>
          <w:rFonts w:cstheme="minorHAnsi"/>
        </w:rPr>
      </w:pPr>
    </w:p>
    <w:p w14:paraId="2541651C" w14:textId="24264B38" w:rsidR="00474770" w:rsidRPr="00AA4677" w:rsidRDefault="00ED1A29" w:rsidP="00ED1A29">
      <w:pPr>
        <w:rPr>
          <w:rFonts w:cstheme="minorHAnsi"/>
        </w:rPr>
      </w:pPr>
      <w:r w:rsidRPr="00AA4677">
        <w:rPr>
          <w:rFonts w:cstheme="minorHAnsi"/>
        </w:rPr>
        <w:t xml:space="preserve">When the IRB determines that continuing review </w:t>
      </w:r>
      <w:r w:rsidRPr="00AA4677">
        <w:rPr>
          <w:rFonts w:cstheme="minorHAnsi"/>
          <w:noProof/>
        </w:rPr>
        <w:t>is required</w:t>
      </w:r>
      <w:r w:rsidRPr="00AA4677">
        <w:rPr>
          <w:rFonts w:cstheme="minorHAnsi"/>
        </w:rPr>
        <w:t xml:space="preserve"> for such </w:t>
      </w:r>
      <w:r w:rsidRPr="00AA4677">
        <w:rPr>
          <w:rFonts w:cstheme="minorHAnsi"/>
          <w:noProof/>
        </w:rPr>
        <w:t>research,</w:t>
      </w:r>
      <w:r w:rsidRPr="00AA4677">
        <w:rPr>
          <w:rFonts w:cstheme="minorHAnsi"/>
        </w:rPr>
        <w:t xml:space="preserve"> it will document the rationale in the IRB record and communicate the requirement to the investigator in the IRB determination letter. </w:t>
      </w:r>
    </w:p>
    <w:p w14:paraId="3D41DDA1" w14:textId="67661A11" w:rsidR="00AE6042" w:rsidRPr="00AA4677" w:rsidRDefault="00ED1A29" w:rsidP="000042C4">
      <w:r w:rsidRPr="00AA4677">
        <w:rPr>
          <w:b/>
        </w:rPr>
        <w:t>There is no exception to the requirement for continuing review in FDA regulations.</w:t>
      </w:r>
      <w:r w:rsidRPr="00AA4677">
        <w:t xml:space="preserve">  The IRB will conduct continuing review of ongoing FDA-regulated research, and any research where it is required as a condition of funding or contractually, at intervals that are appropriate to the level of risk of the research, but not less than once per year, as long as the research remains active.  The date by which continuing review must occur will be recorded in the IRB electronic </w:t>
      </w:r>
      <w:r w:rsidR="00474770" w:rsidRPr="00AA4677">
        <w:t xml:space="preserve">management </w:t>
      </w:r>
      <w:r w:rsidRPr="00AA4677">
        <w:t>system and on initial and continuing review approval letters.</w:t>
      </w:r>
      <w:bookmarkEnd w:id="72"/>
    </w:p>
    <w:p w14:paraId="0BBD5966" w14:textId="29F9A4F5" w:rsidR="003E7C9E" w:rsidRPr="00AA4677" w:rsidRDefault="000B2EC4" w:rsidP="00C57C98">
      <w:pPr>
        <w:pStyle w:val="Heading3"/>
      </w:pPr>
      <w:r w:rsidRPr="00AA4677">
        <w:t>3.12.1 A</w:t>
      </w:r>
      <w:r w:rsidR="003E7C9E" w:rsidRPr="00AA4677">
        <w:t>pproval Period</w:t>
      </w:r>
    </w:p>
    <w:p w14:paraId="7A1B6622" w14:textId="6E9D7034" w:rsidR="003E7C9E" w:rsidRPr="00AA4677" w:rsidRDefault="002F7BA5"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w:t>
      </w:r>
      <w:r w:rsidR="003E7C9E" w:rsidRPr="00AA4677">
        <w:rPr>
          <w:rFonts w:eastAsia="Times New Roman" w:cs="Times New Roman"/>
          <w:szCs w:val="24"/>
        </w:rPr>
        <w:t>etermination of the approval period</w:t>
      </w:r>
      <w:r w:rsidR="00430FFA" w:rsidRPr="00AA4677">
        <w:rPr>
          <w:rFonts w:eastAsia="Times New Roman" w:cs="Times New Roman"/>
          <w:szCs w:val="24"/>
        </w:rPr>
        <w:t xml:space="preserve"> </w:t>
      </w:r>
      <w:r w:rsidR="003E7C9E" w:rsidRPr="00AA4677">
        <w:rPr>
          <w:rFonts w:eastAsia="Times New Roman" w:cs="Times New Roman"/>
          <w:szCs w:val="24"/>
        </w:rPr>
        <w:t xml:space="preserve">is made by </w:t>
      </w:r>
      <w:r w:rsidR="000B2EC4"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on a protocol-by-protocol basis</w:t>
      </w:r>
      <w:r w:rsidR="00FC7F99" w:rsidRPr="00AA4677">
        <w:rPr>
          <w:rFonts w:eastAsia="Times New Roman" w:cs="Times New Roman"/>
          <w:szCs w:val="24"/>
        </w:rPr>
        <w:t xml:space="preserve"> at the time of initial review and at continuing review. </w:t>
      </w:r>
      <w:r w:rsidR="00FC7F99" w:rsidRPr="00AA4677">
        <w:t xml:space="preserve">For research subject to the Common Rule, the IRB </w:t>
      </w:r>
      <w:r w:rsidR="00FC7F99" w:rsidRPr="00AA4677">
        <w:lastRenderedPageBreak/>
        <w:t xml:space="preserve">will </w:t>
      </w:r>
      <w:r w:rsidR="00FC7F99" w:rsidRPr="00AA4677">
        <w:rPr>
          <w:rFonts w:eastAsia="Arial Unicode MS"/>
        </w:rPr>
        <w:t xml:space="preserve">conduct continuing review of research requiring review by the convened IRB at intervals appropriate to the degree of risk of the research, but not less than once per year, except as described elsewhere in these </w:t>
      </w:r>
      <w:proofErr w:type="gramStart"/>
      <w:r w:rsidR="00FC7F99" w:rsidRPr="00AA4677">
        <w:rPr>
          <w:rFonts w:eastAsia="Arial Unicode MS"/>
        </w:rPr>
        <w:t>SOPs;</w:t>
      </w:r>
      <w:proofErr w:type="gramEnd"/>
    </w:p>
    <w:p w14:paraId="7F425582" w14:textId="77777777" w:rsidR="000042C4"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each initial or continuing </w:t>
      </w:r>
      <w:r w:rsidR="007E5924" w:rsidRPr="00AA4677">
        <w:rPr>
          <w:rFonts w:eastAsia="Times New Roman" w:cs="Times New Roman"/>
          <w:szCs w:val="24"/>
        </w:rPr>
        <w:t>approval,</w:t>
      </w:r>
      <w:r w:rsidRPr="00AA4677">
        <w:rPr>
          <w:rFonts w:eastAsia="Times New Roman" w:cs="Times New Roman"/>
          <w:szCs w:val="24"/>
        </w:rPr>
        <w:t xml:space="preserve"> </w:t>
      </w:r>
      <w:r w:rsidR="000B2EC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indicate an approval period with an expiration date specified.  </w:t>
      </w:r>
      <w:r w:rsidR="000B2EC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approval is considered to have lapsed at midnight on the expiration date of the approval.  For a study reviewed by the convened </w:t>
      </w:r>
      <w:r w:rsidR="000B2EC4" w:rsidRPr="00AA4677">
        <w:rPr>
          <w:rFonts w:eastAsia="Times New Roman" w:cs="Times New Roman"/>
          <w:szCs w:val="24"/>
        </w:rPr>
        <w:t xml:space="preserve">the </w:t>
      </w:r>
      <w:r w:rsidR="00EE7207" w:rsidRPr="00AA4677">
        <w:rPr>
          <w:rFonts w:eastAsia="Times New Roman" w:cs="Times New Roman"/>
          <w:szCs w:val="24"/>
        </w:rPr>
        <w:t>IRB</w:t>
      </w:r>
      <w:r w:rsidR="000042C4" w:rsidRPr="00AA4677">
        <w:rPr>
          <w:rFonts w:eastAsia="Times New Roman" w:cs="Times New Roman"/>
          <w:szCs w:val="24"/>
        </w:rPr>
        <w:t>, the approval begins</w:t>
      </w:r>
      <w:r w:rsidRPr="00AA4677">
        <w:rPr>
          <w:rFonts w:eastAsia="Times New Roman" w:cs="Times New Roman"/>
          <w:szCs w:val="24"/>
        </w:rPr>
        <w:t xml:space="preserve"> on the date that </w:t>
      </w:r>
      <w:r w:rsidR="000B2EC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conducts its final review of the study; that is, the date that the convened </w:t>
      </w:r>
      <w:r w:rsidR="00EE7207" w:rsidRPr="00AA4677">
        <w:rPr>
          <w:rFonts w:eastAsia="Times New Roman" w:cs="Times New Roman"/>
          <w:szCs w:val="24"/>
        </w:rPr>
        <w:t>IRB</w:t>
      </w:r>
      <w:r w:rsidRPr="00AA4677">
        <w:rPr>
          <w:rFonts w:eastAsia="Times New Roman" w:cs="Times New Roman"/>
          <w:szCs w:val="24"/>
        </w:rPr>
        <w:t xml:space="preserve"> approves the research or the date that a final reviewer approves the study following a ‘modifications required’ determination, for non-substantive issues by the full committee. The expiration date is no later than one year from the date that the full committee last reviewed the study. </w:t>
      </w:r>
    </w:p>
    <w:p w14:paraId="082A1C84" w14:textId="538744A1"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For a study</w:t>
      </w:r>
      <w:r w:rsidR="000042C4" w:rsidRPr="00AA4677">
        <w:rPr>
          <w:rFonts w:eastAsia="Times New Roman" w:cs="Times New Roman"/>
          <w:szCs w:val="24"/>
        </w:rPr>
        <w:t xml:space="preserve"> subject to the common rule and</w:t>
      </w:r>
      <w:r w:rsidRPr="00AA4677">
        <w:rPr>
          <w:rFonts w:eastAsia="Times New Roman" w:cs="Times New Roman"/>
          <w:szCs w:val="24"/>
        </w:rPr>
        <w:t xml:space="preserve"> approved under expedited review, the approval period begins on the date </w:t>
      </w:r>
      <w:r w:rsidR="000B2EC4" w:rsidRPr="00AA4677">
        <w:rPr>
          <w:rFonts w:eastAsia="Times New Roman" w:cs="Times New Roman"/>
          <w:szCs w:val="24"/>
        </w:rPr>
        <w:t xml:space="preserve">the </w:t>
      </w:r>
      <w:r w:rsidR="00EE7207" w:rsidRPr="00AA4677">
        <w:rPr>
          <w:rFonts w:eastAsia="Times New Roman" w:cs="Times New Roman"/>
          <w:szCs w:val="24"/>
        </w:rPr>
        <w:t>IRB</w:t>
      </w:r>
      <w:r w:rsidR="000B2EC4" w:rsidRPr="00AA4677">
        <w:rPr>
          <w:rFonts w:eastAsia="Times New Roman" w:cs="Times New Roman"/>
          <w:szCs w:val="24"/>
        </w:rPr>
        <w:t xml:space="preserve"> </w:t>
      </w:r>
      <w:r w:rsidRPr="00AA4677">
        <w:rPr>
          <w:rFonts w:eastAsia="Times New Roman" w:cs="Times New Roman"/>
          <w:szCs w:val="24"/>
        </w:rPr>
        <w:t xml:space="preserve">Chair or </w:t>
      </w:r>
      <w:r w:rsidR="000B2EC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member(s) designated by the </w:t>
      </w:r>
      <w:r w:rsidR="00EE7207" w:rsidRPr="00AA4677">
        <w:rPr>
          <w:rFonts w:eastAsia="Times New Roman" w:cs="Times New Roman"/>
          <w:szCs w:val="24"/>
        </w:rPr>
        <w:t>IRB</w:t>
      </w:r>
      <w:r w:rsidR="000B2EC4" w:rsidRPr="00AA4677">
        <w:rPr>
          <w:rFonts w:eastAsia="Times New Roman" w:cs="Times New Roman"/>
          <w:szCs w:val="24"/>
        </w:rPr>
        <w:t xml:space="preserve"> </w:t>
      </w:r>
      <w:r w:rsidRPr="00AA4677">
        <w:rPr>
          <w:rFonts w:eastAsia="Times New Roman" w:cs="Times New Roman"/>
          <w:szCs w:val="24"/>
        </w:rPr>
        <w:t>Chair gives final approval to the protocol</w:t>
      </w:r>
      <w:r w:rsidR="00D25F67" w:rsidRPr="00AA4677">
        <w:rPr>
          <w:rFonts w:eastAsia="Times New Roman" w:cs="Times New Roman"/>
          <w:szCs w:val="24"/>
        </w:rPr>
        <w:t>, and the</w:t>
      </w:r>
      <w:r w:rsidR="00430FFA" w:rsidRPr="00AA4677">
        <w:rPr>
          <w:rFonts w:eastAsia="Times New Roman" w:cs="Times New Roman"/>
          <w:szCs w:val="24"/>
        </w:rPr>
        <w:t xml:space="preserve"> expiration date</w:t>
      </w:r>
      <w:r w:rsidR="00D25F67" w:rsidRPr="00AA4677">
        <w:rPr>
          <w:rFonts w:eastAsia="Times New Roman" w:cs="Times New Roman"/>
          <w:szCs w:val="24"/>
        </w:rPr>
        <w:t xml:space="preserve"> is </w:t>
      </w:r>
      <w:r w:rsidR="00430FFA" w:rsidRPr="00AA4677">
        <w:rPr>
          <w:rFonts w:eastAsia="Times New Roman" w:cs="Times New Roman"/>
          <w:szCs w:val="24"/>
        </w:rPr>
        <w:t xml:space="preserve">no later than one year from </w:t>
      </w:r>
      <w:r w:rsidR="00D25F67" w:rsidRPr="00AA4677">
        <w:rPr>
          <w:rFonts w:eastAsia="Times New Roman" w:cs="Times New Roman"/>
          <w:szCs w:val="24"/>
        </w:rPr>
        <w:t>date of final approval.</w:t>
      </w:r>
    </w:p>
    <w:p w14:paraId="5294B8A9" w14:textId="69CE3183"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approval date and approval expiration date are clearly noted on all </w:t>
      </w:r>
      <w:r w:rsidR="000B2EC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D25F67" w:rsidRPr="00AA4677">
        <w:rPr>
          <w:rFonts w:eastAsia="Times New Roman" w:cs="Times New Roman"/>
          <w:szCs w:val="24"/>
        </w:rPr>
        <w:t>letters</w:t>
      </w:r>
      <w:r w:rsidRPr="00AA4677">
        <w:rPr>
          <w:rFonts w:eastAsia="Times New Roman" w:cs="Times New Roman"/>
          <w:szCs w:val="24"/>
        </w:rPr>
        <w:t xml:space="preserve"> sent to the PI and must be strictly adhered to. Investigators should allow sufficient time for development and review of renewal submissions.</w:t>
      </w:r>
      <w:r w:rsidR="00D25F67" w:rsidRPr="00AA4677">
        <w:rPr>
          <w:rFonts w:eastAsia="Times New Roman" w:cs="Times New Roman"/>
          <w:szCs w:val="24"/>
        </w:rPr>
        <w:t xml:space="preserve"> Electronic courtesy reminder notices are sent 90, 60, and 30 days prior to expiration, but it remains the PI’s responsibility to maintain continued approval for their studies. </w:t>
      </w:r>
    </w:p>
    <w:p w14:paraId="2E7D1AE4" w14:textId="2F8AC1CF"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Review of a</w:t>
      </w:r>
      <w:r w:rsidR="00D25F67" w:rsidRPr="00AA4677">
        <w:rPr>
          <w:rFonts w:eastAsia="Times New Roman" w:cs="Times New Roman"/>
          <w:szCs w:val="24"/>
        </w:rPr>
        <w:t>n amendment/modification to</w:t>
      </w:r>
      <w:r w:rsidRPr="00AA4677">
        <w:rPr>
          <w:rFonts w:eastAsia="Times New Roman" w:cs="Times New Roman"/>
          <w:szCs w:val="24"/>
        </w:rPr>
        <w:t xml:space="preserve"> a protocol does not alter the date by which continuing review must occur. </w:t>
      </w:r>
    </w:p>
    <w:p w14:paraId="107D5B19" w14:textId="3CDAE79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regulations make no provision for any grace period extending the conduct of research beyond the expiration date of </w:t>
      </w:r>
      <w:r w:rsidR="000B2EC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approval. Therefore, continuing review and re-approval of research must occur by midnight of the date when </w:t>
      </w:r>
      <w:r w:rsidR="000B2EC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approval expires. </w:t>
      </w:r>
      <w:r w:rsidR="00D25F67" w:rsidRPr="00AA4677">
        <w:rPr>
          <w:rFonts w:eastAsia="Times New Roman" w:cs="Times New Roman"/>
          <w:szCs w:val="24"/>
        </w:rPr>
        <w:t xml:space="preserve"> </w:t>
      </w:r>
    </w:p>
    <w:p w14:paraId="341C7F63" w14:textId="0E64476C" w:rsidR="003E7C9E" w:rsidRPr="00AA4677" w:rsidRDefault="003E7C9E" w:rsidP="00C57C98">
      <w:pPr>
        <w:pStyle w:val="Heading3"/>
      </w:pPr>
      <w:r w:rsidRPr="00AA4677">
        <w:t>3.12.2 Continuing Review Process</w:t>
      </w:r>
    </w:p>
    <w:p w14:paraId="5A79DF38" w14:textId="5FE40BBB"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conducting continuing </w:t>
      </w:r>
      <w:proofErr w:type="gramStart"/>
      <w:r w:rsidRPr="00AA4677">
        <w:rPr>
          <w:rFonts w:eastAsia="Times New Roman" w:cs="Times New Roman"/>
          <w:szCs w:val="24"/>
        </w:rPr>
        <w:t>review</w:t>
      </w:r>
      <w:proofErr w:type="gramEnd"/>
      <w:r w:rsidRPr="00AA4677">
        <w:rPr>
          <w:rFonts w:eastAsia="Times New Roman" w:cs="Times New Roman"/>
          <w:szCs w:val="24"/>
        </w:rPr>
        <w:t xml:space="preserve"> of research not eligible for expedited review, </w:t>
      </w:r>
      <w:r w:rsidR="00EE7207" w:rsidRPr="00AA4677">
        <w:rPr>
          <w:rFonts w:eastAsia="Times New Roman" w:cs="Times New Roman"/>
          <w:szCs w:val="24"/>
        </w:rPr>
        <w:t>IRB</w:t>
      </w:r>
      <w:r w:rsidRPr="00AA4677">
        <w:rPr>
          <w:rFonts w:eastAsia="Times New Roman" w:cs="Times New Roman"/>
          <w:szCs w:val="24"/>
        </w:rPr>
        <w:t xml:space="preserve"> members will be directed to </w:t>
      </w:r>
      <w:r w:rsidR="007B68AF" w:rsidRPr="00AA4677">
        <w:rPr>
          <w:rFonts w:eastAsia="Times New Roman" w:cs="Times New Roman"/>
          <w:szCs w:val="24"/>
        </w:rPr>
        <w:t xml:space="preserve">conduct a substantive </w:t>
      </w:r>
      <w:r w:rsidRPr="00AA4677">
        <w:rPr>
          <w:rFonts w:eastAsia="Times New Roman" w:cs="Times New Roman"/>
          <w:szCs w:val="24"/>
        </w:rPr>
        <w:t>review</w:t>
      </w:r>
      <w:r w:rsidR="007B68AF" w:rsidRPr="00AA4677">
        <w:rPr>
          <w:rFonts w:eastAsia="Times New Roman" w:cs="Times New Roman"/>
          <w:szCs w:val="24"/>
        </w:rPr>
        <w:t xml:space="preserve"> of</w:t>
      </w:r>
      <w:r w:rsidRPr="00AA4677">
        <w:rPr>
          <w:rFonts w:eastAsia="Times New Roman" w:cs="Times New Roman"/>
          <w:szCs w:val="24"/>
        </w:rPr>
        <w:t xml:space="preserve"> </w:t>
      </w:r>
      <w:r w:rsidR="007B31D8" w:rsidRPr="00AA4677">
        <w:rPr>
          <w:rFonts w:eastAsia="Times New Roman" w:cs="Times New Roman"/>
          <w:szCs w:val="24"/>
        </w:rPr>
        <w:t xml:space="preserve">the materials submitted for continuing review </w:t>
      </w:r>
      <w:r w:rsidRPr="00AA4677">
        <w:rPr>
          <w:rFonts w:eastAsia="Times New Roman" w:cs="Times New Roman"/>
          <w:szCs w:val="24"/>
        </w:rPr>
        <w:t xml:space="preserve">along with all </w:t>
      </w:r>
      <w:r w:rsidR="007B68AF" w:rsidRPr="00AA4677">
        <w:rPr>
          <w:rFonts w:eastAsia="Times New Roman" w:cs="Times New Roman"/>
          <w:szCs w:val="24"/>
        </w:rPr>
        <w:t xml:space="preserve">study history residing in the </w:t>
      </w:r>
      <w:r w:rsidR="00DC5138" w:rsidRPr="00AA4677">
        <w:rPr>
          <w:rFonts w:eastAsia="Times New Roman" w:cs="Times New Roman"/>
          <w:szCs w:val="24"/>
        </w:rPr>
        <w:t>electronic management system</w:t>
      </w:r>
      <w:r w:rsidRPr="00AA4677">
        <w:rPr>
          <w:rFonts w:eastAsia="Times New Roman" w:cs="Times New Roman"/>
          <w:szCs w:val="24"/>
        </w:rPr>
        <w:t>. Primary and secondary reviewers will lead the discussion at the convened meeting</w:t>
      </w:r>
      <w:r w:rsidR="007B68AF" w:rsidRPr="00AA4677">
        <w:rPr>
          <w:rFonts w:eastAsia="Times New Roman" w:cs="Times New Roman"/>
          <w:szCs w:val="24"/>
        </w:rPr>
        <w:t xml:space="preserve"> regarding study, including its aims, progress, history,</w:t>
      </w:r>
      <w:r w:rsidRPr="00AA4677">
        <w:rPr>
          <w:rFonts w:eastAsia="Times New Roman" w:cs="Times New Roman"/>
          <w:szCs w:val="24"/>
        </w:rPr>
        <w:t xml:space="preserve"> </w:t>
      </w:r>
      <w:r w:rsidR="007B68AF" w:rsidRPr="00AA4677">
        <w:rPr>
          <w:rFonts w:eastAsia="Times New Roman" w:cs="Times New Roman"/>
          <w:szCs w:val="24"/>
        </w:rPr>
        <w:t xml:space="preserve">and assessment of </w:t>
      </w:r>
      <w:proofErr w:type="gramStart"/>
      <w:r w:rsidRPr="00AA4677">
        <w:rPr>
          <w:rFonts w:eastAsia="Times New Roman" w:cs="Times New Roman"/>
          <w:szCs w:val="24"/>
        </w:rPr>
        <w:t>whether or not</w:t>
      </w:r>
      <w:proofErr w:type="gramEnd"/>
      <w:r w:rsidRPr="00AA4677">
        <w:rPr>
          <w:rFonts w:eastAsia="Times New Roman" w:cs="Times New Roman"/>
          <w:szCs w:val="24"/>
        </w:rPr>
        <w:t xml:space="preserve"> the approval criteria </w:t>
      </w:r>
      <w:r w:rsidR="007B68AF" w:rsidRPr="00AA4677">
        <w:rPr>
          <w:rFonts w:eastAsia="Times New Roman" w:cs="Times New Roman"/>
          <w:szCs w:val="24"/>
        </w:rPr>
        <w:t xml:space="preserve">continue to be </w:t>
      </w:r>
      <w:r w:rsidRPr="00AA4677">
        <w:rPr>
          <w:rFonts w:eastAsia="Times New Roman" w:cs="Times New Roman"/>
          <w:szCs w:val="24"/>
        </w:rPr>
        <w:t>met</w:t>
      </w:r>
      <w:r w:rsidR="007B68AF" w:rsidRPr="00AA4677">
        <w:rPr>
          <w:rFonts w:eastAsia="Times New Roman" w:cs="Times New Roman"/>
          <w:szCs w:val="24"/>
        </w:rPr>
        <w:t xml:space="preserve">. </w:t>
      </w:r>
    </w:p>
    <w:p w14:paraId="107555B7" w14:textId="529AE7A0" w:rsidR="003E7C9E" w:rsidRPr="00AA4677" w:rsidRDefault="003E7C9E" w:rsidP="00C57C98">
      <w:pPr>
        <w:pStyle w:val="Heading3"/>
      </w:pPr>
      <w:r w:rsidRPr="00AA4677">
        <w:lastRenderedPageBreak/>
        <w:t>3.12.3 Expedited Review of Continuing Studies</w:t>
      </w:r>
    </w:p>
    <w:p w14:paraId="00661651" w14:textId="15F68E03" w:rsidR="003E7C9E" w:rsidRPr="00AA4677" w:rsidRDefault="003E7C9E" w:rsidP="000042C4">
      <w:r w:rsidRPr="00AA4677">
        <w:rPr>
          <w:rFonts w:eastAsia="Times New Roman" w:cs="Times New Roman"/>
          <w:szCs w:val="24"/>
        </w:rPr>
        <w:t xml:space="preserve">In conducting continuing review under the expedited review process, the reviewers have access to all </w:t>
      </w:r>
      <w:r w:rsidR="007B68AF" w:rsidRPr="00AA4677">
        <w:rPr>
          <w:rFonts w:eastAsia="Times New Roman" w:cs="Times New Roman"/>
          <w:szCs w:val="24"/>
        </w:rPr>
        <w:t xml:space="preserve">materials submitted for continuing review as well as all study history residing in the </w:t>
      </w:r>
      <w:r w:rsidR="00DC5138" w:rsidRPr="00AA4677">
        <w:rPr>
          <w:rFonts w:eastAsia="Times New Roman" w:cs="Times New Roman"/>
          <w:szCs w:val="24"/>
        </w:rPr>
        <w:t>electronic management system</w:t>
      </w:r>
      <w:r w:rsidR="007B68AF" w:rsidRPr="00AA4677">
        <w:rPr>
          <w:rFonts w:eastAsia="Times New Roman" w:cs="Times New Roman"/>
          <w:szCs w:val="24"/>
        </w:rPr>
        <w:t xml:space="preserve">. </w:t>
      </w:r>
      <w:r w:rsidRPr="00AA4677">
        <w:rPr>
          <w:rFonts w:eastAsia="Times New Roman" w:cs="Times New Roman"/>
          <w:szCs w:val="24"/>
        </w:rPr>
        <w:t xml:space="preserve"> Reviewers will </w:t>
      </w:r>
      <w:r w:rsidR="000042C4" w:rsidRPr="00AA4677">
        <w:rPr>
          <w:rFonts w:eastAsia="Times New Roman" w:cs="Times New Roman"/>
          <w:szCs w:val="24"/>
        </w:rPr>
        <w:t xml:space="preserve">complete the </w:t>
      </w:r>
      <w:r w:rsidR="00DC5138" w:rsidRPr="00AA4677">
        <w:rPr>
          <w:rFonts w:eastAsia="Times New Roman" w:cs="Times New Roman"/>
          <w:szCs w:val="24"/>
        </w:rPr>
        <w:t xml:space="preserve">Approval Criteria Worksheet for Expedited Reviews, </w:t>
      </w:r>
      <w:r w:rsidRPr="00AA4677">
        <w:rPr>
          <w:rFonts w:eastAsia="Times New Roman" w:cs="Times New Roman"/>
          <w:szCs w:val="24"/>
        </w:rPr>
        <w:t xml:space="preserve"> including assessment that the regulatory criteria for expedited review and IRB approval continue to be met, with indication of approval, required modifications </w:t>
      </w:r>
      <w:proofErr w:type="gramStart"/>
      <w:r w:rsidRPr="00AA4677">
        <w:rPr>
          <w:rFonts w:eastAsia="Times New Roman" w:cs="Times New Roman"/>
          <w:szCs w:val="24"/>
        </w:rPr>
        <w:t>or ‘deferred</w:t>
      </w:r>
      <w:proofErr w:type="gramEnd"/>
      <w:r w:rsidRPr="00AA4677">
        <w:rPr>
          <w:rFonts w:eastAsia="Times New Roman" w:cs="Times New Roman"/>
          <w:szCs w:val="24"/>
        </w:rPr>
        <w:t xml:space="preserve"> to full committee’.  </w:t>
      </w:r>
      <w:r w:rsidR="00913662" w:rsidRPr="00AA4677">
        <w:rPr>
          <w:rFonts w:eastAsia="Times New Roman" w:cs="Times New Roman"/>
          <w:szCs w:val="24"/>
        </w:rPr>
        <w:t>I</w:t>
      </w:r>
      <w:r w:rsidR="00913662" w:rsidRPr="00AA4677">
        <w:rPr>
          <w:rStyle w:val="BodyTextChar"/>
          <w:rFonts w:ascii="Calibri" w:eastAsiaTheme="minorHAnsi" w:hAnsi="Calibri"/>
        </w:rPr>
        <w:t>f the research no longer requires continuing review under the Common Ru</w:t>
      </w:r>
      <w:r w:rsidR="000042C4" w:rsidRPr="00AA4677">
        <w:rPr>
          <w:rStyle w:val="BodyTextChar"/>
          <w:rFonts w:ascii="Calibri" w:eastAsiaTheme="minorHAnsi" w:hAnsi="Calibri"/>
        </w:rPr>
        <w:t>le but</w:t>
      </w:r>
      <w:r w:rsidR="00913662" w:rsidRPr="00AA4677">
        <w:rPr>
          <w:rStyle w:val="BodyTextChar"/>
          <w:rFonts w:ascii="Calibri" w:eastAsiaTheme="minorHAnsi" w:hAnsi="Calibri"/>
        </w:rPr>
        <w:t xml:space="preserve"> the IRB reviewer determines that continuing review is required, the reviewer shall document the rationale in the checklist. </w:t>
      </w:r>
    </w:p>
    <w:p w14:paraId="64EFD73C" w14:textId="070B7D0E" w:rsidR="00913662" w:rsidRPr="00AA4677" w:rsidRDefault="003E7C9E" w:rsidP="00913662">
      <w:r w:rsidRPr="00AA4677">
        <w:rPr>
          <w:rFonts w:eastAsia="Times New Roman" w:cs="Times New Roman"/>
          <w:szCs w:val="24"/>
        </w:rPr>
        <w:t xml:space="preserve">Generally, if research did not qualify for expedited review at the time of initial review, it does not qualify for expedited review at the time of continuing review, </w:t>
      </w:r>
      <w:r w:rsidR="00913662" w:rsidRPr="00AA4677">
        <w:t>unless it is not subject to FDA regulation, and has progressed to the point that it involves only one or both of the following:</w:t>
      </w:r>
    </w:p>
    <w:p w14:paraId="6020FA34" w14:textId="77777777" w:rsidR="00913662" w:rsidRPr="00AA4677" w:rsidRDefault="00913662">
      <w:pPr>
        <w:pStyle w:val="ListParagraph"/>
        <w:numPr>
          <w:ilvl w:val="1"/>
          <w:numId w:val="205"/>
        </w:numPr>
        <w:spacing w:after="120" w:line="240" w:lineRule="auto"/>
        <w:ind w:left="360"/>
      </w:pPr>
      <w:r w:rsidRPr="00AA4677">
        <w:t>Data analysis, including analysis of identifiable private information or identifiable biospecimens, or</w:t>
      </w:r>
    </w:p>
    <w:p w14:paraId="6C2B7BD3" w14:textId="77777777" w:rsidR="00913662" w:rsidRPr="00AA4677" w:rsidRDefault="00913662">
      <w:pPr>
        <w:pStyle w:val="ListParagraph"/>
        <w:numPr>
          <w:ilvl w:val="1"/>
          <w:numId w:val="205"/>
        </w:numPr>
        <w:spacing w:after="120" w:line="240" w:lineRule="auto"/>
        <w:ind w:left="360"/>
      </w:pPr>
      <w:r w:rsidRPr="00AA4677">
        <w:t xml:space="preserve">Accessing follow-up clinical data from procedures that subjects would undergo as part of clinical </w:t>
      </w:r>
      <w:proofErr w:type="gramStart"/>
      <w:r w:rsidRPr="00AA4677">
        <w:t>care;</w:t>
      </w:r>
      <w:proofErr w:type="gramEnd"/>
    </w:p>
    <w:p w14:paraId="6772C3D1" w14:textId="79427997" w:rsidR="003E7C9E" w:rsidRPr="00AA4677" w:rsidRDefault="00913662" w:rsidP="00913662">
      <w:pPr>
        <w:shd w:val="clear" w:color="auto" w:fill="FFFFFF"/>
        <w:spacing w:before="100" w:beforeAutospacing="1" w:after="100" w:afterAutospacing="1" w:line="240" w:lineRule="auto"/>
        <w:rPr>
          <w:rFonts w:eastAsia="Times New Roman" w:cs="Times New Roman"/>
          <w:szCs w:val="24"/>
        </w:rPr>
      </w:pPr>
      <w:r w:rsidRPr="00AA4677">
        <w:t xml:space="preserve">and </w:t>
      </w:r>
      <w:r w:rsidR="003E7C9E" w:rsidRPr="00AA4677">
        <w:rPr>
          <w:rFonts w:eastAsia="Times New Roman" w:cs="Times New Roman"/>
          <w:szCs w:val="24"/>
        </w:rPr>
        <w:t xml:space="preserve">in limited circumstances described by expedited review categories (8) and (9). </w:t>
      </w:r>
    </w:p>
    <w:p w14:paraId="38CF1114" w14:textId="72AC62BA" w:rsidR="003E7C9E" w:rsidRPr="00AA4677" w:rsidRDefault="003E7C9E" w:rsidP="00C57C98">
      <w:pPr>
        <w:pStyle w:val="Heading3"/>
      </w:pPr>
      <w:r w:rsidRPr="00AA4677">
        <w:t>3.12.4 Continuing Review of Exempt Studies</w:t>
      </w:r>
    </w:p>
    <w:p w14:paraId="7ACF008F" w14:textId="65D7AAC7" w:rsidR="003E7C9E" w:rsidRPr="00AA4677" w:rsidRDefault="008C0060"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w:t>
      </w:r>
      <w:r w:rsidR="000042C4" w:rsidRPr="00AA4677">
        <w:rPr>
          <w:rFonts w:eastAsia="Times New Roman" w:cs="Times New Roman"/>
          <w:szCs w:val="24"/>
        </w:rPr>
        <w:t xml:space="preserve"> staff will not provide a continuing review of an exempt study once the study has received an exempt determination.</w:t>
      </w:r>
    </w:p>
    <w:p w14:paraId="7255550C" w14:textId="27B1FBB7" w:rsidR="003E7C9E" w:rsidRPr="00AA4677" w:rsidRDefault="000042C4" w:rsidP="00C57C98">
      <w:pPr>
        <w:pStyle w:val="Heading3"/>
      </w:pPr>
      <w:r w:rsidRPr="00AA4677">
        <w:t>3.12.5 What Happens</w:t>
      </w:r>
      <w:r w:rsidR="003E7C9E" w:rsidRPr="00AA4677">
        <w:t xml:space="preserve"> if </w:t>
      </w:r>
      <w:r w:rsidR="007E5924" w:rsidRPr="00AA4677">
        <w:t>there</w:t>
      </w:r>
      <w:r w:rsidR="003E7C9E" w:rsidRPr="00AA4677">
        <w:t xml:space="preserve"> </w:t>
      </w:r>
      <w:r w:rsidR="00164DE8" w:rsidRPr="00AA4677">
        <w:t>is a Lapse in Continuing Review</w:t>
      </w:r>
    </w:p>
    <w:p w14:paraId="4EACAB2A" w14:textId="6C0CD6B4"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regulations permit no grace period or approval extension after approval expiration.  Research that continues after the approval period has expired is research conducted without </w:t>
      </w:r>
      <w:r w:rsidR="00EE7207" w:rsidRPr="00AA4677">
        <w:rPr>
          <w:rFonts w:eastAsia="Times New Roman" w:cs="Times New Roman"/>
          <w:szCs w:val="24"/>
        </w:rPr>
        <w:t>IRB</w:t>
      </w:r>
      <w:r w:rsidRPr="00AA4677">
        <w:rPr>
          <w:rFonts w:eastAsia="Times New Roman" w:cs="Times New Roman"/>
          <w:szCs w:val="24"/>
        </w:rPr>
        <w:t xml:space="preserve"> approva</w:t>
      </w:r>
      <w:r w:rsidR="006F2CB2" w:rsidRPr="00AA4677">
        <w:rPr>
          <w:rFonts w:eastAsia="Times New Roman" w:cs="Times New Roman"/>
          <w:szCs w:val="24"/>
        </w:rPr>
        <w:t xml:space="preserve">l and will be handled in accordance with the Noncompliance SOP. </w:t>
      </w:r>
      <w:r w:rsidRPr="00AA4677">
        <w:rPr>
          <w:rFonts w:eastAsia="Times New Roman" w:cs="Times New Roman"/>
          <w:szCs w:val="24"/>
        </w:rPr>
        <w:t xml:space="preserve"> If the continuing review does not occur within the timeframe set by </w:t>
      </w:r>
      <w:r w:rsidR="008C006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all research activities</w:t>
      </w:r>
      <w:r w:rsidR="00EE02D9" w:rsidRPr="00AA4677">
        <w:rPr>
          <w:rFonts w:eastAsia="Times New Roman" w:cs="Times New Roman"/>
          <w:szCs w:val="24"/>
        </w:rPr>
        <w:t xml:space="preserve"> (whether full board or expedite)</w:t>
      </w:r>
      <w:r w:rsidRPr="00AA4677">
        <w:rPr>
          <w:rFonts w:eastAsia="Times New Roman" w:cs="Times New Roman"/>
          <w:szCs w:val="24"/>
        </w:rPr>
        <w:t xml:space="preserve"> must stop, including recruitment (media advertisements must be pulled), enrollment, consent, interventions, interactions, and data collection, unless </w:t>
      </w:r>
      <w:r w:rsidR="008C006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finds that it is in the best interests of individual subjects to continue participating in the research interventions or interactions.  </w:t>
      </w:r>
      <w:r w:rsidRPr="00AA4677">
        <w:rPr>
          <w:rFonts w:eastAsia="Times New Roman" w:cs="Times New Roman"/>
          <w:b/>
          <w:bCs/>
          <w:szCs w:val="24"/>
        </w:rPr>
        <w:t xml:space="preserve">This will occur even if the investigator has provided the continuing information before the expiration date. Therefore, investigators must allow sufficient time for </w:t>
      </w:r>
      <w:r w:rsidR="00EE7207" w:rsidRPr="00AA4677">
        <w:rPr>
          <w:rFonts w:eastAsia="Times New Roman" w:cs="Times New Roman"/>
          <w:b/>
          <w:bCs/>
          <w:szCs w:val="24"/>
        </w:rPr>
        <w:t>IRB</w:t>
      </w:r>
      <w:r w:rsidRPr="00AA4677">
        <w:rPr>
          <w:rFonts w:eastAsia="Times New Roman" w:cs="Times New Roman"/>
          <w:b/>
          <w:bCs/>
          <w:szCs w:val="24"/>
        </w:rPr>
        <w:t xml:space="preserve"> review and approval before the expiration date</w:t>
      </w:r>
      <w:r w:rsidRPr="00AA4677">
        <w:rPr>
          <w:rFonts w:eastAsia="Times New Roman" w:cs="Times New Roman"/>
          <w:szCs w:val="24"/>
        </w:rPr>
        <w:t>.</w:t>
      </w:r>
    </w:p>
    <w:p w14:paraId="1D31C64F" w14:textId="7493F88D"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The </w:t>
      </w:r>
      <w:r w:rsidR="00DC5138" w:rsidRPr="00AA4677">
        <w:rPr>
          <w:rFonts w:eastAsia="Times New Roman" w:cs="Times New Roman"/>
          <w:szCs w:val="24"/>
        </w:rPr>
        <w:t>electronic management system</w:t>
      </w:r>
      <w:r w:rsidR="006F2CB2" w:rsidRPr="00AA4677">
        <w:rPr>
          <w:rFonts w:eastAsia="Times New Roman" w:cs="Times New Roman"/>
          <w:szCs w:val="24"/>
        </w:rPr>
        <w:t xml:space="preserve"> </w:t>
      </w:r>
      <w:r w:rsidRPr="00AA4677">
        <w:rPr>
          <w:rFonts w:eastAsia="Times New Roman" w:cs="Times New Roman"/>
          <w:szCs w:val="24"/>
        </w:rPr>
        <w:t>notif</w:t>
      </w:r>
      <w:r w:rsidR="006F2CB2" w:rsidRPr="00AA4677">
        <w:rPr>
          <w:rFonts w:eastAsia="Times New Roman" w:cs="Times New Roman"/>
          <w:szCs w:val="24"/>
        </w:rPr>
        <w:t xml:space="preserve">ies </w:t>
      </w:r>
      <w:r w:rsidRPr="00AA4677">
        <w:rPr>
          <w:rFonts w:eastAsia="Times New Roman" w:cs="Times New Roman"/>
          <w:szCs w:val="24"/>
        </w:rPr>
        <w:t xml:space="preserve">the investigator of the expiration of approval </w:t>
      </w:r>
      <w:r w:rsidR="006F2CB2" w:rsidRPr="00AA4677">
        <w:rPr>
          <w:rFonts w:eastAsia="Times New Roman" w:cs="Times New Roman"/>
          <w:szCs w:val="24"/>
        </w:rPr>
        <w:t xml:space="preserve">with notice that </w:t>
      </w:r>
      <w:r w:rsidRPr="00AA4677">
        <w:rPr>
          <w:rFonts w:eastAsia="Times New Roman" w:cs="Times New Roman"/>
          <w:szCs w:val="24"/>
        </w:rPr>
        <w:t>research activities must stop.</w:t>
      </w:r>
      <w:r w:rsidR="006F2CB2" w:rsidRPr="00AA4677">
        <w:rPr>
          <w:rFonts w:eastAsia="Times New Roman" w:cs="Times New Roman"/>
          <w:szCs w:val="24"/>
        </w:rPr>
        <w:t xml:space="preserve"> With this notice, </w:t>
      </w:r>
      <w:r w:rsidRPr="00AA4677">
        <w:rPr>
          <w:rFonts w:eastAsia="Times New Roman" w:cs="Times New Roman"/>
          <w:szCs w:val="24"/>
        </w:rPr>
        <w:t xml:space="preserve">the PI </w:t>
      </w:r>
      <w:r w:rsidR="006F2CB2" w:rsidRPr="00AA4677">
        <w:rPr>
          <w:rFonts w:eastAsia="Times New Roman" w:cs="Times New Roman"/>
          <w:szCs w:val="24"/>
        </w:rPr>
        <w:t xml:space="preserve">is advised to </w:t>
      </w:r>
      <w:r w:rsidRPr="00AA4677">
        <w:rPr>
          <w:rFonts w:eastAsia="Times New Roman" w:cs="Times New Roman"/>
          <w:szCs w:val="24"/>
        </w:rPr>
        <w:t xml:space="preserve">immediately submit to the ORC a list of any currently enrolled research subjects for whom suspension of the research would cause harm.  Enrollment of new subjects cannot occur, and continuation of research interventions or interactions for already enrolled subjects should only </w:t>
      </w:r>
      <w:proofErr w:type="gramStart"/>
      <w:r w:rsidRPr="00AA4677">
        <w:rPr>
          <w:rFonts w:eastAsia="Times New Roman" w:cs="Times New Roman"/>
          <w:szCs w:val="24"/>
        </w:rPr>
        <w:t>continue,</w:t>
      </w:r>
      <w:proofErr w:type="gramEnd"/>
      <w:r w:rsidRPr="00AA4677">
        <w:rPr>
          <w:rFonts w:eastAsia="Times New Roman" w:cs="Times New Roman"/>
          <w:szCs w:val="24"/>
        </w:rPr>
        <w:t xml:space="preserve"> when </w:t>
      </w:r>
      <w:r w:rsidR="00C31444" w:rsidRPr="00AA4677">
        <w:rPr>
          <w:rFonts w:eastAsia="Times New Roman" w:cs="Times New Roman"/>
          <w:szCs w:val="24"/>
        </w:rPr>
        <w:t xml:space="preserve">the </w:t>
      </w:r>
      <w:r w:rsidR="00EE7207" w:rsidRPr="00AA4677">
        <w:rPr>
          <w:rFonts w:eastAsia="Times New Roman" w:cs="Times New Roman"/>
          <w:szCs w:val="24"/>
        </w:rPr>
        <w:t>IRB</w:t>
      </w:r>
      <w:r w:rsidR="00C31444" w:rsidRPr="00AA4677">
        <w:rPr>
          <w:rFonts w:eastAsia="Times New Roman" w:cs="Times New Roman"/>
          <w:szCs w:val="24"/>
        </w:rPr>
        <w:t xml:space="preserve"> or the </w:t>
      </w:r>
      <w:r w:rsidR="00EE7207" w:rsidRPr="00AA4677">
        <w:rPr>
          <w:rFonts w:eastAsia="Times New Roman" w:cs="Times New Roman"/>
          <w:szCs w:val="24"/>
        </w:rPr>
        <w:t>IRB</w:t>
      </w:r>
      <w:r w:rsidRPr="00AA4677">
        <w:rPr>
          <w:rFonts w:eastAsia="Times New Roman" w:cs="Times New Roman"/>
          <w:szCs w:val="24"/>
        </w:rPr>
        <w:t xml:space="preserve"> Chair finds that it is in the best interest of the individual subjects to do so.</w:t>
      </w:r>
    </w:p>
    <w:p w14:paraId="7E5455A7" w14:textId="794ED270"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Once approval has expired, </w:t>
      </w:r>
      <w:r w:rsidR="00C3144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review and re-approval must occur prior to re-initiation of the research</w:t>
      </w:r>
      <w:r w:rsidRPr="00AA4677">
        <w:rPr>
          <w:rFonts w:eastAsia="Times New Roman" w:cs="Times New Roman"/>
          <w:szCs w:val="24"/>
          <w:shd w:val="clear" w:color="auto" w:fill="FFFFFF" w:themeFill="background1"/>
        </w:rPr>
        <w:t>. If the study approval has lapsed more than 90 days and the PI has not provided the required continuing review information, the PI m</w:t>
      </w:r>
      <w:r w:rsidR="005E1BCD" w:rsidRPr="00AA4677">
        <w:rPr>
          <w:rFonts w:eastAsia="Times New Roman" w:cs="Times New Roman"/>
          <w:szCs w:val="24"/>
          <w:shd w:val="clear" w:color="auto" w:fill="FFFFFF" w:themeFill="background1"/>
        </w:rPr>
        <w:t>ay be required to</w:t>
      </w:r>
      <w:r w:rsidRPr="00AA4677">
        <w:rPr>
          <w:rFonts w:eastAsia="Times New Roman" w:cs="Times New Roman"/>
          <w:szCs w:val="24"/>
          <w:shd w:val="clear" w:color="auto" w:fill="FFFFFF" w:themeFill="background1"/>
        </w:rPr>
        <w:t xml:space="preserve"> submit a</w:t>
      </w:r>
      <w:r w:rsidRPr="00AA4677">
        <w:rPr>
          <w:rFonts w:eastAsia="Times New Roman" w:cs="Times New Roman"/>
          <w:szCs w:val="24"/>
        </w:rPr>
        <w:t xml:space="preserve"> new application to </w:t>
      </w:r>
      <w:r w:rsidR="00C3144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for review and approval. If the study approval has lapsed 90 days or less and the PI provides the required continuing review information, the existing protocol may be reviewed for consideration of continued </w:t>
      </w:r>
      <w:r w:rsidR="00EE7207" w:rsidRPr="00AA4677">
        <w:rPr>
          <w:rFonts w:eastAsia="Times New Roman" w:cs="Times New Roman"/>
          <w:szCs w:val="24"/>
        </w:rPr>
        <w:t>IRB</w:t>
      </w:r>
      <w:r w:rsidRPr="00AA4677">
        <w:rPr>
          <w:rFonts w:eastAsia="Times New Roman" w:cs="Times New Roman"/>
          <w:szCs w:val="24"/>
        </w:rPr>
        <w:t xml:space="preserve"> approval.</w:t>
      </w:r>
    </w:p>
    <w:p w14:paraId="0466DDAF" w14:textId="314E3AF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w:t>
      </w:r>
      <w:r w:rsidR="00C31444" w:rsidRPr="00AA4677">
        <w:rPr>
          <w:rFonts w:eastAsia="Times New Roman" w:cs="Times New Roman"/>
          <w:szCs w:val="24"/>
        </w:rPr>
        <w:t xml:space="preserve">the </w:t>
      </w:r>
      <w:r w:rsidR="00EE7207" w:rsidRPr="00AA4677">
        <w:rPr>
          <w:rFonts w:eastAsia="Times New Roman" w:cs="Times New Roman"/>
          <w:szCs w:val="24"/>
        </w:rPr>
        <w:t>IRB</w:t>
      </w:r>
      <w:r w:rsidR="00C31444" w:rsidRPr="00AA4677">
        <w:rPr>
          <w:rFonts w:eastAsia="Times New Roman" w:cs="Times New Roman"/>
          <w:szCs w:val="24"/>
        </w:rPr>
        <w:t xml:space="preserve"> </w:t>
      </w:r>
      <w:r w:rsidRPr="00AA4677">
        <w:rPr>
          <w:rFonts w:eastAsia="Times New Roman" w:cs="Times New Roman"/>
          <w:szCs w:val="24"/>
        </w:rPr>
        <w:t xml:space="preserve">requires modifications at the time of continuing review, and the approval expires before </w:t>
      </w:r>
      <w:r w:rsidR="00C31444" w:rsidRPr="00AA4677">
        <w:rPr>
          <w:rFonts w:eastAsia="Times New Roman" w:cs="Times New Roman"/>
          <w:szCs w:val="24"/>
        </w:rPr>
        <w:t xml:space="preserve">the </w:t>
      </w:r>
      <w:r w:rsidR="00EE7207" w:rsidRPr="00AA4677">
        <w:rPr>
          <w:rFonts w:eastAsia="Times New Roman" w:cs="Times New Roman"/>
          <w:szCs w:val="24"/>
        </w:rPr>
        <w:t>IRB</w:t>
      </w:r>
      <w:r w:rsidR="00C31444" w:rsidRPr="00AA4677">
        <w:rPr>
          <w:rFonts w:eastAsia="Times New Roman" w:cs="Times New Roman"/>
          <w:szCs w:val="24"/>
        </w:rPr>
        <w:t xml:space="preserve"> </w:t>
      </w:r>
      <w:r w:rsidRPr="00AA4677">
        <w:rPr>
          <w:rFonts w:eastAsia="Times New Roman" w:cs="Times New Roman"/>
          <w:szCs w:val="24"/>
        </w:rPr>
        <w:t>has reviewed and approved the PI response, all activities involving human subjects or their tissue/data must be stopped as described above.  </w:t>
      </w:r>
    </w:p>
    <w:p w14:paraId="79533958" w14:textId="28A42FF2" w:rsidR="003E7C9E" w:rsidRPr="00AA4677" w:rsidRDefault="00A346F0" w:rsidP="00696B35">
      <w:pPr>
        <w:pStyle w:val="Heading2"/>
      </w:pPr>
      <w:bookmarkStart w:id="73" w:name="_Toc192678181"/>
      <w:r w:rsidRPr="00AA4677">
        <w:t>3.13 Amendment of an Approved</w:t>
      </w:r>
      <w:r w:rsidR="003E7C9E" w:rsidRPr="00AA4677">
        <w:t xml:space="preserve"> Protocol</w:t>
      </w:r>
      <w:bookmarkEnd w:id="73"/>
    </w:p>
    <w:p w14:paraId="0FDEC96C" w14:textId="6DCFF7E3"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Investigators may wish to modify or amend their approved </w:t>
      </w:r>
      <w:r w:rsidR="00913662" w:rsidRPr="00AA4677">
        <w:rPr>
          <w:rFonts w:eastAsia="Times New Roman" w:cs="Times New Roman"/>
          <w:szCs w:val="24"/>
        </w:rPr>
        <w:t>research</w:t>
      </w:r>
      <w:r w:rsidRPr="00AA4677">
        <w:rPr>
          <w:rFonts w:eastAsia="Times New Roman" w:cs="Times New Roman"/>
          <w:szCs w:val="24"/>
        </w:rPr>
        <w:t>.  </w:t>
      </w:r>
      <w:r w:rsidRPr="00AA4677">
        <w:rPr>
          <w:rFonts w:eastAsia="Times New Roman" w:cs="Times New Roman"/>
          <w:bCs/>
          <w:szCs w:val="24"/>
        </w:rPr>
        <w:t>Investigators must seek approval</w:t>
      </w:r>
      <w:r w:rsidR="00C31444" w:rsidRPr="00AA4677">
        <w:rPr>
          <w:rFonts w:eastAsia="Times New Roman" w:cs="Times New Roman"/>
          <w:bCs/>
          <w:szCs w:val="24"/>
        </w:rPr>
        <w:t xml:space="preserve"> from the </w:t>
      </w:r>
      <w:r w:rsidR="00EE7207" w:rsidRPr="00AA4677">
        <w:rPr>
          <w:rFonts w:eastAsia="Times New Roman" w:cs="Times New Roman"/>
          <w:bCs/>
          <w:szCs w:val="24"/>
        </w:rPr>
        <w:t>IRB</w:t>
      </w:r>
      <w:r w:rsidRPr="00AA4677">
        <w:rPr>
          <w:rFonts w:eastAsia="Times New Roman" w:cs="Times New Roman"/>
          <w:bCs/>
          <w:szCs w:val="24"/>
        </w:rPr>
        <w:t xml:space="preserve"> before making any changes</w:t>
      </w:r>
      <w:r w:rsidR="00913662" w:rsidRPr="00AA4677">
        <w:rPr>
          <w:rFonts w:eastAsia="Times New Roman" w:cs="Times New Roman"/>
          <w:bCs/>
          <w:szCs w:val="24"/>
        </w:rPr>
        <w:t>, no matter how minor,</w:t>
      </w:r>
      <w:r w:rsidRPr="00AA4677">
        <w:rPr>
          <w:rFonts w:eastAsia="Times New Roman" w:cs="Times New Roman"/>
          <w:bCs/>
          <w:szCs w:val="24"/>
        </w:rPr>
        <w:t xml:space="preserve"> in approved research</w:t>
      </w:r>
      <w:r w:rsidRPr="00AA4677">
        <w:rPr>
          <w:rFonts w:eastAsia="Times New Roman" w:cs="Times New Roman"/>
          <w:szCs w:val="24"/>
        </w:rPr>
        <w:t xml:space="preserve"> unless the change is necessary to eliminate an immediate hazard to the subject (in which case </w:t>
      </w:r>
      <w:r w:rsidR="00C3144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must be notified immediately).</w:t>
      </w:r>
    </w:p>
    <w:p w14:paraId="70E1FA84" w14:textId="6CA0D3D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Modifications may be approved if they are within the scope of what </w:t>
      </w:r>
      <w:r w:rsidR="00C3144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originally authorized.  For example, if a</w:t>
      </w:r>
      <w:r w:rsidR="000216F7" w:rsidRPr="00AA4677">
        <w:rPr>
          <w:rFonts w:eastAsia="Times New Roman" w:cs="Times New Roman"/>
          <w:szCs w:val="24"/>
        </w:rPr>
        <w:t>n investigator</w:t>
      </w:r>
      <w:r w:rsidRPr="00AA4677">
        <w:rPr>
          <w:rFonts w:eastAsia="Times New Roman" w:cs="Times New Roman"/>
          <w:szCs w:val="24"/>
        </w:rPr>
        <w:t xml:space="preserve"> wishes to add a population to an existing study, but not alter the study procedures or purpose, a modification request is usually</w:t>
      </w:r>
      <w:r w:rsidR="00AD0891" w:rsidRPr="00AA4677">
        <w:rPr>
          <w:rFonts w:eastAsia="Times New Roman" w:cs="Times New Roman"/>
          <w:szCs w:val="24"/>
        </w:rPr>
        <w:t xml:space="preserve"> appropriate. </w:t>
      </w:r>
      <w:r w:rsidRPr="00AA4677">
        <w:rPr>
          <w:rFonts w:eastAsia="Times New Roman" w:cs="Times New Roman"/>
          <w:szCs w:val="24"/>
        </w:rPr>
        <w:t xml:space="preserve">Likewise, modifying a procedure without changing the study's purpose or study population may also be appropriate.  If, however, the </w:t>
      </w:r>
      <w:r w:rsidR="000216F7" w:rsidRPr="00AA4677">
        <w:rPr>
          <w:rFonts w:eastAsia="Times New Roman" w:cs="Times New Roman"/>
          <w:szCs w:val="24"/>
        </w:rPr>
        <w:t>investigator</w:t>
      </w:r>
      <w:r w:rsidRPr="00AA4677">
        <w:rPr>
          <w:rFonts w:eastAsia="Times New Roman" w:cs="Times New Roman"/>
          <w:szCs w:val="24"/>
        </w:rPr>
        <w:t xml:space="preserve"> wishes to </w:t>
      </w:r>
      <w:r w:rsidR="00913662" w:rsidRPr="00AA4677">
        <w:rPr>
          <w:rFonts w:eastAsia="Times New Roman" w:cs="Times New Roman"/>
          <w:szCs w:val="24"/>
        </w:rPr>
        <w:t xml:space="preserve">alter the original </w:t>
      </w:r>
      <w:r w:rsidR="006F1E22" w:rsidRPr="00AA4677">
        <w:rPr>
          <w:rFonts w:eastAsia="Times New Roman" w:cs="Times New Roman"/>
          <w:szCs w:val="24"/>
        </w:rPr>
        <w:t>aims (</w:t>
      </w:r>
      <w:r w:rsidR="00913662" w:rsidRPr="00AA4677">
        <w:rPr>
          <w:rFonts w:eastAsia="Times New Roman" w:cs="Times New Roman"/>
          <w:szCs w:val="24"/>
        </w:rPr>
        <w:t>scope</w:t>
      </w:r>
      <w:r w:rsidR="006F1E22" w:rsidRPr="00AA4677">
        <w:rPr>
          <w:rFonts w:eastAsia="Times New Roman" w:cs="Times New Roman"/>
          <w:szCs w:val="24"/>
        </w:rPr>
        <w:t>)</w:t>
      </w:r>
      <w:r w:rsidR="00913662" w:rsidRPr="00AA4677">
        <w:rPr>
          <w:rFonts w:eastAsia="Times New Roman" w:cs="Times New Roman"/>
          <w:szCs w:val="24"/>
        </w:rPr>
        <w:t xml:space="preserve">, purpose, or intent of the research, </w:t>
      </w:r>
      <w:r w:rsidRPr="00AA4677">
        <w:rPr>
          <w:rFonts w:eastAsia="Times New Roman" w:cs="Times New Roman"/>
          <w:szCs w:val="24"/>
        </w:rPr>
        <w:t xml:space="preserve">he or she </w:t>
      </w:r>
      <w:r w:rsidR="00913662" w:rsidRPr="00AA4677">
        <w:rPr>
          <w:rFonts w:eastAsia="Times New Roman" w:cs="Times New Roman"/>
          <w:szCs w:val="24"/>
        </w:rPr>
        <w:t xml:space="preserve">will likely </w:t>
      </w:r>
      <w:r w:rsidRPr="00AA4677">
        <w:rPr>
          <w:rFonts w:eastAsia="Times New Roman" w:cs="Times New Roman"/>
          <w:szCs w:val="24"/>
        </w:rPr>
        <w:t xml:space="preserve">need to submit a new application for human </w:t>
      </w:r>
      <w:proofErr w:type="gramStart"/>
      <w:r w:rsidRPr="00AA4677">
        <w:rPr>
          <w:rFonts w:eastAsia="Times New Roman" w:cs="Times New Roman"/>
          <w:szCs w:val="24"/>
        </w:rPr>
        <w:t>subjects</w:t>
      </w:r>
      <w:proofErr w:type="gramEnd"/>
      <w:r w:rsidRPr="00AA4677">
        <w:rPr>
          <w:rFonts w:eastAsia="Times New Roman" w:cs="Times New Roman"/>
          <w:szCs w:val="24"/>
        </w:rPr>
        <w:t xml:space="preserve"> approval.</w:t>
      </w:r>
    </w:p>
    <w:p w14:paraId="1DA47328" w14:textId="2140DC38" w:rsidR="00216CC9"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Investigators must submit </w:t>
      </w:r>
      <w:r w:rsidR="00216CC9" w:rsidRPr="00AA4677">
        <w:rPr>
          <w:rFonts w:eastAsia="Times New Roman" w:cs="Times New Roman"/>
          <w:szCs w:val="24"/>
        </w:rPr>
        <w:t xml:space="preserve">to the IRB </w:t>
      </w:r>
      <w:proofErr w:type="gramStart"/>
      <w:r w:rsidR="00216CC9" w:rsidRPr="00AA4677">
        <w:rPr>
          <w:rFonts w:eastAsia="Times New Roman" w:cs="Times New Roman"/>
          <w:szCs w:val="24"/>
        </w:rPr>
        <w:t>any and all</w:t>
      </w:r>
      <w:proofErr w:type="gramEnd"/>
      <w:r w:rsidR="00216CC9" w:rsidRPr="00AA4677">
        <w:rPr>
          <w:rFonts w:eastAsia="Times New Roman" w:cs="Times New Roman"/>
          <w:szCs w:val="24"/>
        </w:rPr>
        <w:t xml:space="preserve"> revised documents that are impacted by the modification, as well as a justification and summary of changes, and track-changed materials whenever possible.  </w:t>
      </w:r>
    </w:p>
    <w:p w14:paraId="19C2BB18" w14:textId="389BC4E2" w:rsidR="003E7C9E" w:rsidRPr="00AA4677" w:rsidRDefault="00C31444"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w:t>
      </w:r>
      <w:r w:rsidR="003E7C9E" w:rsidRPr="00AA4677">
        <w:rPr>
          <w:rFonts w:eastAsia="Times New Roman" w:cs="Times New Roman"/>
          <w:szCs w:val="24"/>
        </w:rPr>
        <w:t xml:space="preserve"> staff will determine whether the proposed changes may be approved throu</w:t>
      </w:r>
      <w:r w:rsidR="00545BF6" w:rsidRPr="00AA4677">
        <w:rPr>
          <w:rFonts w:eastAsia="Times New Roman" w:cs="Times New Roman"/>
          <w:szCs w:val="24"/>
        </w:rPr>
        <w:t xml:space="preserve">gh an expedited review process </w:t>
      </w:r>
      <w:r w:rsidR="003E7C9E" w:rsidRPr="00AA4677">
        <w:rPr>
          <w:rFonts w:eastAsia="Times New Roman" w:cs="Times New Roman"/>
          <w:szCs w:val="24"/>
        </w:rPr>
        <w:t>if the changes are minor</w:t>
      </w:r>
      <w:r w:rsidR="00545BF6" w:rsidRPr="00AA4677">
        <w:rPr>
          <w:rFonts w:eastAsia="Times New Roman" w:cs="Times New Roman"/>
          <w:szCs w:val="24"/>
        </w:rPr>
        <w:t xml:space="preserve"> and </w:t>
      </w:r>
      <w:r w:rsidR="00216CC9" w:rsidRPr="00AA4677">
        <w:rPr>
          <w:rFonts w:eastAsia="Times New Roman" w:cs="Times New Roman"/>
          <w:szCs w:val="24"/>
        </w:rPr>
        <w:t>not increasing risk</w:t>
      </w:r>
      <w:r w:rsidR="003E7C9E" w:rsidRPr="00AA4677">
        <w:rPr>
          <w:rFonts w:eastAsia="Times New Roman" w:cs="Times New Roman"/>
          <w:szCs w:val="24"/>
        </w:rPr>
        <w:t xml:space="preserve">, or whether the modification </w:t>
      </w:r>
      <w:r w:rsidR="003E7C9E" w:rsidRPr="00AA4677">
        <w:rPr>
          <w:rFonts w:eastAsia="Times New Roman" w:cs="Times New Roman"/>
          <w:szCs w:val="24"/>
        </w:rPr>
        <w:lastRenderedPageBreak/>
        <w:t xml:space="preserve">warrants full board review. </w:t>
      </w:r>
      <w:r w:rsidR="00216CC9" w:rsidRPr="00AA4677">
        <w:rPr>
          <w:rFonts w:eastAsia="Times New Roman" w:cs="Times New Roman"/>
          <w:szCs w:val="24"/>
        </w:rPr>
        <w:t>If expedited, t</w:t>
      </w:r>
      <w:r w:rsidRPr="00AA4677">
        <w:rPr>
          <w:rFonts w:eastAsia="Times New Roman" w:cs="Times New Roman"/>
          <w:szCs w:val="24"/>
        </w:rPr>
        <w:t xml:space="preserve">he </w:t>
      </w:r>
      <w:r w:rsidR="00EE7207" w:rsidRPr="00AA4677">
        <w:rPr>
          <w:rFonts w:eastAsia="Times New Roman" w:cs="Times New Roman"/>
          <w:szCs w:val="24"/>
        </w:rPr>
        <w:t>IRB</w:t>
      </w:r>
      <w:r w:rsidRPr="00AA4677">
        <w:rPr>
          <w:rFonts w:eastAsia="Times New Roman" w:cs="Times New Roman"/>
          <w:szCs w:val="24"/>
        </w:rPr>
        <w:t xml:space="preserve"> </w:t>
      </w:r>
      <w:r w:rsidR="003E7C9E" w:rsidRPr="00AA4677">
        <w:rPr>
          <w:rFonts w:eastAsia="Times New Roman" w:cs="Times New Roman"/>
          <w:szCs w:val="24"/>
        </w:rPr>
        <w:t xml:space="preserve">reviewer(s) has the ultimate responsibility to determine that the proposed changes may be approved through the expedited review procedure and, if not, must </w:t>
      </w:r>
      <w:r w:rsidR="00216CC9" w:rsidRPr="00AA4677">
        <w:rPr>
          <w:rFonts w:eastAsia="Times New Roman" w:cs="Times New Roman"/>
          <w:szCs w:val="24"/>
        </w:rPr>
        <w:t>d</w:t>
      </w:r>
      <w:r w:rsidR="003E7C9E" w:rsidRPr="00AA4677">
        <w:rPr>
          <w:rFonts w:eastAsia="Times New Roman" w:cs="Times New Roman"/>
          <w:szCs w:val="24"/>
        </w:rPr>
        <w:t xml:space="preserve">efer the protocol </w:t>
      </w:r>
      <w:r w:rsidR="00216CC9" w:rsidRPr="00AA4677">
        <w:rPr>
          <w:rFonts w:eastAsia="Times New Roman" w:cs="Times New Roman"/>
          <w:szCs w:val="24"/>
        </w:rPr>
        <w:t>to</w:t>
      </w:r>
      <w:r w:rsidR="003E7C9E" w:rsidRPr="00AA4677">
        <w:rPr>
          <w:rFonts w:eastAsia="Times New Roman" w:cs="Times New Roman"/>
          <w:szCs w:val="24"/>
        </w:rPr>
        <w:t xml:space="preserve"> full board review.</w:t>
      </w:r>
    </w:p>
    <w:p w14:paraId="5E903FC3" w14:textId="6BC286B4" w:rsidR="003E7C9E" w:rsidRPr="00AA4677" w:rsidRDefault="003E7C9E" w:rsidP="00C57C98">
      <w:pPr>
        <w:pStyle w:val="Heading3"/>
      </w:pPr>
      <w:r w:rsidRPr="00AA4677">
        <w:t>3.13.1 Expedited review of Protocol Modifications</w:t>
      </w:r>
    </w:p>
    <w:p w14:paraId="5EEB16F2" w14:textId="44FEDF3B" w:rsidR="003E7C9E" w:rsidRPr="00AA4677" w:rsidRDefault="00D26F6B"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may use expedited review procedures to review minor changes in ongoing </w:t>
      </w:r>
      <w:proofErr w:type="gramStart"/>
      <w:r w:rsidR="003E7C9E" w:rsidRPr="00AA4677">
        <w:rPr>
          <w:rFonts w:eastAsia="Times New Roman" w:cs="Times New Roman"/>
          <w:szCs w:val="24"/>
        </w:rPr>
        <w:t>previously-approved</w:t>
      </w:r>
      <w:proofErr w:type="gramEnd"/>
      <w:r w:rsidR="003E7C9E" w:rsidRPr="00AA4677">
        <w:rPr>
          <w:rFonts w:eastAsia="Times New Roman" w:cs="Times New Roman"/>
          <w:szCs w:val="24"/>
        </w:rPr>
        <w:t xml:space="preserve"> research during the period for which approval is authorized. An expedited review may be carried out by the </w:t>
      </w:r>
      <w:r w:rsidR="00EE7207" w:rsidRPr="00AA4677">
        <w:rPr>
          <w:rFonts w:eastAsia="Times New Roman" w:cs="Times New Roman"/>
          <w:szCs w:val="24"/>
        </w:rPr>
        <w:t>IRB</w:t>
      </w:r>
      <w:r w:rsidR="003E7C9E" w:rsidRPr="00AA4677">
        <w:rPr>
          <w:rFonts w:eastAsia="Times New Roman" w:cs="Times New Roman"/>
          <w:szCs w:val="24"/>
        </w:rPr>
        <w:t xml:space="preserve"> Chair and</w:t>
      </w:r>
      <w:r w:rsidRPr="00AA4677">
        <w:rPr>
          <w:rFonts w:eastAsia="Times New Roman" w:cs="Times New Roman"/>
          <w:szCs w:val="24"/>
        </w:rPr>
        <w:t xml:space="preserve">/or designee(s) among the </w:t>
      </w:r>
      <w:r w:rsidR="00EE7207" w:rsidRPr="00AA4677">
        <w:rPr>
          <w:rFonts w:eastAsia="Times New Roman" w:cs="Times New Roman"/>
          <w:szCs w:val="24"/>
        </w:rPr>
        <w:t>IRB</w:t>
      </w:r>
      <w:r w:rsidR="003E7C9E" w:rsidRPr="00AA4677">
        <w:rPr>
          <w:rFonts w:eastAsia="Times New Roman" w:cs="Times New Roman"/>
          <w:szCs w:val="24"/>
        </w:rPr>
        <w:t xml:space="preserve"> members.</w:t>
      </w:r>
    </w:p>
    <w:p w14:paraId="7BDC2C75" w14:textId="49DB6DDF"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reviewer(s) complete the Amendment Review Sheet</w:t>
      </w:r>
      <w:r w:rsidR="000042C4" w:rsidRPr="00AA4677">
        <w:rPr>
          <w:rFonts w:eastAsia="Times New Roman" w:cs="Times New Roman"/>
          <w:szCs w:val="24"/>
        </w:rPr>
        <w:t xml:space="preserve"> for IRB</w:t>
      </w:r>
      <w:r w:rsidR="00DC5138" w:rsidRPr="00AA4677">
        <w:rPr>
          <w:rFonts w:eastAsia="Times New Roman" w:cs="Times New Roman"/>
          <w:szCs w:val="24"/>
        </w:rPr>
        <w:t xml:space="preserve"> Members </w:t>
      </w:r>
      <w:r w:rsidRPr="00AA4677">
        <w:rPr>
          <w:rFonts w:eastAsia="Times New Roman" w:cs="Times New Roman"/>
          <w:szCs w:val="24"/>
        </w:rPr>
        <w:t>to determine whether the modifications meet the criteria allowing review of the amendment using the expedited procedure, and if so, whether the research with the proposed modifications continues to meet the regulatory criteria for approval.</w:t>
      </w:r>
    </w:p>
    <w:p w14:paraId="1D93028E" w14:textId="77777777" w:rsidR="004B11F8" w:rsidRPr="00AA4677" w:rsidRDefault="003E7C9E" w:rsidP="007D2D5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reviewer(s) will also consider whether information about those modifications might relate to </w:t>
      </w:r>
      <w:r w:rsidR="00BF7470" w:rsidRPr="00AA4677">
        <w:rPr>
          <w:rFonts w:eastAsia="Times New Roman" w:cs="Times New Roman"/>
          <w:szCs w:val="24"/>
        </w:rPr>
        <w:t>subject</w:t>
      </w:r>
      <w:r w:rsidRPr="00AA4677">
        <w:rPr>
          <w:rFonts w:eastAsia="Times New Roman" w:cs="Times New Roman"/>
          <w:szCs w:val="24"/>
        </w:rPr>
        <w:t xml:space="preserve">s’ willingness to continue to take part in the research and if so, whether to provide that information to </w:t>
      </w:r>
      <w:r w:rsidR="00BF7470" w:rsidRPr="00AA4677">
        <w:rPr>
          <w:rFonts w:eastAsia="Times New Roman" w:cs="Times New Roman"/>
          <w:szCs w:val="24"/>
        </w:rPr>
        <w:t>subject</w:t>
      </w:r>
      <w:r w:rsidR="007D2D53" w:rsidRPr="00AA4677">
        <w:rPr>
          <w:rFonts w:eastAsia="Times New Roman" w:cs="Times New Roman"/>
          <w:szCs w:val="24"/>
        </w:rPr>
        <w:t>s</w:t>
      </w:r>
    </w:p>
    <w:p w14:paraId="1F79121B" w14:textId="2BD5BAD5" w:rsidR="003E7C9E" w:rsidRPr="00AA4677" w:rsidRDefault="003E7C9E" w:rsidP="007D2D53">
      <w:pPr>
        <w:shd w:val="clear" w:color="auto" w:fill="FFFFFF"/>
        <w:spacing w:before="100" w:beforeAutospacing="1" w:after="100" w:afterAutospacing="1" w:line="240" w:lineRule="auto"/>
        <w:rPr>
          <w:rFonts w:eastAsia="Times New Roman" w:cs="Times New Roman"/>
          <w:b/>
          <w:szCs w:val="24"/>
        </w:rPr>
      </w:pPr>
      <w:r w:rsidRPr="00AA4677">
        <w:rPr>
          <w:b/>
        </w:rPr>
        <w:t>3.13.2 Full Board Review of Protocol Modifications</w:t>
      </w:r>
    </w:p>
    <w:p w14:paraId="02B84B76" w14:textId="03F3E13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a proposed change in a research study is not minor (e.g. procedures involving increased risk or discomfort are to be added), then </w:t>
      </w:r>
      <w:r w:rsidR="00D26F6B"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must review and approve the proposed change at a convened meeting before the change can be implemented. The only exception is a change necessary to eliminate apparent immediate hazards to the research </w:t>
      </w:r>
      <w:r w:rsidR="00D26F6B" w:rsidRPr="00AA4677">
        <w:rPr>
          <w:rFonts w:eastAsia="Times New Roman" w:cs="Times New Roman"/>
          <w:szCs w:val="24"/>
        </w:rPr>
        <w:t xml:space="preserve">subjects. In such a case, the </w:t>
      </w:r>
      <w:r w:rsidR="00EE7207" w:rsidRPr="00AA4677">
        <w:rPr>
          <w:rFonts w:eastAsia="Times New Roman" w:cs="Times New Roman"/>
          <w:szCs w:val="24"/>
        </w:rPr>
        <w:t>IRB</w:t>
      </w:r>
      <w:r w:rsidRPr="00AA4677">
        <w:rPr>
          <w:rFonts w:eastAsia="Times New Roman" w:cs="Times New Roman"/>
          <w:szCs w:val="24"/>
        </w:rPr>
        <w:t xml:space="preserve"> should be promptly informed of the change following its implementation and should review the change to determine that it is consistent with ensuring the subjects' continued welfare.</w:t>
      </w:r>
      <w:r w:rsidR="007A6828" w:rsidRPr="00AA4677">
        <w:rPr>
          <w:rFonts w:eastAsia="Times New Roman" w:cs="Times New Roman"/>
          <w:szCs w:val="24"/>
        </w:rPr>
        <w:t xml:space="preserve"> IRB members must consider whether the incident was an “unanticipated problem involving risks to subjects and/or others”; whether the protocol should be revised; and whether the consent form should include revisions.</w:t>
      </w:r>
    </w:p>
    <w:p w14:paraId="7333A370" w14:textId="65B2CEA8"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All documents provided by the investigator are accessible to all</w:t>
      </w:r>
      <w:r w:rsidR="00D26F6B"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members.</w:t>
      </w:r>
    </w:p>
    <w:p w14:paraId="1F11FB06" w14:textId="2707204F"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At the meeting, the </w:t>
      </w:r>
      <w:r w:rsidR="00D26F6B" w:rsidRPr="00AA4677">
        <w:rPr>
          <w:rFonts w:eastAsia="Times New Roman" w:cs="Times New Roman"/>
          <w:szCs w:val="24"/>
        </w:rPr>
        <w:t>p</w:t>
      </w:r>
      <w:r w:rsidRPr="00AA4677">
        <w:rPr>
          <w:rFonts w:eastAsia="Times New Roman" w:cs="Times New Roman"/>
          <w:szCs w:val="24"/>
        </w:rPr>
        <w:t xml:space="preserve">rimary </w:t>
      </w:r>
      <w:r w:rsidR="00D26F6B" w:rsidRPr="00AA4677">
        <w:rPr>
          <w:rFonts w:eastAsia="Times New Roman" w:cs="Times New Roman"/>
          <w:szCs w:val="24"/>
        </w:rPr>
        <w:t>r</w:t>
      </w:r>
      <w:r w:rsidRPr="00AA4677">
        <w:rPr>
          <w:rFonts w:eastAsia="Times New Roman" w:cs="Times New Roman"/>
          <w:szCs w:val="24"/>
        </w:rPr>
        <w:t xml:space="preserve">eviewer presents </w:t>
      </w:r>
      <w:r w:rsidR="000042C4" w:rsidRPr="00AA4677">
        <w:rPr>
          <w:rFonts w:eastAsia="Times New Roman" w:cs="Times New Roman"/>
          <w:szCs w:val="24"/>
        </w:rPr>
        <w:t>an overview of the changes</w:t>
      </w:r>
      <w:r w:rsidRPr="00AA4677">
        <w:rPr>
          <w:rFonts w:eastAsia="Times New Roman" w:cs="Times New Roman"/>
          <w:szCs w:val="24"/>
        </w:rPr>
        <w:t xml:space="preserve"> and leads </w:t>
      </w:r>
      <w:r w:rsidR="00D26F6B"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through the completion of the regulatory criteria for approval.  </w:t>
      </w:r>
      <w:r w:rsidR="00D26F6B"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determine whether the research</w:t>
      </w:r>
      <w:r w:rsidR="000042C4" w:rsidRPr="00AA4677">
        <w:rPr>
          <w:rFonts w:eastAsia="Times New Roman" w:cs="Times New Roman"/>
          <w:szCs w:val="24"/>
        </w:rPr>
        <w:t xml:space="preserve"> with the proposed changes</w:t>
      </w:r>
      <w:r w:rsidRPr="00AA4677">
        <w:rPr>
          <w:rFonts w:eastAsia="Times New Roman" w:cs="Times New Roman"/>
          <w:szCs w:val="24"/>
        </w:rPr>
        <w:t xml:space="preserve"> continues to meet the regulatory criteria for approval.</w:t>
      </w:r>
    </w:p>
    <w:p w14:paraId="0FD7DEFD" w14:textId="0EA4DA7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w:t>
      </w:r>
      <w:r w:rsidR="00D26F6B" w:rsidRPr="00AA4677">
        <w:rPr>
          <w:rFonts w:eastAsia="Times New Roman" w:cs="Times New Roman"/>
          <w:szCs w:val="24"/>
        </w:rPr>
        <w:t xml:space="preserve">the </w:t>
      </w:r>
      <w:r w:rsidR="00EE7207" w:rsidRPr="00AA4677">
        <w:rPr>
          <w:rFonts w:eastAsia="Times New Roman" w:cs="Times New Roman"/>
          <w:szCs w:val="24"/>
        </w:rPr>
        <w:t>IRB</w:t>
      </w:r>
      <w:r w:rsidR="000042C4" w:rsidRPr="00AA4677">
        <w:rPr>
          <w:rFonts w:eastAsia="Times New Roman" w:cs="Times New Roman"/>
          <w:szCs w:val="24"/>
        </w:rPr>
        <w:t xml:space="preserve"> reviews changes</w:t>
      </w:r>
      <w:r w:rsidRPr="00AA4677">
        <w:rPr>
          <w:rFonts w:eastAsia="Times New Roman" w:cs="Times New Roman"/>
          <w:szCs w:val="24"/>
        </w:rPr>
        <w:t xml:space="preserve"> to previously approved research,</w:t>
      </w:r>
      <w:r w:rsidR="00D26F6B" w:rsidRPr="00AA4677">
        <w:rPr>
          <w:rFonts w:eastAsia="Times New Roman" w:cs="Times New Roman"/>
          <w:szCs w:val="24"/>
        </w:rPr>
        <w:t xml:space="preserve"> the </w:t>
      </w:r>
      <w:r w:rsidR="00EE7207" w:rsidRPr="00AA4677">
        <w:rPr>
          <w:rFonts w:eastAsia="Times New Roman" w:cs="Times New Roman"/>
          <w:szCs w:val="24"/>
        </w:rPr>
        <w:t>IRB</w:t>
      </w:r>
      <w:r w:rsidRPr="00AA4677">
        <w:rPr>
          <w:rFonts w:eastAsia="Times New Roman" w:cs="Times New Roman"/>
          <w:szCs w:val="24"/>
        </w:rPr>
        <w:t xml:space="preserve"> consider whether information about those modifications might relate to </w:t>
      </w:r>
      <w:r w:rsidR="00BF7470" w:rsidRPr="00AA4677">
        <w:rPr>
          <w:rFonts w:eastAsia="Times New Roman" w:cs="Times New Roman"/>
          <w:szCs w:val="24"/>
        </w:rPr>
        <w:t>subject</w:t>
      </w:r>
      <w:r w:rsidRPr="00AA4677">
        <w:rPr>
          <w:rFonts w:eastAsia="Times New Roman" w:cs="Times New Roman"/>
          <w:szCs w:val="24"/>
        </w:rPr>
        <w:t xml:space="preserve">s’ willingness to continue to take part in the research and if so, whether to provide that information to </w:t>
      </w:r>
      <w:r w:rsidR="00BF7470" w:rsidRPr="00AA4677">
        <w:rPr>
          <w:rFonts w:eastAsia="Times New Roman" w:cs="Times New Roman"/>
          <w:szCs w:val="24"/>
        </w:rPr>
        <w:t>subject</w:t>
      </w:r>
      <w:r w:rsidRPr="00AA4677">
        <w:rPr>
          <w:rFonts w:eastAsia="Times New Roman" w:cs="Times New Roman"/>
          <w:szCs w:val="24"/>
        </w:rPr>
        <w:t>s.</w:t>
      </w:r>
    </w:p>
    <w:p w14:paraId="67924029" w14:textId="77777777" w:rsidR="003E7C9E" w:rsidRPr="00AA4677" w:rsidRDefault="003E7C9E" w:rsidP="00696B35">
      <w:pPr>
        <w:pStyle w:val="Heading2"/>
      </w:pPr>
      <w:bookmarkStart w:id="74" w:name="_Toc192678182"/>
      <w:r w:rsidRPr="00AA4677">
        <w:lastRenderedPageBreak/>
        <w:t>3.14 Closure of Protocols</w:t>
      </w:r>
      <w:bookmarkEnd w:id="74"/>
    </w:p>
    <w:p w14:paraId="5374C34E" w14:textId="17DE3FDC"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completion or termination of the study, whether premature or not, is a change in activity and </w:t>
      </w:r>
      <w:r w:rsidR="00216CC9" w:rsidRPr="00AA4677">
        <w:rPr>
          <w:rFonts w:eastAsia="Times New Roman" w:cs="Times New Roman"/>
          <w:szCs w:val="24"/>
        </w:rPr>
        <w:t>should</w:t>
      </w:r>
      <w:r w:rsidRPr="00AA4677">
        <w:rPr>
          <w:rFonts w:eastAsia="Times New Roman" w:cs="Times New Roman"/>
          <w:szCs w:val="24"/>
        </w:rPr>
        <w:t xml:space="preserve"> be reported to </w:t>
      </w:r>
      <w:r w:rsidR="00D26F6B" w:rsidRPr="00AA4677">
        <w:rPr>
          <w:rFonts w:eastAsia="Times New Roman" w:cs="Times New Roman"/>
          <w:szCs w:val="24"/>
        </w:rPr>
        <w:t xml:space="preserve">the </w:t>
      </w:r>
      <w:r w:rsidR="00EE7207" w:rsidRPr="00AA4677">
        <w:rPr>
          <w:rFonts w:eastAsia="Times New Roman" w:cs="Times New Roman"/>
          <w:szCs w:val="24"/>
        </w:rPr>
        <w:t>IRB</w:t>
      </w:r>
      <w:r w:rsidR="00216CC9" w:rsidRPr="00AA4677">
        <w:rPr>
          <w:rFonts w:eastAsia="Times New Roman" w:cs="Times New Roman"/>
          <w:szCs w:val="24"/>
        </w:rPr>
        <w:t xml:space="preserve"> </w:t>
      </w:r>
      <w:r w:rsidR="00DC5138" w:rsidRPr="00AA4677">
        <w:rPr>
          <w:rFonts w:eastAsia="Times New Roman" w:cs="Times New Roman"/>
          <w:szCs w:val="24"/>
        </w:rPr>
        <w:t xml:space="preserve">via the electronic management system. </w:t>
      </w:r>
      <w:r w:rsidRPr="00AA4677">
        <w:rPr>
          <w:rFonts w:eastAsia="Times New Roman" w:cs="Times New Roman"/>
          <w:szCs w:val="24"/>
        </w:rPr>
        <w:t>Although subjects will no longer be "at risk" under the</w:t>
      </w:r>
      <w:r w:rsidR="00D26F6B" w:rsidRPr="00AA4677">
        <w:rPr>
          <w:rFonts w:eastAsia="Times New Roman" w:cs="Times New Roman"/>
          <w:szCs w:val="24"/>
        </w:rPr>
        <w:t xml:space="preserve"> study, a final report to the </w:t>
      </w:r>
      <w:r w:rsidR="00EE7207" w:rsidRPr="00AA4677">
        <w:rPr>
          <w:rFonts w:eastAsia="Times New Roman" w:cs="Times New Roman"/>
          <w:szCs w:val="24"/>
        </w:rPr>
        <w:t>IRB</w:t>
      </w:r>
      <w:r w:rsidRPr="00AA4677">
        <w:rPr>
          <w:rFonts w:eastAsia="Times New Roman" w:cs="Times New Roman"/>
          <w:szCs w:val="24"/>
        </w:rPr>
        <w:t xml:space="preserve"> allows it to close its files as well as provides informa</w:t>
      </w:r>
      <w:r w:rsidR="00D26F6B" w:rsidRPr="00AA4677">
        <w:rPr>
          <w:rFonts w:eastAsia="Times New Roman" w:cs="Times New Roman"/>
          <w:szCs w:val="24"/>
        </w:rPr>
        <w:t xml:space="preserve">tion that may be used by the </w:t>
      </w:r>
      <w:r w:rsidR="00EE7207" w:rsidRPr="00AA4677">
        <w:rPr>
          <w:rFonts w:eastAsia="Times New Roman" w:cs="Times New Roman"/>
          <w:szCs w:val="24"/>
        </w:rPr>
        <w:t>IRB</w:t>
      </w:r>
      <w:r w:rsidR="00D26F6B" w:rsidRPr="00AA4677">
        <w:rPr>
          <w:rFonts w:eastAsia="Times New Roman" w:cs="Times New Roman"/>
          <w:szCs w:val="24"/>
        </w:rPr>
        <w:t xml:space="preserve"> </w:t>
      </w:r>
      <w:r w:rsidRPr="00AA4677">
        <w:rPr>
          <w:rFonts w:eastAsia="Times New Roman" w:cs="Times New Roman"/>
          <w:szCs w:val="24"/>
        </w:rPr>
        <w:t>in the evaluation and approval of related studies.</w:t>
      </w:r>
    </w:p>
    <w:p w14:paraId="50BBBA65" w14:textId="3D9F86CE" w:rsidR="003E7C9E" w:rsidRPr="00AA4677" w:rsidRDefault="003E7C9E" w:rsidP="00696B35">
      <w:pPr>
        <w:pStyle w:val="Heading2"/>
      </w:pPr>
      <w:bookmarkStart w:id="75" w:name="_Toc192678183"/>
      <w:r w:rsidRPr="00AA4677">
        <w:t xml:space="preserve">3.15 Reporting </w:t>
      </w:r>
      <w:r w:rsidR="00EE7207" w:rsidRPr="00AA4677">
        <w:t>IRB</w:t>
      </w:r>
      <w:r w:rsidRPr="00AA4677">
        <w:t xml:space="preserve"> Actions</w:t>
      </w:r>
      <w:bookmarkEnd w:id="75"/>
    </w:p>
    <w:p w14:paraId="606766AD" w14:textId="3D456EC0"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Barring ex</w:t>
      </w:r>
      <w:r w:rsidR="00D26F6B" w:rsidRPr="00AA4677">
        <w:rPr>
          <w:rFonts w:eastAsia="Times New Roman" w:cs="Times New Roman"/>
          <w:szCs w:val="24"/>
        </w:rPr>
        <w:t xml:space="preserve">traordinary circumstances, all the </w:t>
      </w:r>
      <w:r w:rsidR="00EE7207" w:rsidRPr="00AA4677">
        <w:rPr>
          <w:rFonts w:eastAsia="Times New Roman" w:cs="Times New Roman"/>
          <w:szCs w:val="24"/>
        </w:rPr>
        <w:t>IRB</w:t>
      </w:r>
      <w:r w:rsidRPr="00AA4677">
        <w:rPr>
          <w:rFonts w:eastAsia="Times New Roman" w:cs="Times New Roman"/>
          <w:szCs w:val="24"/>
        </w:rPr>
        <w:t xml:space="preserve"> action let</w:t>
      </w:r>
      <w:r w:rsidR="00D26F6B" w:rsidRPr="00AA4677">
        <w:rPr>
          <w:rFonts w:eastAsia="Times New Roman" w:cs="Times New Roman"/>
          <w:szCs w:val="24"/>
        </w:rPr>
        <w:t>ters are prepared by IRB</w:t>
      </w:r>
      <w:r w:rsidRPr="00AA4677">
        <w:rPr>
          <w:rFonts w:eastAsia="Times New Roman" w:cs="Times New Roman"/>
          <w:szCs w:val="24"/>
        </w:rPr>
        <w:t xml:space="preserve"> staff </w:t>
      </w:r>
      <w:r w:rsidR="00216CC9" w:rsidRPr="00AA4677">
        <w:rPr>
          <w:rFonts w:eastAsia="Times New Roman" w:cs="Times New Roman"/>
          <w:szCs w:val="24"/>
        </w:rPr>
        <w:t xml:space="preserve">in the </w:t>
      </w:r>
      <w:r w:rsidR="00825922" w:rsidRPr="00AA4677">
        <w:rPr>
          <w:rFonts w:eastAsia="Times New Roman" w:cs="Times New Roman"/>
          <w:szCs w:val="24"/>
        </w:rPr>
        <w:t xml:space="preserve"> </w:t>
      </w:r>
      <w:r w:rsidR="00DC5138" w:rsidRPr="00AA4677">
        <w:rPr>
          <w:rFonts w:eastAsia="Times New Roman" w:cs="Times New Roman"/>
          <w:szCs w:val="24"/>
        </w:rPr>
        <w:t>electronic management system</w:t>
      </w:r>
      <w:r w:rsidR="00D26F6B" w:rsidRPr="00AA4677">
        <w:rPr>
          <w:rFonts w:eastAsia="Times New Roman" w:cs="Times New Roman"/>
          <w:szCs w:val="24"/>
        </w:rPr>
        <w:t xml:space="preserve"> </w:t>
      </w:r>
      <w:r w:rsidR="00216CC9" w:rsidRPr="00AA4677">
        <w:rPr>
          <w:rFonts w:eastAsia="Times New Roman" w:cs="Times New Roman"/>
          <w:szCs w:val="24"/>
        </w:rPr>
        <w:t>and accessed</w:t>
      </w:r>
      <w:r w:rsidR="00D26F6B" w:rsidRPr="00AA4677">
        <w:rPr>
          <w:rFonts w:eastAsia="Times New Roman" w:cs="Times New Roman"/>
          <w:szCs w:val="24"/>
        </w:rPr>
        <w:t xml:space="preserve"> by the </w:t>
      </w:r>
      <w:r w:rsidRPr="00AA4677">
        <w:rPr>
          <w:rFonts w:eastAsia="Times New Roman" w:cs="Times New Roman"/>
          <w:szCs w:val="24"/>
        </w:rPr>
        <w:t>P</w:t>
      </w:r>
      <w:r w:rsidR="00D26F6B" w:rsidRPr="00AA4677">
        <w:rPr>
          <w:rFonts w:eastAsia="Times New Roman" w:cs="Times New Roman"/>
          <w:szCs w:val="24"/>
        </w:rPr>
        <w:t>I</w:t>
      </w:r>
      <w:r w:rsidRPr="00AA4677">
        <w:rPr>
          <w:rFonts w:eastAsia="Times New Roman" w:cs="Times New Roman"/>
          <w:szCs w:val="24"/>
        </w:rPr>
        <w:t xml:space="preserve"> and research team within ten (10) working days of receipt of member review (for expedited studies) or </w:t>
      </w:r>
      <w:r w:rsidR="000042C4" w:rsidRPr="00AA4677">
        <w:rPr>
          <w:rFonts w:eastAsia="Times New Roman" w:cs="Times New Roman"/>
          <w:szCs w:val="24"/>
        </w:rPr>
        <w:t xml:space="preserve">IRB </w:t>
      </w:r>
      <w:r w:rsidRPr="00AA4677">
        <w:rPr>
          <w:rFonts w:eastAsia="Times New Roman" w:cs="Times New Roman"/>
          <w:szCs w:val="24"/>
        </w:rPr>
        <w:t>meeting in which the study was reviewed (for full review studies). For an approval, along with written notification of approval, a copy of the approved consent/permission/assent document(s) containing the stamped approval with the dates of the approval and expiration on each sheet will be uploaded</w:t>
      </w:r>
      <w:r w:rsidR="006F1E22" w:rsidRPr="00AA4677">
        <w:rPr>
          <w:rFonts w:eastAsia="Times New Roman" w:cs="Times New Roman"/>
          <w:szCs w:val="24"/>
        </w:rPr>
        <w:t>.</w:t>
      </w:r>
      <w:r w:rsidR="000042C4" w:rsidRPr="00AA4677">
        <w:rPr>
          <w:rFonts w:eastAsia="Times New Roman" w:cs="Times New Roman"/>
          <w:szCs w:val="24"/>
        </w:rPr>
        <w:t xml:space="preserve"> Stamping of expiration dates</w:t>
      </w:r>
      <w:r w:rsidR="006F1E22" w:rsidRPr="00AA4677">
        <w:rPr>
          <w:rFonts w:eastAsia="Times New Roman" w:cs="Times New Roman"/>
          <w:szCs w:val="24"/>
        </w:rPr>
        <w:t xml:space="preserve"> on the consent form</w:t>
      </w:r>
      <w:r w:rsidR="000042C4" w:rsidRPr="00AA4677">
        <w:rPr>
          <w:rFonts w:eastAsia="Times New Roman" w:cs="Times New Roman"/>
          <w:szCs w:val="24"/>
        </w:rPr>
        <w:t xml:space="preserve"> will </w:t>
      </w:r>
      <w:r w:rsidR="006F1E22" w:rsidRPr="00AA4677">
        <w:rPr>
          <w:rFonts w:eastAsia="Times New Roman" w:cs="Times New Roman"/>
          <w:szCs w:val="24"/>
        </w:rPr>
        <w:t xml:space="preserve">not </w:t>
      </w:r>
      <w:r w:rsidR="000042C4" w:rsidRPr="00AA4677">
        <w:rPr>
          <w:rFonts w:eastAsia="Times New Roman" w:cs="Times New Roman"/>
          <w:szCs w:val="24"/>
        </w:rPr>
        <w:t>be required for studies approved under the new Common Rule</w:t>
      </w:r>
      <w:r w:rsidR="006F1E22" w:rsidRPr="00AA4677">
        <w:rPr>
          <w:rFonts w:eastAsia="Times New Roman" w:cs="Times New Roman"/>
          <w:szCs w:val="24"/>
        </w:rPr>
        <w:t>, however, the study application will require</w:t>
      </w:r>
      <w:r w:rsidRPr="00AA4677">
        <w:rPr>
          <w:rFonts w:eastAsia="Times New Roman" w:cs="Times New Roman"/>
          <w:szCs w:val="24"/>
        </w:rPr>
        <w:t>. For required modifications or deferrals, the notification will include the information that is required and the basis for requiring those modifications. For a disapproval, termination or suspension, the notification will include the basis for making that decision.</w:t>
      </w:r>
    </w:p>
    <w:p w14:paraId="79DAE491" w14:textId="150391A2" w:rsidR="003E7C9E" w:rsidRPr="00AA4677" w:rsidRDefault="00FC5379"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All correspondence between the </w:t>
      </w:r>
      <w:r w:rsidR="00EE7207" w:rsidRPr="00AA4677">
        <w:rPr>
          <w:rFonts w:eastAsia="Times New Roman" w:cs="Times New Roman"/>
          <w:szCs w:val="24"/>
        </w:rPr>
        <w:t>IRB</w:t>
      </w:r>
      <w:r w:rsidRPr="00AA4677">
        <w:rPr>
          <w:rFonts w:eastAsia="Times New Roman" w:cs="Times New Roman"/>
          <w:szCs w:val="24"/>
        </w:rPr>
        <w:t xml:space="preserve"> </w:t>
      </w:r>
      <w:r w:rsidR="003E7C9E" w:rsidRPr="00AA4677">
        <w:rPr>
          <w:rFonts w:eastAsia="Times New Roman" w:cs="Times New Roman"/>
          <w:szCs w:val="24"/>
        </w:rPr>
        <w:t xml:space="preserve">and investigators </w:t>
      </w:r>
      <w:proofErr w:type="gramStart"/>
      <w:r w:rsidR="003E7C9E" w:rsidRPr="00AA4677">
        <w:rPr>
          <w:rFonts w:eastAsia="Times New Roman" w:cs="Times New Roman"/>
          <w:szCs w:val="24"/>
        </w:rPr>
        <w:t>are</w:t>
      </w:r>
      <w:proofErr w:type="gramEnd"/>
      <w:r w:rsidR="003E7C9E" w:rsidRPr="00AA4677">
        <w:rPr>
          <w:rFonts w:eastAsia="Times New Roman" w:cs="Times New Roman"/>
          <w:szCs w:val="24"/>
        </w:rPr>
        <w:t xml:space="preserve"> retained in </w:t>
      </w:r>
      <w:r w:rsidR="009E0DD0" w:rsidRPr="00AA4677">
        <w:rPr>
          <w:rFonts w:eastAsia="Times New Roman" w:cs="Times New Roman"/>
          <w:szCs w:val="24"/>
        </w:rPr>
        <w:t xml:space="preserve">the </w:t>
      </w:r>
      <w:r w:rsidR="00DC5138" w:rsidRPr="00AA4677">
        <w:rPr>
          <w:rFonts w:eastAsia="Times New Roman" w:cs="Times New Roman"/>
          <w:szCs w:val="24"/>
        </w:rPr>
        <w:t>electronic management system</w:t>
      </w:r>
      <w:r w:rsidR="003E7C9E" w:rsidRPr="00AA4677">
        <w:rPr>
          <w:rFonts w:eastAsia="Times New Roman" w:cs="Times New Roman"/>
          <w:szCs w:val="24"/>
        </w:rPr>
        <w:t>.</w:t>
      </w:r>
    </w:p>
    <w:p w14:paraId="5D7F9A31" w14:textId="179B476D" w:rsidR="003E7C9E" w:rsidRPr="00AA4677" w:rsidRDefault="00FC5379"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reports its findings and actions to the </w:t>
      </w:r>
      <w:r w:rsidRPr="00AA4677">
        <w:rPr>
          <w:rFonts w:eastAsia="Times New Roman" w:cs="Times New Roman"/>
          <w:szCs w:val="24"/>
        </w:rPr>
        <w:t>University</w:t>
      </w:r>
      <w:r w:rsidR="003E7C9E" w:rsidRPr="00AA4677">
        <w:rPr>
          <w:rFonts w:eastAsia="Times New Roman" w:cs="Times New Roman"/>
          <w:szCs w:val="24"/>
        </w:rPr>
        <w:t xml:space="preserve"> in the form of its minutes, which are stored permanently and securely in the </w:t>
      </w:r>
      <w:r w:rsidR="000042C4" w:rsidRPr="00AA4677">
        <w:rPr>
          <w:rFonts w:eastAsia="Times New Roman" w:cs="Times New Roman"/>
          <w:szCs w:val="24"/>
        </w:rPr>
        <w:t>ORC o</w:t>
      </w:r>
      <w:r w:rsidRPr="00AA4677">
        <w:rPr>
          <w:rFonts w:eastAsia="Times New Roman" w:cs="Times New Roman"/>
          <w:szCs w:val="24"/>
        </w:rPr>
        <w:t>ffice</w:t>
      </w:r>
      <w:r w:rsidR="000042C4" w:rsidRPr="00AA4677">
        <w:rPr>
          <w:rFonts w:eastAsia="Times New Roman" w:cs="Times New Roman"/>
          <w:szCs w:val="24"/>
        </w:rPr>
        <w:t>, and i</w:t>
      </w:r>
      <w:r w:rsidR="003E7C9E" w:rsidRPr="00AA4677">
        <w:rPr>
          <w:rFonts w:eastAsia="Times New Roman" w:cs="Times New Roman"/>
          <w:szCs w:val="24"/>
        </w:rPr>
        <w:t xml:space="preserve">n </w:t>
      </w:r>
      <w:r w:rsidR="009E0DD0" w:rsidRPr="00AA4677">
        <w:rPr>
          <w:rFonts w:eastAsia="Times New Roman" w:cs="Times New Roman"/>
          <w:szCs w:val="24"/>
        </w:rPr>
        <w:t xml:space="preserve">the </w:t>
      </w:r>
      <w:r w:rsidR="00DC5138" w:rsidRPr="00AA4677">
        <w:rPr>
          <w:rFonts w:eastAsia="Times New Roman" w:cs="Times New Roman"/>
          <w:szCs w:val="24"/>
        </w:rPr>
        <w:t>electronic management system</w:t>
      </w:r>
      <w:r w:rsidR="003E7C9E" w:rsidRPr="00AA4677">
        <w:rPr>
          <w:rFonts w:eastAsia="Times New Roman" w:cs="Times New Roman"/>
          <w:szCs w:val="24"/>
        </w:rPr>
        <w:t>.</w:t>
      </w:r>
    </w:p>
    <w:p w14:paraId="034B2C09" w14:textId="25B6900E" w:rsidR="003E7C9E" w:rsidRPr="00AA4677" w:rsidRDefault="003E7C9E" w:rsidP="00696B35">
      <w:pPr>
        <w:pStyle w:val="Heading2"/>
      </w:pPr>
      <w:bookmarkStart w:id="76" w:name="_Toc192678184"/>
      <w:r w:rsidRPr="00AA4677">
        <w:t xml:space="preserve">3.16 Appeal of </w:t>
      </w:r>
      <w:r w:rsidR="00FC5379" w:rsidRPr="00AA4677">
        <w:t xml:space="preserve">the </w:t>
      </w:r>
      <w:r w:rsidR="00EE7207" w:rsidRPr="00AA4677">
        <w:t>IRB</w:t>
      </w:r>
      <w:r w:rsidRPr="00AA4677">
        <w:t xml:space="preserve"> Decisions</w:t>
      </w:r>
      <w:bookmarkEnd w:id="76"/>
    </w:p>
    <w:p w14:paraId="6F4DF065" w14:textId="7A22EB46"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w:t>
      </w:r>
      <w:r w:rsidR="00FC5379" w:rsidRPr="00AA4677">
        <w:rPr>
          <w:rFonts w:eastAsia="Times New Roman" w:cs="Times New Roman"/>
          <w:szCs w:val="24"/>
        </w:rPr>
        <w:t>a</w:t>
      </w:r>
      <w:r w:rsidRPr="00AA4677">
        <w:rPr>
          <w:rFonts w:eastAsia="Times New Roman" w:cs="Times New Roman"/>
          <w:szCs w:val="24"/>
        </w:rPr>
        <w:t xml:space="preserve"> protocol presented at a convened </w:t>
      </w:r>
      <w:r w:rsidR="00EE7207" w:rsidRPr="00AA4677">
        <w:rPr>
          <w:rFonts w:eastAsia="Times New Roman" w:cs="Times New Roman"/>
          <w:szCs w:val="24"/>
        </w:rPr>
        <w:t>IRB</w:t>
      </w:r>
      <w:r w:rsidR="00FC5379" w:rsidRPr="00AA4677">
        <w:rPr>
          <w:rFonts w:eastAsia="Times New Roman" w:cs="Times New Roman"/>
          <w:szCs w:val="24"/>
        </w:rPr>
        <w:t xml:space="preserve"> </w:t>
      </w:r>
      <w:r w:rsidRPr="00AA4677">
        <w:rPr>
          <w:rFonts w:eastAsia="Times New Roman" w:cs="Times New Roman"/>
          <w:szCs w:val="24"/>
        </w:rPr>
        <w:t xml:space="preserve">meeting is disapproved, deferred or requires modifications, </w:t>
      </w:r>
      <w:r w:rsidR="00FC537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notify the PI in writing about the specific deficiencies and the modifications that are necessary for appropriate </w:t>
      </w:r>
      <w:r w:rsidR="00EE7207" w:rsidRPr="00AA4677">
        <w:rPr>
          <w:rFonts w:eastAsia="Times New Roman" w:cs="Times New Roman"/>
          <w:szCs w:val="24"/>
        </w:rPr>
        <w:t>IRB</w:t>
      </w:r>
      <w:r w:rsidRPr="00AA4677">
        <w:rPr>
          <w:rFonts w:eastAsia="Times New Roman" w:cs="Times New Roman"/>
          <w:szCs w:val="24"/>
        </w:rPr>
        <w:t xml:space="preserve"> approval.  </w:t>
      </w:r>
      <w:r w:rsidR="00FC537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shall include in its written notification a statement of the reasons for its decision and give the investigator an opportunity to respond in writing.</w:t>
      </w:r>
    </w:p>
    <w:p w14:paraId="65516636" w14:textId="0E1FF060" w:rsidR="00F463AC" w:rsidRPr="00AA4677" w:rsidRDefault="003E7C9E" w:rsidP="00FF1875">
      <w:pPr>
        <w:shd w:val="clear" w:color="auto" w:fill="FFFFFF"/>
        <w:spacing w:after="0" w:line="240" w:lineRule="auto"/>
        <w:rPr>
          <w:rFonts w:eastAsia="Times New Roman" w:cs="Times New Roman"/>
          <w:szCs w:val="24"/>
        </w:rPr>
      </w:pPr>
      <w:r w:rsidRPr="00AA4677">
        <w:rPr>
          <w:rFonts w:eastAsia="Times New Roman" w:cs="Times New Roman"/>
          <w:szCs w:val="24"/>
        </w:rPr>
        <w:t xml:space="preserve">In cases where there is disagreement between </w:t>
      </w:r>
      <w:r w:rsidR="00FC537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the PI regarding the nature and extent of the requested changes and these disagreements cannot be resolved amicably in an infor</w:t>
      </w:r>
      <w:r w:rsidR="00FC5379" w:rsidRPr="00AA4677">
        <w:rPr>
          <w:rFonts w:eastAsia="Times New Roman" w:cs="Times New Roman"/>
          <w:szCs w:val="24"/>
        </w:rPr>
        <w:t xml:space="preserve">mal manner, the PI and/or the </w:t>
      </w:r>
      <w:r w:rsidR="00EE7207" w:rsidRPr="00AA4677">
        <w:rPr>
          <w:rFonts w:eastAsia="Times New Roman" w:cs="Times New Roman"/>
          <w:szCs w:val="24"/>
        </w:rPr>
        <w:t>IRB</w:t>
      </w:r>
      <w:r w:rsidRPr="00AA4677">
        <w:rPr>
          <w:rFonts w:eastAsia="Times New Roman" w:cs="Times New Roman"/>
          <w:szCs w:val="24"/>
        </w:rPr>
        <w:t xml:space="preserve"> may make an appeal to the IO for a resolution of the matter.  The IO may organize a meeting to help faci</w:t>
      </w:r>
      <w:r w:rsidR="00FC5379" w:rsidRPr="00AA4677">
        <w:rPr>
          <w:rFonts w:eastAsia="Times New Roman" w:cs="Times New Roman"/>
          <w:szCs w:val="24"/>
        </w:rPr>
        <w:t xml:space="preserve">litate discussion between the </w:t>
      </w:r>
      <w:r w:rsidR="00EE7207" w:rsidRPr="00AA4677">
        <w:rPr>
          <w:rFonts w:eastAsia="Times New Roman" w:cs="Times New Roman"/>
          <w:szCs w:val="24"/>
        </w:rPr>
        <w:t>IRB</w:t>
      </w:r>
      <w:r w:rsidRPr="00AA4677">
        <w:rPr>
          <w:rFonts w:eastAsia="Times New Roman" w:cs="Times New Roman"/>
          <w:szCs w:val="24"/>
        </w:rPr>
        <w:t xml:space="preserve"> and the PI.  While the IO may </w:t>
      </w:r>
      <w:r w:rsidRPr="00AA4677">
        <w:rPr>
          <w:rFonts w:eastAsia="Times New Roman" w:cs="Times New Roman"/>
          <w:szCs w:val="24"/>
        </w:rPr>
        <w:lastRenderedPageBreak/>
        <w:t xml:space="preserve">provide input and make recommendations to </w:t>
      </w:r>
      <w:r w:rsidR="00FC537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for </w:t>
      </w:r>
      <w:r w:rsidR="00FC7AFD" w:rsidRPr="00AA4677">
        <w:rPr>
          <w:rFonts w:eastAsia="Times New Roman" w:cs="Times New Roman"/>
          <w:szCs w:val="24"/>
        </w:rPr>
        <w:t xml:space="preserve">an </w:t>
      </w:r>
      <w:r w:rsidRPr="00AA4677">
        <w:rPr>
          <w:rFonts w:eastAsia="Times New Roman" w:cs="Times New Roman"/>
          <w:szCs w:val="24"/>
        </w:rPr>
        <w:t>expeditious resolution of the matter, final recommendations for approv</w:t>
      </w:r>
      <w:r w:rsidR="00FC5379" w:rsidRPr="00AA4677">
        <w:rPr>
          <w:rFonts w:eastAsia="Times New Roman" w:cs="Times New Roman"/>
          <w:szCs w:val="24"/>
        </w:rPr>
        <w:t xml:space="preserve">al remain under the purview of the </w:t>
      </w:r>
      <w:r w:rsidR="00EE7207" w:rsidRPr="00AA4677">
        <w:rPr>
          <w:rFonts w:eastAsia="Times New Roman" w:cs="Times New Roman"/>
          <w:szCs w:val="24"/>
        </w:rPr>
        <w:t>IRB</w:t>
      </w:r>
      <w:r w:rsidRPr="00AA4677">
        <w:rPr>
          <w:rFonts w:eastAsia="Times New Roman" w:cs="Times New Roman"/>
          <w:szCs w:val="24"/>
        </w:rPr>
        <w:t>.</w:t>
      </w:r>
    </w:p>
    <w:p w14:paraId="6B3C0CDC" w14:textId="77777777" w:rsidR="00F32ADD" w:rsidRPr="00AA4677" w:rsidRDefault="00F32ADD" w:rsidP="005920B2">
      <w:pPr>
        <w:pStyle w:val="Heading1"/>
      </w:pPr>
    </w:p>
    <w:p w14:paraId="7676D635" w14:textId="384C894C" w:rsidR="00F463AC" w:rsidRPr="00AA4677" w:rsidRDefault="003E7C9E" w:rsidP="005920B2">
      <w:pPr>
        <w:pStyle w:val="Heading1"/>
      </w:pPr>
      <w:bookmarkStart w:id="77" w:name="_Toc192678185"/>
      <w:r w:rsidRPr="00AA4677">
        <w:t xml:space="preserve">4 </w:t>
      </w:r>
      <w:r w:rsidR="00F262B9" w:rsidRPr="00AA4677">
        <w:t xml:space="preserve">IRB </w:t>
      </w:r>
      <w:r w:rsidRPr="00AA4677">
        <w:t>Documentation and Records</w:t>
      </w:r>
      <w:bookmarkEnd w:id="77"/>
    </w:p>
    <w:p w14:paraId="382B13FF" w14:textId="17E0396C" w:rsidR="003E7C9E" w:rsidRPr="00AA4677" w:rsidRDefault="003E7C9E" w:rsidP="00696B35">
      <w:pPr>
        <w:pStyle w:val="Heading2"/>
      </w:pPr>
      <w:bookmarkStart w:id="78" w:name="_Toc192678186"/>
      <w:r w:rsidRPr="00AA4677">
        <w:t>4.1 Policy</w:t>
      </w:r>
      <w:bookmarkEnd w:id="78"/>
    </w:p>
    <w:p w14:paraId="2599ECD9" w14:textId="078CE66D" w:rsidR="003E7C9E" w:rsidRPr="00AA4677" w:rsidRDefault="00FB644E" w:rsidP="00F463AC">
      <w:pPr>
        <w:shd w:val="clear" w:color="auto" w:fill="FFFFFF"/>
        <w:spacing w:after="0" w:line="240" w:lineRule="auto"/>
        <w:rPr>
          <w:rFonts w:eastAsia="Times New Roman" w:cs="Times New Roman"/>
          <w:szCs w:val="24"/>
        </w:rPr>
      </w:pPr>
      <w:r w:rsidRPr="00AA4677">
        <w:rPr>
          <w:rFonts w:eastAsia="Times New Roman" w:cs="Times New Roman"/>
          <w:szCs w:val="24"/>
        </w:rPr>
        <w:t>The University</w:t>
      </w:r>
      <w:r w:rsidR="003E7C9E" w:rsidRPr="00AA4677">
        <w:rPr>
          <w:rFonts w:eastAsia="Times New Roman" w:cs="Times New Roman"/>
          <w:szCs w:val="24"/>
        </w:rPr>
        <w:t xml:space="preserve"> shall prepare and maintain adequate documentation of the IRB’s activities. All records must be accessible for inspection and copying by authorized representatives of the FDA, OHRP, sponsors, and other authorized entities at reasonable times and in a reasonable manner.</w:t>
      </w:r>
    </w:p>
    <w:p w14:paraId="650E4AF8" w14:textId="77777777" w:rsidR="00B823DB" w:rsidRPr="00AA4677" w:rsidRDefault="00B823DB" w:rsidP="00696B35">
      <w:pPr>
        <w:pStyle w:val="Heading2"/>
      </w:pPr>
    </w:p>
    <w:p w14:paraId="1D1FFCC7" w14:textId="3420B00A" w:rsidR="003E7C9E" w:rsidRPr="00AA4677" w:rsidRDefault="003E7C9E" w:rsidP="00696B35">
      <w:pPr>
        <w:pStyle w:val="Heading2"/>
      </w:pPr>
      <w:bookmarkStart w:id="79" w:name="_Toc192678187"/>
      <w:r w:rsidRPr="00AA4677">
        <w:t xml:space="preserve">4.2 </w:t>
      </w:r>
      <w:r w:rsidR="00EE7207" w:rsidRPr="00AA4677">
        <w:t>IRB</w:t>
      </w:r>
      <w:r w:rsidRPr="00AA4677">
        <w:t xml:space="preserve"> Records</w:t>
      </w:r>
      <w:bookmarkEnd w:id="79"/>
    </w:p>
    <w:p w14:paraId="4A4F6F8C" w14:textId="447F1F62" w:rsidR="003E7C9E" w:rsidRPr="00AA4677" w:rsidRDefault="00FB644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3E7C9E" w:rsidRPr="00AA4677">
        <w:rPr>
          <w:rFonts w:eastAsia="Times New Roman" w:cs="Times New Roman"/>
          <w:szCs w:val="24"/>
        </w:rPr>
        <w:t xml:space="preserve"> records include, but are not limited to:</w:t>
      </w:r>
    </w:p>
    <w:p w14:paraId="64772034" w14:textId="49BF822C"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Written operating procedures. </w:t>
      </w:r>
    </w:p>
    <w:p w14:paraId="491B5CA2" w14:textId="52F1B663"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IRB membership rosters. </w:t>
      </w:r>
    </w:p>
    <w:p w14:paraId="39BD825A" w14:textId="44093D14"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Training records. The </w:t>
      </w:r>
      <w:r w:rsidR="00C96DE0" w:rsidRPr="00AA4677">
        <w:rPr>
          <w:rFonts w:eastAsia="Times New Roman" w:cs="Times New Roman"/>
          <w:szCs w:val="24"/>
        </w:rPr>
        <w:t xml:space="preserve">ORC </w:t>
      </w:r>
      <w:r w:rsidRPr="00AA4677">
        <w:rPr>
          <w:rFonts w:eastAsia="Times New Roman" w:cs="Times New Roman"/>
          <w:szCs w:val="24"/>
        </w:rPr>
        <w:t>maintains accurate records listing research investigators, </w:t>
      </w:r>
      <w:r w:rsidR="00EE7207" w:rsidRPr="00AA4677">
        <w:rPr>
          <w:rFonts w:eastAsia="Times New Roman" w:cs="Times New Roman"/>
          <w:szCs w:val="24"/>
        </w:rPr>
        <w:t>IRB</w:t>
      </w:r>
      <w:r w:rsidRPr="00AA4677">
        <w:rPr>
          <w:rFonts w:eastAsia="Times New Roman" w:cs="Times New Roman"/>
          <w:szCs w:val="24"/>
        </w:rPr>
        <w:t xml:space="preserve"> members, and IRB staff that have fulfilled the facility’s human subject training requirements. </w:t>
      </w:r>
    </w:p>
    <w:p w14:paraId="363E85D2" w14:textId="0A55775B" w:rsidR="003E7C9E" w:rsidRPr="00AA4677" w:rsidRDefault="00EE7207"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w:t>
      </w:r>
      <w:r w:rsidR="003E7C9E" w:rsidRPr="00AA4677">
        <w:rPr>
          <w:rFonts w:eastAsia="Times New Roman" w:cs="Times New Roman"/>
          <w:szCs w:val="24"/>
        </w:rPr>
        <w:t xml:space="preserve"> correspondence (other than protocol related).</w:t>
      </w:r>
    </w:p>
    <w:p w14:paraId="17A09BF0" w14:textId="5ABCAE54" w:rsidR="003E7C9E" w:rsidRPr="00AA4677" w:rsidRDefault="00EE7207"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w:t>
      </w:r>
      <w:r w:rsidR="003E7C9E" w:rsidRPr="00AA4677">
        <w:rPr>
          <w:rFonts w:eastAsia="Times New Roman" w:cs="Times New Roman"/>
          <w:szCs w:val="24"/>
        </w:rPr>
        <w:t xml:space="preserve"> Study Files (See Section 4.3 for information included in study files)</w:t>
      </w:r>
    </w:p>
    <w:p w14:paraId="078B0714" w14:textId="6FA48F1F"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Documentation of Emergency Exemption from Prospective IRB Approval. (21 CFR 56.104(c)). </w:t>
      </w:r>
    </w:p>
    <w:p w14:paraId="7B9B4947" w14:textId="17139B50"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Documentation of Exceptions from Informed Consent Requirements for Emergency Use of a Test </w:t>
      </w:r>
      <w:proofErr w:type="gramStart"/>
      <w:r w:rsidRPr="00AA4677">
        <w:rPr>
          <w:rFonts w:eastAsia="Times New Roman" w:cs="Times New Roman"/>
          <w:szCs w:val="24"/>
        </w:rPr>
        <w:t>Article ((</w:t>
      </w:r>
      <w:proofErr w:type="gramEnd"/>
      <w:r w:rsidRPr="00AA4677">
        <w:rPr>
          <w:rFonts w:eastAsia="Times New Roman" w:cs="Times New Roman"/>
          <w:szCs w:val="24"/>
        </w:rPr>
        <w:t xml:space="preserve">21 CFR 50.23).  </w:t>
      </w:r>
    </w:p>
    <w:p w14:paraId="0F571FC8" w14:textId="065056CE"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Documentation of exemptions</w:t>
      </w:r>
      <w:r w:rsidR="00A11007" w:rsidRPr="00AA4677">
        <w:rPr>
          <w:rFonts w:eastAsia="Times New Roman" w:cs="Times New Roman"/>
          <w:szCs w:val="24"/>
        </w:rPr>
        <w:t>, including when limited IRB review is a condition of exemption</w:t>
      </w:r>
      <w:r w:rsidR="00FB644E" w:rsidRPr="00AA4677">
        <w:rPr>
          <w:rFonts w:eastAsia="Times New Roman" w:cs="Times New Roman"/>
          <w:szCs w:val="24"/>
        </w:rPr>
        <w:t>.</w:t>
      </w:r>
    </w:p>
    <w:p w14:paraId="1C6B0038" w14:textId="425B7F85"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Documentation of </w:t>
      </w:r>
      <w:proofErr w:type="gramStart"/>
      <w:r w:rsidRPr="00AA4677">
        <w:rPr>
          <w:rFonts w:eastAsia="Times New Roman" w:cs="Times New Roman"/>
          <w:szCs w:val="24"/>
        </w:rPr>
        <w:t>convened</w:t>
      </w:r>
      <w:r w:rsidR="00FB644E"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meetings minutes</w:t>
      </w:r>
      <w:proofErr w:type="gramEnd"/>
      <w:r w:rsidRPr="00AA4677">
        <w:rPr>
          <w:rFonts w:eastAsia="Times New Roman" w:cs="Times New Roman"/>
          <w:szCs w:val="24"/>
        </w:rPr>
        <w:t xml:space="preserve"> </w:t>
      </w:r>
    </w:p>
    <w:p w14:paraId="4FF41F89" w14:textId="5E65A9C9"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Documentation of review by an</w:t>
      </w:r>
      <w:r w:rsidR="00A11007" w:rsidRPr="00AA4677">
        <w:rPr>
          <w:rFonts w:eastAsia="Times New Roman" w:cs="Times New Roman"/>
          <w:szCs w:val="24"/>
        </w:rPr>
        <w:t xml:space="preserve"> external </w:t>
      </w:r>
      <w:r w:rsidRPr="00AA4677">
        <w:rPr>
          <w:rFonts w:eastAsia="Times New Roman" w:cs="Times New Roman"/>
          <w:szCs w:val="24"/>
        </w:rPr>
        <w:t xml:space="preserve"> IRB when appropriate.</w:t>
      </w:r>
    </w:p>
    <w:p w14:paraId="636AB7A3" w14:textId="7D2F7AA1"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Documentation of </w:t>
      </w:r>
      <w:r w:rsidR="00A11007" w:rsidRPr="00AA4677">
        <w:rPr>
          <w:rFonts w:eastAsia="Times New Roman" w:cs="Times New Roman"/>
          <w:szCs w:val="24"/>
        </w:rPr>
        <w:t xml:space="preserve">IRB reliance and </w:t>
      </w:r>
      <w:r w:rsidRPr="00AA4677">
        <w:rPr>
          <w:rFonts w:eastAsia="Times New Roman" w:cs="Times New Roman"/>
          <w:szCs w:val="24"/>
        </w:rPr>
        <w:t>cooperative review agreements.</w:t>
      </w:r>
    </w:p>
    <w:p w14:paraId="7CDC8324" w14:textId="4D95ACAD" w:rsidR="00C53B6B" w:rsidRPr="00AA4677" w:rsidRDefault="00A11007" w:rsidP="00317664">
      <w:pPr>
        <w:shd w:val="clear" w:color="auto" w:fill="FFFFFF"/>
        <w:spacing w:before="100" w:beforeAutospacing="1" w:after="100" w:afterAutospacing="1" w:line="240" w:lineRule="auto"/>
        <w:rPr>
          <w:rFonts w:eastAsia="Times New Roman" w:cs="Times New Roman"/>
          <w:szCs w:val="24"/>
        </w:rPr>
      </w:pPr>
      <w:bookmarkStart w:id="80" w:name="_Hlk500947277"/>
      <w:r w:rsidRPr="00AA4677">
        <w:t>For nonexempt research involving human subjects covered by the Common Rule (or exempt research for which limited IRB</w:t>
      </w:r>
      <w:r w:rsidR="00FB6E52" w:rsidRPr="00AA4677">
        <w:t xml:space="preserve"> review</w:t>
      </w:r>
      <w:r w:rsidRPr="00AA4677">
        <w:t xml:space="preserve"> </w:t>
      </w:r>
      <w:r w:rsidR="00B72AC3" w:rsidRPr="00AA4677">
        <w:t>applies</w:t>
      </w:r>
      <w:r w:rsidRPr="00AA4677">
        <w:t>) that takes place at an institution in which IRB oversight is conducted by an IRB that is not operated by the institution, the institution and the organization operating the IRB shall document the institution’s reliance on the IRB for oversight of the research and the responsibilities that each entity will undertake to ensure compliance with the requirements of this policy (e.g., in a written agreement between the institution and the IRB, by implementation of an institution-wide policy directive providing the allocation of responsibilities between the institution and an IRB that is not affiliated with the institution, or as set forth in a research protocol)</w:t>
      </w:r>
      <w:bookmarkEnd w:id="80"/>
      <w:r w:rsidR="00FB6E52" w:rsidRPr="00AA4677">
        <w:t>.</w:t>
      </w:r>
    </w:p>
    <w:p w14:paraId="532FDE26" w14:textId="77777777" w:rsidR="00C53B6B"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Federal Wide </w:t>
      </w:r>
      <w:proofErr w:type="gramStart"/>
      <w:r w:rsidRPr="00AA4677">
        <w:rPr>
          <w:rFonts w:eastAsia="Times New Roman" w:cs="Times New Roman"/>
          <w:szCs w:val="24"/>
        </w:rPr>
        <w:t>Assurances</w:t>
      </w:r>
      <w:r w:rsidR="00C53B6B" w:rsidRPr="00AA4677">
        <w:rPr>
          <w:rFonts w:eastAsia="Times New Roman" w:cs="Times New Roman"/>
          <w:szCs w:val="24"/>
        </w:rPr>
        <w:t>;</w:t>
      </w:r>
      <w:proofErr w:type="gramEnd"/>
    </w:p>
    <w:p w14:paraId="1013E580" w14:textId="359BF88A" w:rsidR="003E7C9E" w:rsidRPr="00AA4677" w:rsidRDefault="000042C4"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Federal IRB </w:t>
      </w:r>
      <w:proofErr w:type="gramStart"/>
      <w:r w:rsidRPr="00AA4677">
        <w:rPr>
          <w:rFonts w:eastAsia="Times New Roman" w:cs="Times New Roman"/>
          <w:szCs w:val="24"/>
        </w:rPr>
        <w:t>registration</w:t>
      </w:r>
      <w:r w:rsidR="00C53B6B" w:rsidRPr="00AA4677">
        <w:rPr>
          <w:rFonts w:eastAsia="Times New Roman" w:cs="Times New Roman"/>
          <w:szCs w:val="24"/>
        </w:rPr>
        <w:t>;</w:t>
      </w:r>
      <w:proofErr w:type="gramEnd"/>
    </w:p>
    <w:p w14:paraId="5A27E626" w14:textId="01B93057"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Protocol violations submitted to the</w:t>
      </w:r>
      <w:r w:rsidR="00FB644E" w:rsidRPr="00AA4677">
        <w:rPr>
          <w:rFonts w:eastAsia="Times New Roman" w:cs="Times New Roman"/>
          <w:szCs w:val="24"/>
        </w:rPr>
        <w:t xml:space="preserve"> </w:t>
      </w:r>
      <w:r w:rsidR="00EE7207" w:rsidRPr="00AA4677">
        <w:rPr>
          <w:rFonts w:eastAsia="Times New Roman" w:cs="Times New Roman"/>
          <w:szCs w:val="24"/>
        </w:rPr>
        <w:t>IRB</w:t>
      </w:r>
    </w:p>
    <w:p w14:paraId="47B525C8" w14:textId="6F17BEA8" w:rsidR="003E7C9E" w:rsidRPr="00AA4677" w:rsidRDefault="003E7C9E"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Quality assurance reviews.</w:t>
      </w:r>
    </w:p>
    <w:p w14:paraId="7CFA358E" w14:textId="484B5617" w:rsidR="00C53B6B" w:rsidRPr="00AA4677" w:rsidRDefault="00C53B6B" w:rsidP="00C129F1">
      <w:pPr>
        <w:numPr>
          <w:ilvl w:val="0"/>
          <w:numId w:val="1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Documentation of complaints and any related findings and/or resolution.</w:t>
      </w:r>
    </w:p>
    <w:p w14:paraId="64B940E3" w14:textId="77777777" w:rsidR="003E7C9E" w:rsidRPr="00AA4677" w:rsidRDefault="003E7C9E" w:rsidP="00696B35">
      <w:pPr>
        <w:pStyle w:val="Heading2"/>
      </w:pPr>
      <w:bookmarkStart w:id="81" w:name="_Toc192678188"/>
      <w:r w:rsidRPr="00AA4677">
        <w:t>4.3 IRB Study Files</w:t>
      </w:r>
      <w:bookmarkEnd w:id="81"/>
    </w:p>
    <w:p w14:paraId="0D80BD13" w14:textId="4B37F113"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ORC will maintain an electronic study file for each IRB study submission that is submitted via </w:t>
      </w:r>
      <w:r w:rsidR="009E0DD0" w:rsidRPr="00AA4677">
        <w:rPr>
          <w:rFonts w:eastAsia="Times New Roman" w:cs="Times New Roman"/>
          <w:szCs w:val="24"/>
        </w:rPr>
        <w:t xml:space="preserve">the </w:t>
      </w:r>
      <w:r w:rsidR="00DC5138" w:rsidRPr="00AA4677">
        <w:rPr>
          <w:rFonts w:eastAsia="Times New Roman" w:cs="Times New Roman"/>
          <w:szCs w:val="24"/>
        </w:rPr>
        <w:t>electronic management system</w:t>
      </w:r>
      <w:r w:rsidR="009E0DD0" w:rsidRPr="00AA4677">
        <w:rPr>
          <w:rFonts w:eastAsia="Times New Roman" w:cs="Times New Roman"/>
          <w:szCs w:val="24"/>
        </w:rPr>
        <w:t xml:space="preserve"> </w:t>
      </w:r>
      <w:r w:rsidRPr="00AA4677">
        <w:rPr>
          <w:rFonts w:eastAsia="Times New Roman" w:cs="Times New Roman"/>
          <w:szCs w:val="24"/>
        </w:rPr>
        <w:t>for review</w:t>
      </w:r>
      <w:r w:rsidR="00DC5138" w:rsidRPr="00AA4677">
        <w:rPr>
          <w:rFonts w:eastAsia="Times New Roman" w:cs="Times New Roman"/>
          <w:szCs w:val="24"/>
        </w:rPr>
        <w:t>.</w:t>
      </w:r>
    </w:p>
    <w:p w14:paraId="1EE241D2" w14:textId="3C2844FD"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All communications to and from the</w:t>
      </w:r>
      <w:r w:rsidR="00967C5F"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are maintained. Depending on the type of communication, maintenance may be via </w:t>
      </w:r>
      <w:r w:rsidR="008C5421" w:rsidRPr="00AA4677">
        <w:rPr>
          <w:rFonts w:eastAsia="Times New Roman" w:cs="Times New Roman"/>
          <w:szCs w:val="24"/>
        </w:rPr>
        <w:t xml:space="preserve">the </w:t>
      </w:r>
      <w:r w:rsidR="00DC5138" w:rsidRPr="00AA4677">
        <w:rPr>
          <w:rFonts w:eastAsia="Times New Roman" w:cs="Times New Roman"/>
          <w:szCs w:val="24"/>
        </w:rPr>
        <w:t>electronic management system</w:t>
      </w:r>
      <w:r w:rsidRPr="00AA4677">
        <w:rPr>
          <w:rFonts w:eastAsia="Times New Roman" w:cs="Times New Roman"/>
          <w:szCs w:val="24"/>
        </w:rPr>
        <w:t xml:space="preserve">, </w:t>
      </w:r>
      <w:r w:rsidR="00C96DE0" w:rsidRPr="00AA4677">
        <w:rPr>
          <w:rFonts w:eastAsia="Times New Roman" w:cs="Times New Roman"/>
          <w:szCs w:val="24"/>
        </w:rPr>
        <w:t>IRB</w:t>
      </w:r>
      <w:r w:rsidRPr="00AA4677">
        <w:rPr>
          <w:rFonts w:eastAsia="Times New Roman" w:cs="Times New Roman"/>
          <w:szCs w:val="24"/>
        </w:rPr>
        <w:t xml:space="preserve"> staff e-mail, or paper.  IRB study files include, but are not limited to:</w:t>
      </w:r>
    </w:p>
    <w:p w14:paraId="6903C671" w14:textId="1DF50C2F"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Protocol and all other documents submitted as part of a new protocol application.</w:t>
      </w:r>
      <w:r w:rsidR="000C2DE9" w:rsidRPr="00AA4677">
        <w:rPr>
          <w:rFonts w:eastAsia="Times New Roman" w:cs="Times New Roman"/>
          <w:szCs w:val="24"/>
        </w:rPr>
        <w:t xml:space="preserve"> This includes recruitment materials</w:t>
      </w:r>
      <w:r w:rsidR="00154487" w:rsidRPr="00AA4677">
        <w:rPr>
          <w:rFonts w:eastAsia="Times New Roman" w:cs="Times New Roman"/>
          <w:szCs w:val="24"/>
        </w:rPr>
        <w:t xml:space="preserve"> and the investigator’s brochure </w:t>
      </w:r>
      <w:r w:rsidR="009047D8" w:rsidRPr="00AA4677">
        <w:rPr>
          <w:rFonts w:eastAsia="Times New Roman" w:cs="Times New Roman"/>
          <w:szCs w:val="24"/>
        </w:rPr>
        <w:t>(</w:t>
      </w:r>
      <w:r w:rsidR="00154487" w:rsidRPr="00AA4677">
        <w:rPr>
          <w:rFonts w:eastAsia="Times New Roman" w:cs="Times New Roman"/>
          <w:szCs w:val="24"/>
        </w:rPr>
        <w:t>if any</w:t>
      </w:r>
      <w:r w:rsidR="009047D8" w:rsidRPr="00AA4677">
        <w:rPr>
          <w:rFonts w:eastAsia="Times New Roman" w:cs="Times New Roman"/>
          <w:szCs w:val="24"/>
        </w:rPr>
        <w:t>).</w:t>
      </w:r>
    </w:p>
    <w:p w14:paraId="50E0BCE2" w14:textId="2410E093"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 xml:space="preserve">Protocol and all other documents submitted as part of a request for continuing review/termination of research application.  This also includes progress reports, statements of significant new findings provided to </w:t>
      </w:r>
      <w:r w:rsidR="00BF7470" w:rsidRPr="00AA4677">
        <w:rPr>
          <w:rFonts w:eastAsia="Times New Roman" w:cs="Times New Roman"/>
          <w:szCs w:val="24"/>
        </w:rPr>
        <w:t>subject</w:t>
      </w:r>
      <w:r w:rsidRPr="00AA4677">
        <w:rPr>
          <w:rFonts w:eastAsia="Times New Roman" w:cs="Times New Roman"/>
          <w:szCs w:val="24"/>
        </w:rPr>
        <w:t>s, reports of injuries to patients. </w:t>
      </w:r>
    </w:p>
    <w:p w14:paraId="58BB1027" w14:textId="0FC55344"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 xml:space="preserve">Documents submitted and reviewed after the study </w:t>
      </w:r>
      <w:proofErr w:type="gramStart"/>
      <w:r w:rsidRPr="00AA4677">
        <w:rPr>
          <w:rFonts w:eastAsia="Times New Roman" w:cs="Times New Roman"/>
          <w:szCs w:val="24"/>
        </w:rPr>
        <w:t>has</w:t>
      </w:r>
      <w:proofErr w:type="gramEnd"/>
      <w:r w:rsidRPr="00AA4677">
        <w:rPr>
          <w:rFonts w:eastAsia="Times New Roman" w:cs="Times New Roman"/>
          <w:szCs w:val="24"/>
        </w:rPr>
        <w:t xml:space="preserve"> been approved, including reports of modifications to research/amendments and adverse event reports.</w:t>
      </w:r>
    </w:p>
    <w:p w14:paraId="1B679125" w14:textId="26680B54"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 xml:space="preserve">Copy of the </w:t>
      </w:r>
      <w:r w:rsidR="00EE7207" w:rsidRPr="00AA4677">
        <w:rPr>
          <w:rFonts w:eastAsia="Times New Roman" w:cs="Times New Roman"/>
          <w:szCs w:val="24"/>
        </w:rPr>
        <w:t>IRB</w:t>
      </w:r>
      <w:r w:rsidR="005B2282" w:rsidRPr="00AA4677">
        <w:rPr>
          <w:rFonts w:eastAsia="Times New Roman" w:cs="Times New Roman"/>
          <w:szCs w:val="24"/>
        </w:rPr>
        <w:t>-approved c</w:t>
      </w:r>
      <w:r w:rsidRPr="00AA4677">
        <w:rPr>
          <w:rFonts w:eastAsia="Times New Roman" w:cs="Times New Roman"/>
          <w:szCs w:val="24"/>
        </w:rPr>
        <w:t>onsent/permission/assent forms</w:t>
      </w:r>
    </w:p>
    <w:p w14:paraId="6F37FE46" w14:textId="2F6F7FC3"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Sponsor-approved (including DHHS) sample consent form document and protocol, when they exist</w:t>
      </w:r>
      <w:r w:rsidR="001604CF" w:rsidRPr="00AA4677">
        <w:rPr>
          <w:rFonts w:eastAsia="Times New Roman" w:cs="Times New Roman"/>
          <w:szCs w:val="24"/>
        </w:rPr>
        <w:t>.</w:t>
      </w:r>
    </w:p>
    <w:p w14:paraId="5222A85B" w14:textId="0A5AD5C6" w:rsidR="003E7C9E" w:rsidRPr="00AA4677" w:rsidRDefault="00EE7207"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IRB</w:t>
      </w:r>
      <w:r w:rsidR="003E7C9E" w:rsidRPr="00AA4677">
        <w:rPr>
          <w:rFonts w:eastAsia="Times New Roman" w:cs="Times New Roman"/>
          <w:szCs w:val="24"/>
        </w:rPr>
        <w:t xml:space="preserve"> reviewer forms (when expedited review procedures are used)</w:t>
      </w:r>
    </w:p>
    <w:p w14:paraId="16A19EAD" w14:textId="5450BCD9"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 xml:space="preserve">Documentation of </w:t>
      </w:r>
      <w:proofErr w:type="gramStart"/>
      <w:r w:rsidRPr="00AA4677">
        <w:rPr>
          <w:rFonts w:eastAsia="Times New Roman" w:cs="Times New Roman"/>
          <w:szCs w:val="24"/>
        </w:rPr>
        <w:t>type</w:t>
      </w:r>
      <w:proofErr w:type="gramEnd"/>
      <w:r w:rsidRPr="00AA4677">
        <w:rPr>
          <w:rFonts w:eastAsia="Times New Roman" w:cs="Times New Roman"/>
          <w:szCs w:val="24"/>
        </w:rPr>
        <w:t xml:space="preserve"> of</w:t>
      </w:r>
      <w:r w:rsidR="001604CF"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review</w:t>
      </w:r>
      <w:r w:rsidR="005B2282" w:rsidRPr="00AA4677">
        <w:rPr>
          <w:rFonts w:eastAsia="Times New Roman" w:cs="Times New Roman"/>
          <w:szCs w:val="24"/>
        </w:rPr>
        <w:t xml:space="preserve"> including justification for using the expedite procedure</w:t>
      </w:r>
      <w:r w:rsidRPr="00AA4677">
        <w:rPr>
          <w:rFonts w:eastAsia="Times New Roman" w:cs="Times New Roman"/>
          <w:szCs w:val="24"/>
        </w:rPr>
        <w:t>.</w:t>
      </w:r>
    </w:p>
    <w:p w14:paraId="56AEDD4D" w14:textId="2EFD340D" w:rsidR="00C53B6B"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 xml:space="preserve">For expedited review, documentation of </w:t>
      </w:r>
      <w:r w:rsidR="00C53B6B" w:rsidRPr="00AA4677">
        <w:rPr>
          <w:rFonts w:eastAsia="Times New Roman" w:cs="Times New Roman"/>
          <w:szCs w:val="24"/>
        </w:rPr>
        <w:t xml:space="preserve">risk determination, </w:t>
      </w:r>
      <w:r w:rsidR="00154487" w:rsidRPr="00AA4677">
        <w:rPr>
          <w:rFonts w:eastAsia="Times New Roman" w:cs="Times New Roman"/>
          <w:szCs w:val="24"/>
        </w:rPr>
        <w:t xml:space="preserve">criteria for approval, </w:t>
      </w:r>
      <w:r w:rsidR="00C53B6B" w:rsidRPr="00AA4677">
        <w:rPr>
          <w:rFonts w:eastAsia="Times New Roman" w:cs="Times New Roman"/>
          <w:szCs w:val="24"/>
        </w:rPr>
        <w:t xml:space="preserve">period of approval (when continuing review is required), </w:t>
      </w:r>
      <w:r w:rsidRPr="00AA4677">
        <w:rPr>
          <w:rFonts w:eastAsia="Times New Roman" w:cs="Times New Roman"/>
          <w:szCs w:val="24"/>
        </w:rPr>
        <w:t>any determinations required by the regulations and protocol-specific findings supporting those determinations, including: waiver or alteration of the consent process, research involving pregnant women, fetuses, and neonates, research involving prisoners, and research involving children.</w:t>
      </w:r>
      <w:r w:rsidR="00522C5D" w:rsidRPr="00AA4677">
        <w:rPr>
          <w:rFonts w:eastAsia="Times New Roman" w:cs="Times New Roman"/>
          <w:szCs w:val="24"/>
        </w:rPr>
        <w:t xml:space="preserve"> Any actions taken by the reviewer.</w:t>
      </w:r>
    </w:p>
    <w:p w14:paraId="24AD7FBE" w14:textId="3EE83E82" w:rsidR="00C53B6B" w:rsidRPr="00AA4677" w:rsidRDefault="00C53B6B"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t>For expedited review, the rationale for an expedited reviewer’s determination under 45 CFR 46.110(b)(1)(</w:t>
      </w:r>
      <w:proofErr w:type="spellStart"/>
      <w:r w:rsidRPr="00AA4677">
        <w:t>i</w:t>
      </w:r>
      <w:proofErr w:type="spellEnd"/>
      <w:r w:rsidRPr="00AA4677">
        <w:t xml:space="preserve">) that research appearing on the expedited review list described in 45 CFR 46.110(a) is </w:t>
      </w:r>
      <w:r w:rsidR="00FB6E52" w:rsidRPr="00AA4677">
        <w:t xml:space="preserve">no </w:t>
      </w:r>
      <w:r w:rsidRPr="00AA4677">
        <w:t>more than minimal risk</w:t>
      </w:r>
      <w:r w:rsidR="005B2282" w:rsidRPr="00AA4677">
        <w:t xml:space="preserve"> or greater than minimal risk</w:t>
      </w:r>
      <w:r w:rsidRPr="00AA4677">
        <w:t>.</w:t>
      </w:r>
    </w:p>
    <w:p w14:paraId="2DFBFDD9" w14:textId="469FC226"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Documentation of all</w:t>
      </w:r>
      <w:r w:rsidR="001604CF"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review actions</w:t>
      </w:r>
      <w:r w:rsidR="00C53B6B" w:rsidRPr="00AA4677">
        <w:rPr>
          <w:rFonts w:eastAsia="Times New Roman" w:cs="Times New Roman"/>
          <w:szCs w:val="24"/>
        </w:rPr>
        <w:t>, including the rationale for conducting continuing review of research that otherwise would not require continuing review</w:t>
      </w:r>
      <w:r w:rsidR="009047D8" w:rsidRPr="00AA4677">
        <w:rPr>
          <w:rFonts w:eastAsia="Times New Roman" w:cs="Times New Roman"/>
          <w:szCs w:val="24"/>
        </w:rPr>
        <w:t xml:space="preserve"> and criteria for approval</w:t>
      </w:r>
      <w:r w:rsidRPr="00AA4677">
        <w:rPr>
          <w:rFonts w:eastAsia="Times New Roman" w:cs="Times New Roman"/>
          <w:szCs w:val="24"/>
        </w:rPr>
        <w:t>.</w:t>
      </w:r>
    </w:p>
    <w:p w14:paraId="79E80664" w14:textId="16B2B7D4" w:rsidR="00FE7570" w:rsidRPr="00AA4677" w:rsidRDefault="00FE7570"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Documentation of any findings required by laws, regulations, codes, and guidance pertaining to both full board and expedite research.</w:t>
      </w:r>
    </w:p>
    <w:p w14:paraId="374649D8" w14:textId="135352A5"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lastRenderedPageBreak/>
        <w:t xml:space="preserve">Notification of expiration of </w:t>
      </w:r>
      <w:r w:rsidR="00EE7207" w:rsidRPr="00AA4677">
        <w:rPr>
          <w:rFonts w:eastAsia="Times New Roman" w:cs="Times New Roman"/>
          <w:szCs w:val="24"/>
        </w:rPr>
        <w:t>IRB</w:t>
      </w:r>
      <w:r w:rsidRPr="00AA4677">
        <w:rPr>
          <w:rFonts w:eastAsia="Times New Roman" w:cs="Times New Roman"/>
          <w:szCs w:val="24"/>
        </w:rPr>
        <w:t xml:space="preserve"> approval to the PI and instructions for submitting relevant continuing review materials.</w:t>
      </w:r>
    </w:p>
    <w:p w14:paraId="1E8BBF68" w14:textId="3ED56D8F"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Notification of suspension of research.</w:t>
      </w:r>
    </w:p>
    <w:p w14:paraId="723ACDBF" w14:textId="00F4ABD8"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Correspondence pertaining to appeals</w:t>
      </w:r>
      <w:r w:rsidR="005B2282" w:rsidRPr="00AA4677">
        <w:rPr>
          <w:rFonts w:eastAsia="Times New Roman" w:cs="Times New Roman"/>
          <w:szCs w:val="24"/>
        </w:rPr>
        <w:t xml:space="preserve"> and all other correspondence between the study team and the IRB</w:t>
      </w:r>
      <w:r w:rsidRPr="00AA4677">
        <w:rPr>
          <w:rFonts w:eastAsia="Times New Roman" w:cs="Times New Roman"/>
          <w:szCs w:val="24"/>
        </w:rPr>
        <w:t>.</w:t>
      </w:r>
    </w:p>
    <w:p w14:paraId="54F417D7" w14:textId="2B2B3249"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 xml:space="preserve">Copies of approval letters and forms that describe what </w:t>
      </w:r>
      <w:r w:rsidR="001604CF" w:rsidRPr="00AA4677">
        <w:rPr>
          <w:rFonts w:eastAsia="Times New Roman" w:cs="Times New Roman"/>
          <w:szCs w:val="24"/>
        </w:rPr>
        <w:t>PI</w:t>
      </w:r>
      <w:r w:rsidRPr="00AA4677">
        <w:rPr>
          <w:rFonts w:eastAsia="Times New Roman" w:cs="Times New Roman"/>
          <w:szCs w:val="24"/>
        </w:rPr>
        <w:t xml:space="preserve"> must have before beginning the study.</w:t>
      </w:r>
    </w:p>
    <w:p w14:paraId="33436BE6" w14:textId="659381A0" w:rsidR="003E7C9E" w:rsidRPr="00AA4677" w:rsidRDefault="00EE7207"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IRB</w:t>
      </w:r>
      <w:r w:rsidR="003E7C9E" w:rsidRPr="00AA4677">
        <w:rPr>
          <w:rFonts w:eastAsia="Times New Roman" w:cs="Times New Roman"/>
          <w:szCs w:val="24"/>
        </w:rPr>
        <w:t xml:space="preserve"> correspondence to and from research investigators.</w:t>
      </w:r>
    </w:p>
    <w:p w14:paraId="3C8F1366" w14:textId="578127EA"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All other</w:t>
      </w:r>
      <w:r w:rsidR="001604CF"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correspondence related to the research.</w:t>
      </w:r>
    </w:p>
    <w:p w14:paraId="57E7F669" w14:textId="337C3C39"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Reports of unanticipated problems involving risk to subjects or others</w:t>
      </w:r>
      <w:r w:rsidR="000C2DE9" w:rsidRPr="00AA4677">
        <w:rPr>
          <w:rFonts w:eastAsia="Times New Roman" w:cs="Times New Roman"/>
          <w:szCs w:val="24"/>
        </w:rPr>
        <w:t>, non-compliance</w:t>
      </w:r>
      <w:r w:rsidR="009047D8" w:rsidRPr="00AA4677">
        <w:rPr>
          <w:rFonts w:eastAsia="Times New Roman" w:cs="Times New Roman"/>
          <w:szCs w:val="24"/>
        </w:rPr>
        <w:t xml:space="preserve"> (and whether non-compliance is serious and/or continuing)</w:t>
      </w:r>
      <w:r w:rsidR="000C2DE9" w:rsidRPr="00AA4677">
        <w:rPr>
          <w:rFonts w:eastAsia="Times New Roman" w:cs="Times New Roman"/>
          <w:szCs w:val="24"/>
        </w:rPr>
        <w:t>,</w:t>
      </w:r>
      <w:r w:rsidRPr="00AA4677">
        <w:rPr>
          <w:rFonts w:eastAsia="Times New Roman" w:cs="Times New Roman"/>
          <w:szCs w:val="24"/>
        </w:rPr>
        <w:t xml:space="preserve"> and adverse events.</w:t>
      </w:r>
    </w:p>
    <w:p w14:paraId="78E5097C" w14:textId="74061D10"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Documentation of audits, investigations, reports of external site visits.</w:t>
      </w:r>
    </w:p>
    <w:p w14:paraId="05A9D71B" w14:textId="5E081553" w:rsidR="003E7C9E" w:rsidRPr="00AA4677" w:rsidRDefault="003E7C9E"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Scientific evaluations, if any, beyond the scientific merit attestations provided by departmental chairs/review committees</w:t>
      </w:r>
      <w:r w:rsidR="001604CF" w:rsidRPr="00AA4677">
        <w:rPr>
          <w:rFonts w:eastAsia="Times New Roman" w:cs="Times New Roman"/>
          <w:szCs w:val="24"/>
        </w:rPr>
        <w:t>.</w:t>
      </w:r>
    </w:p>
    <w:p w14:paraId="772708CF" w14:textId="7060AB43" w:rsidR="000C2DE9" w:rsidRPr="00AA4677" w:rsidRDefault="000C2DE9"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Data and safety monitoring reports, if any</w:t>
      </w:r>
      <w:r w:rsidR="00522C5D" w:rsidRPr="00AA4677">
        <w:rPr>
          <w:rFonts w:eastAsia="Times New Roman" w:cs="Times New Roman"/>
          <w:szCs w:val="24"/>
        </w:rPr>
        <w:t>.</w:t>
      </w:r>
    </w:p>
    <w:p w14:paraId="47972545" w14:textId="27EC9ACA" w:rsidR="00522C5D" w:rsidRPr="00AA4677" w:rsidRDefault="00522C5D" w:rsidP="00C129F1">
      <w:pPr>
        <w:pStyle w:val="ListParagraph"/>
        <w:numPr>
          <w:ilvl w:val="1"/>
          <w:numId w:val="15"/>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Justification for an exempt determination.</w:t>
      </w:r>
    </w:p>
    <w:p w14:paraId="5FADE06D" w14:textId="425E16A8" w:rsidR="003E7C9E" w:rsidRPr="00AA4677" w:rsidRDefault="008C060B" w:rsidP="00696B35">
      <w:pPr>
        <w:pStyle w:val="Heading2"/>
      </w:pPr>
      <w:bookmarkStart w:id="82" w:name="_Toc192678189"/>
      <w:r w:rsidRPr="00AA4677">
        <w:t xml:space="preserve">4.4 </w:t>
      </w:r>
      <w:r w:rsidR="00EE7207" w:rsidRPr="00AA4677">
        <w:t>IRB</w:t>
      </w:r>
      <w:r w:rsidR="003E7C9E" w:rsidRPr="00AA4677">
        <w:t xml:space="preserve"> Minutes</w:t>
      </w:r>
      <w:bookmarkEnd w:id="82"/>
    </w:p>
    <w:p w14:paraId="1ED36158" w14:textId="499ECB31" w:rsidR="00842777" w:rsidRPr="00AA4677" w:rsidRDefault="00D24A28" w:rsidP="00C57C98">
      <w:pPr>
        <w:pStyle w:val="Heading3"/>
      </w:pPr>
      <w:r w:rsidRPr="00AA4677">
        <w:t>Proceedings must be written and available for the IRB Chair’s review prior to the next regularly scheduled IRB meeting date. T</w:t>
      </w:r>
      <w:r w:rsidR="00842777" w:rsidRPr="00AA4677">
        <w:t xml:space="preserve">he IRB minutes, once approved, may not be altered by </w:t>
      </w:r>
      <w:r w:rsidR="000042C4" w:rsidRPr="00AA4677">
        <w:t xml:space="preserve">any persons of authority </w:t>
      </w:r>
      <w:r w:rsidR="00842777" w:rsidRPr="00AA4677">
        <w:t>with</w:t>
      </w:r>
      <w:r w:rsidR="000042C4" w:rsidRPr="00AA4677">
        <w:t>out</w:t>
      </w:r>
      <w:r w:rsidR="00842777" w:rsidRPr="00AA4677">
        <w:t xml:space="preserve"> the concurrence and approval of the convened IRB.</w:t>
      </w:r>
    </w:p>
    <w:p w14:paraId="6BB837A7" w14:textId="2D65823A"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Minutes of</w:t>
      </w:r>
      <w:r w:rsidR="001604CF" w:rsidRPr="00AA4677">
        <w:rPr>
          <w:rFonts w:eastAsia="Times New Roman" w:cs="Times New Roman"/>
          <w:szCs w:val="24"/>
        </w:rPr>
        <w:t xml:space="preserve"> the </w:t>
      </w:r>
      <w:r w:rsidR="00EE7207" w:rsidRPr="00AA4677">
        <w:rPr>
          <w:rFonts w:eastAsia="Times New Roman" w:cs="Times New Roman"/>
          <w:szCs w:val="24"/>
        </w:rPr>
        <w:t>IRB</w:t>
      </w:r>
      <w:r w:rsidRPr="00AA4677">
        <w:rPr>
          <w:rFonts w:eastAsia="Times New Roman" w:cs="Times New Roman"/>
          <w:szCs w:val="24"/>
        </w:rPr>
        <w:t xml:space="preserve"> meetings must contain sufficient detail to show:</w:t>
      </w:r>
    </w:p>
    <w:p w14:paraId="2A6BE9EB" w14:textId="03564944" w:rsidR="006D6434"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Attendance</w:t>
      </w:r>
      <w:r w:rsidR="001604CF" w:rsidRPr="00AA4677">
        <w:rPr>
          <w:rFonts w:eastAsia="Times New Roman" w:cs="Times New Roman"/>
          <w:szCs w:val="24"/>
        </w:rPr>
        <w:t>.</w:t>
      </w:r>
    </w:p>
    <w:p w14:paraId="08F9958C" w14:textId="77777777" w:rsidR="006D6434" w:rsidRPr="00AA4677" w:rsidRDefault="006D6434">
      <w:pPr>
        <w:pStyle w:val="ListNumber"/>
        <w:numPr>
          <w:ilvl w:val="0"/>
          <w:numId w:val="148"/>
        </w:numPr>
        <w:tabs>
          <w:tab w:val="clear" w:pos="1800"/>
          <w:tab w:val="left" w:pos="720"/>
        </w:tabs>
        <w:ind w:left="720"/>
        <w:rPr>
          <w:rFonts w:ascii="Calibri" w:hAnsi="Calibri" w:cs="Calibri"/>
          <w:color w:val="auto"/>
        </w:rPr>
      </w:pPr>
      <w:r w:rsidRPr="00AA4677">
        <w:rPr>
          <w:rFonts w:ascii="Calibri" w:hAnsi="Calibri" w:cs="Calibri"/>
          <w:color w:val="auto"/>
        </w:rPr>
        <w:t xml:space="preserve">Each member’s (or alternate’s) full </w:t>
      </w:r>
      <w:proofErr w:type="gramStart"/>
      <w:r w:rsidRPr="00AA4677">
        <w:rPr>
          <w:rFonts w:ascii="Calibri" w:hAnsi="Calibri" w:cs="Calibri"/>
          <w:color w:val="auto"/>
        </w:rPr>
        <w:t>name;</w:t>
      </w:r>
      <w:proofErr w:type="gramEnd"/>
    </w:p>
    <w:p w14:paraId="69EABFAC" w14:textId="4DA377FC" w:rsidR="006D6434" w:rsidRPr="00AA4677" w:rsidRDefault="006D6434">
      <w:pPr>
        <w:pStyle w:val="ListNumber"/>
        <w:numPr>
          <w:ilvl w:val="0"/>
          <w:numId w:val="148"/>
        </w:numPr>
        <w:tabs>
          <w:tab w:val="clear" w:pos="1800"/>
          <w:tab w:val="left" w:pos="720"/>
        </w:tabs>
        <w:ind w:left="720"/>
        <w:rPr>
          <w:rFonts w:ascii="Calibri" w:hAnsi="Calibri" w:cs="Calibri"/>
          <w:color w:val="auto"/>
        </w:rPr>
      </w:pPr>
      <w:r w:rsidRPr="00AA4677">
        <w:rPr>
          <w:rFonts w:ascii="Calibri" w:hAnsi="Calibri" w:cs="Calibri"/>
          <w:color w:val="auto"/>
        </w:rPr>
        <w:t>Each member’s (or alternate’s) representative capacity (e.g., scientist, non-scientist, unaffiliated, member who represents the general perspective of research subjects)</w:t>
      </w:r>
      <w:r w:rsidR="005B7788" w:rsidRPr="00AA4677">
        <w:rPr>
          <w:rFonts w:ascii="Calibri" w:hAnsi="Calibri" w:cs="Calibri"/>
          <w:color w:val="auto"/>
        </w:rPr>
        <w:t xml:space="preserve"> (a roster sheet will be attached to the minutes indicating the representative capacity for each IRB member)</w:t>
      </w:r>
    </w:p>
    <w:p w14:paraId="6DC822F1" w14:textId="77777777" w:rsidR="006D6434" w:rsidRPr="00AA4677" w:rsidRDefault="006D6434">
      <w:pPr>
        <w:pStyle w:val="ListNumber"/>
        <w:numPr>
          <w:ilvl w:val="0"/>
          <w:numId w:val="148"/>
        </w:numPr>
        <w:tabs>
          <w:tab w:val="clear" w:pos="1800"/>
          <w:tab w:val="left" w:pos="720"/>
        </w:tabs>
        <w:ind w:left="720"/>
        <w:rPr>
          <w:rFonts w:ascii="Calibri" w:hAnsi="Calibri" w:cs="Calibri"/>
          <w:color w:val="auto"/>
        </w:rPr>
      </w:pPr>
      <w:r w:rsidRPr="00AA4677">
        <w:rPr>
          <w:rFonts w:ascii="Calibri" w:hAnsi="Calibri" w:cs="Calibri"/>
          <w:color w:val="auto"/>
        </w:rPr>
        <w:t xml:space="preserve">The names of members or alternate members who are participating through videoconference or teleconference and documentation that those attending remotely received all pertinent material prior to the meeting and were able to actively and equally participate in all </w:t>
      </w:r>
      <w:proofErr w:type="gramStart"/>
      <w:r w:rsidRPr="00AA4677">
        <w:rPr>
          <w:rFonts w:ascii="Calibri" w:hAnsi="Calibri" w:cs="Calibri"/>
          <w:color w:val="auto"/>
        </w:rPr>
        <w:t>discussions;</w:t>
      </w:r>
      <w:proofErr w:type="gramEnd"/>
    </w:p>
    <w:p w14:paraId="31F16240" w14:textId="77777777" w:rsidR="006D6434" w:rsidRPr="00AA4677" w:rsidRDefault="006D6434">
      <w:pPr>
        <w:pStyle w:val="ListNumber"/>
        <w:numPr>
          <w:ilvl w:val="0"/>
          <w:numId w:val="148"/>
        </w:numPr>
        <w:tabs>
          <w:tab w:val="clear" w:pos="1800"/>
          <w:tab w:val="left" w:pos="720"/>
        </w:tabs>
        <w:ind w:left="720"/>
        <w:rPr>
          <w:rFonts w:ascii="Calibri" w:hAnsi="Calibri" w:cs="Calibri"/>
          <w:color w:val="auto"/>
        </w:rPr>
      </w:pPr>
      <w:r w:rsidRPr="00AA4677">
        <w:rPr>
          <w:rFonts w:ascii="Calibri" w:hAnsi="Calibri" w:cs="Calibri"/>
          <w:color w:val="auto"/>
        </w:rPr>
        <w:t>Names of alternates attending in lieu of specified (named) absent members. (Alternates may substitute for specific absent members or categories of members only as designated on the official IRB membership roster</w:t>
      </w:r>
      <w:proofErr w:type="gramStart"/>
      <w:r w:rsidRPr="00AA4677">
        <w:rPr>
          <w:rFonts w:ascii="Calibri" w:hAnsi="Calibri" w:cs="Calibri"/>
          <w:color w:val="auto"/>
        </w:rPr>
        <w:t>);</w:t>
      </w:r>
      <w:proofErr w:type="gramEnd"/>
    </w:p>
    <w:p w14:paraId="1452FDE8" w14:textId="77777777" w:rsidR="006D6434" w:rsidRPr="00AA4677" w:rsidRDefault="006D6434">
      <w:pPr>
        <w:pStyle w:val="ListNumber"/>
        <w:numPr>
          <w:ilvl w:val="0"/>
          <w:numId w:val="148"/>
        </w:numPr>
        <w:tabs>
          <w:tab w:val="clear" w:pos="1800"/>
          <w:tab w:val="left" w:pos="720"/>
        </w:tabs>
        <w:ind w:left="720"/>
        <w:rPr>
          <w:rFonts w:ascii="Calibri" w:hAnsi="Calibri" w:cs="Calibri"/>
          <w:color w:val="auto"/>
        </w:rPr>
      </w:pPr>
      <w:r w:rsidRPr="00AA4677">
        <w:rPr>
          <w:rFonts w:ascii="Calibri" w:hAnsi="Calibri" w:cs="Calibri"/>
          <w:color w:val="auto"/>
        </w:rPr>
        <w:lastRenderedPageBreak/>
        <w:t xml:space="preserve">Names of any consultants present, a brief explanation of their expertise, and documentation to support that the consultant(s) did not </w:t>
      </w:r>
      <w:proofErr w:type="gramStart"/>
      <w:r w:rsidRPr="00AA4677">
        <w:rPr>
          <w:rFonts w:ascii="Calibri" w:hAnsi="Calibri" w:cs="Calibri"/>
          <w:color w:val="auto"/>
        </w:rPr>
        <w:t>vote;</w:t>
      </w:r>
      <w:proofErr w:type="gramEnd"/>
    </w:p>
    <w:p w14:paraId="4EE359CA" w14:textId="77777777" w:rsidR="006D6434" w:rsidRPr="00AA4677" w:rsidRDefault="006D6434">
      <w:pPr>
        <w:pStyle w:val="ListNumber"/>
        <w:numPr>
          <w:ilvl w:val="0"/>
          <w:numId w:val="148"/>
        </w:numPr>
        <w:tabs>
          <w:tab w:val="clear" w:pos="1800"/>
          <w:tab w:val="left" w:pos="720"/>
        </w:tabs>
        <w:ind w:left="720"/>
        <w:rPr>
          <w:rFonts w:ascii="Calibri" w:hAnsi="Calibri" w:cs="Calibri"/>
          <w:color w:val="auto"/>
        </w:rPr>
      </w:pPr>
      <w:r w:rsidRPr="00AA4677">
        <w:rPr>
          <w:rFonts w:ascii="Calibri" w:hAnsi="Calibri" w:cs="Calibri"/>
          <w:color w:val="auto"/>
        </w:rPr>
        <w:t>The names of non-members and guests in attendance, such as IRB staff, investigators, and study coordinators</w:t>
      </w:r>
    </w:p>
    <w:p w14:paraId="0A18E0EC" w14:textId="582DD95D" w:rsidR="003E7C9E" w:rsidRPr="00AA4677" w:rsidRDefault="003E7C9E" w:rsidP="009D0F05">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vote on each action will reflect those members present for the vote on that item. Members who recuse themselves because of conflict of interest are listed by name and the reason documented.</w:t>
      </w:r>
    </w:p>
    <w:p w14:paraId="777972C8" w14:textId="7417F849"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presence of a quorum throughout the meeting, including the presence of one member whose primary concern is in a non-scientific area</w:t>
      </w:r>
      <w:r w:rsidR="001604CF" w:rsidRPr="00AA4677">
        <w:rPr>
          <w:rFonts w:eastAsia="Times New Roman" w:cs="Times New Roman"/>
          <w:szCs w:val="24"/>
        </w:rPr>
        <w:t>.</w:t>
      </w:r>
    </w:p>
    <w:p w14:paraId="09355394" w14:textId="569D09D8"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Business Items discussed</w:t>
      </w:r>
      <w:r w:rsidR="001604CF" w:rsidRPr="00AA4677">
        <w:rPr>
          <w:rFonts w:eastAsia="Times New Roman" w:cs="Times New Roman"/>
          <w:szCs w:val="24"/>
        </w:rPr>
        <w:t>.</w:t>
      </w:r>
    </w:p>
    <w:p w14:paraId="5DD3FE0D" w14:textId="3AB01BAD"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Continuing Education</w:t>
      </w:r>
      <w:r w:rsidR="001604CF" w:rsidRPr="00AA4677">
        <w:rPr>
          <w:rFonts w:eastAsia="Times New Roman" w:cs="Times New Roman"/>
          <w:szCs w:val="24"/>
        </w:rPr>
        <w:t>.</w:t>
      </w:r>
    </w:p>
    <w:p w14:paraId="28C615C9" w14:textId="3D8D524C"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Actions taken, including separate deliberations, actions, and votes for each protocol undergoing initial review, continuing review, or review of modifications by the convened </w:t>
      </w:r>
      <w:r w:rsidR="001604CF" w:rsidRPr="00AA4677">
        <w:rPr>
          <w:rFonts w:eastAsia="Times New Roman" w:cs="Times New Roman"/>
          <w:szCs w:val="24"/>
        </w:rPr>
        <w:t xml:space="preserve">the </w:t>
      </w:r>
      <w:r w:rsidR="00EE7207" w:rsidRPr="00AA4677">
        <w:rPr>
          <w:rFonts w:eastAsia="Times New Roman" w:cs="Times New Roman"/>
          <w:szCs w:val="24"/>
        </w:rPr>
        <w:t>IRB</w:t>
      </w:r>
      <w:r w:rsidR="001604CF" w:rsidRPr="00AA4677">
        <w:rPr>
          <w:rFonts w:eastAsia="Times New Roman" w:cs="Times New Roman"/>
          <w:szCs w:val="24"/>
        </w:rPr>
        <w:t>.</w:t>
      </w:r>
      <w:r w:rsidR="009D0F05" w:rsidRPr="00AA4677">
        <w:rPr>
          <w:rFonts w:eastAsia="Times New Roman" w:cs="Times New Roman"/>
          <w:szCs w:val="24"/>
        </w:rPr>
        <w:t xml:space="preserve"> Documentation that the criteria for approval was met.</w:t>
      </w:r>
    </w:p>
    <w:p w14:paraId="523E8A6C" w14:textId="03E71DFA"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Votes on these actions (</w:t>
      </w:r>
      <w:r w:rsidR="001604CF" w:rsidRPr="00AA4677">
        <w:rPr>
          <w:rFonts w:eastAsia="Times New Roman" w:cs="Times New Roman"/>
          <w:szCs w:val="24"/>
        </w:rPr>
        <w:t>t</w:t>
      </w:r>
      <w:r w:rsidRPr="00AA4677">
        <w:rPr>
          <w:rFonts w:eastAsia="Times New Roman" w:cs="Times New Roman"/>
          <w:szCs w:val="24"/>
        </w:rPr>
        <w:t xml:space="preserve">otal </w:t>
      </w:r>
      <w:r w:rsidR="001604CF" w:rsidRPr="00AA4677">
        <w:rPr>
          <w:rFonts w:eastAsia="Times New Roman" w:cs="Times New Roman"/>
          <w:szCs w:val="24"/>
        </w:rPr>
        <w:t>n</w:t>
      </w:r>
      <w:r w:rsidRPr="00AA4677">
        <w:rPr>
          <w:rFonts w:eastAsia="Times New Roman" w:cs="Times New Roman"/>
          <w:szCs w:val="24"/>
        </w:rPr>
        <w:t xml:space="preserve">umber </w:t>
      </w:r>
      <w:r w:rsidR="001604CF" w:rsidRPr="00AA4677">
        <w:rPr>
          <w:rFonts w:eastAsia="Times New Roman" w:cs="Times New Roman"/>
          <w:szCs w:val="24"/>
        </w:rPr>
        <w:t>v</w:t>
      </w:r>
      <w:r w:rsidRPr="00AA4677">
        <w:rPr>
          <w:rFonts w:eastAsia="Times New Roman" w:cs="Times New Roman"/>
          <w:szCs w:val="24"/>
        </w:rPr>
        <w:t xml:space="preserve">oting; </w:t>
      </w:r>
      <w:r w:rsidR="001604CF" w:rsidRPr="00AA4677">
        <w:rPr>
          <w:rFonts w:eastAsia="Times New Roman" w:cs="Times New Roman"/>
          <w:szCs w:val="24"/>
        </w:rPr>
        <w:t>n</w:t>
      </w:r>
      <w:r w:rsidRPr="00AA4677">
        <w:rPr>
          <w:rFonts w:eastAsia="Times New Roman" w:cs="Times New Roman"/>
          <w:szCs w:val="24"/>
        </w:rPr>
        <w:t xml:space="preserve">umber voting for; </w:t>
      </w:r>
      <w:r w:rsidR="001604CF" w:rsidRPr="00AA4677">
        <w:rPr>
          <w:rFonts w:eastAsia="Times New Roman" w:cs="Times New Roman"/>
          <w:szCs w:val="24"/>
        </w:rPr>
        <w:t>n</w:t>
      </w:r>
      <w:r w:rsidRPr="00AA4677">
        <w:rPr>
          <w:rFonts w:eastAsia="Times New Roman" w:cs="Times New Roman"/>
          <w:szCs w:val="24"/>
        </w:rPr>
        <w:t xml:space="preserve">umber voting against; </w:t>
      </w:r>
      <w:r w:rsidR="001604CF" w:rsidRPr="00AA4677">
        <w:rPr>
          <w:rFonts w:eastAsia="Times New Roman" w:cs="Times New Roman"/>
          <w:szCs w:val="24"/>
        </w:rPr>
        <w:t>n</w:t>
      </w:r>
      <w:r w:rsidRPr="00AA4677">
        <w:rPr>
          <w:rFonts w:eastAsia="Times New Roman" w:cs="Times New Roman"/>
          <w:szCs w:val="24"/>
        </w:rPr>
        <w:t xml:space="preserve">umber abstaining; </w:t>
      </w:r>
      <w:r w:rsidR="001604CF" w:rsidRPr="00AA4677">
        <w:rPr>
          <w:rFonts w:eastAsia="Times New Roman" w:cs="Times New Roman"/>
          <w:szCs w:val="24"/>
        </w:rPr>
        <w:t>n</w:t>
      </w:r>
      <w:r w:rsidRPr="00AA4677">
        <w:rPr>
          <w:rFonts w:eastAsia="Times New Roman" w:cs="Times New Roman"/>
          <w:szCs w:val="24"/>
        </w:rPr>
        <w:t>umber of those recused)</w:t>
      </w:r>
      <w:r w:rsidR="001604CF" w:rsidRPr="00AA4677">
        <w:rPr>
          <w:rFonts w:eastAsia="Times New Roman" w:cs="Times New Roman"/>
          <w:szCs w:val="24"/>
        </w:rPr>
        <w:t>.</w:t>
      </w:r>
    </w:p>
    <w:p w14:paraId="4451393C" w14:textId="6B1BE958"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Basis or justification for these actions including required changes in research</w:t>
      </w:r>
      <w:r w:rsidR="001604CF" w:rsidRPr="00AA4677">
        <w:rPr>
          <w:rFonts w:eastAsia="Times New Roman" w:cs="Times New Roman"/>
          <w:szCs w:val="24"/>
        </w:rPr>
        <w:t>.</w:t>
      </w:r>
    </w:p>
    <w:p w14:paraId="28D3BEC5" w14:textId="77011CED" w:rsidR="009D0F05" w:rsidRPr="00AA4677" w:rsidRDefault="009D0F05">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Basis for disapproving research.</w:t>
      </w:r>
    </w:p>
    <w:p w14:paraId="7B0D9121" w14:textId="30E41004"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Summary of controverted issues and their resolution</w:t>
      </w:r>
      <w:r w:rsidR="001604CF" w:rsidRPr="00AA4677">
        <w:rPr>
          <w:rFonts w:eastAsia="Times New Roman" w:cs="Times New Roman"/>
          <w:szCs w:val="24"/>
        </w:rPr>
        <w:t>.</w:t>
      </w:r>
      <w:r w:rsidR="00540C79" w:rsidRPr="00AA4677">
        <w:rPr>
          <w:rFonts w:eastAsia="Times New Roman" w:cs="Times New Roman"/>
          <w:szCs w:val="24"/>
        </w:rPr>
        <w:t xml:space="preserve"> When controverted issues are different in the worksheet from the opinion of the </w:t>
      </w:r>
      <w:r w:rsidR="00EB4EC0" w:rsidRPr="00AA4677">
        <w:rPr>
          <w:rFonts w:eastAsia="Times New Roman" w:cs="Times New Roman"/>
          <w:szCs w:val="24"/>
        </w:rPr>
        <w:t xml:space="preserve">IRB </w:t>
      </w:r>
      <w:r w:rsidR="00540C79" w:rsidRPr="00AA4677">
        <w:rPr>
          <w:rFonts w:eastAsia="Times New Roman" w:cs="Times New Roman"/>
          <w:szCs w:val="24"/>
        </w:rPr>
        <w:t>members, the members</w:t>
      </w:r>
      <w:r w:rsidR="002A61B6" w:rsidRPr="00AA4677">
        <w:rPr>
          <w:rFonts w:eastAsia="Times New Roman" w:cs="Times New Roman"/>
          <w:szCs w:val="24"/>
        </w:rPr>
        <w:t>’</w:t>
      </w:r>
      <w:r w:rsidR="00540C79" w:rsidRPr="00AA4677">
        <w:rPr>
          <w:rFonts w:eastAsia="Times New Roman" w:cs="Times New Roman"/>
          <w:szCs w:val="24"/>
        </w:rPr>
        <w:t xml:space="preserve"> decision regarding the controverted issue will be documented in the minutes. However, the reviewer worksheets</w:t>
      </w:r>
      <w:r w:rsidR="002A61B6" w:rsidRPr="00AA4677">
        <w:rPr>
          <w:rFonts w:eastAsia="Times New Roman" w:cs="Times New Roman"/>
          <w:szCs w:val="24"/>
        </w:rPr>
        <w:t xml:space="preserve"> documenting a difference of opinion</w:t>
      </w:r>
      <w:r w:rsidR="00540C79" w:rsidRPr="00AA4677">
        <w:rPr>
          <w:rFonts w:eastAsia="Times New Roman" w:cs="Times New Roman"/>
          <w:szCs w:val="24"/>
        </w:rPr>
        <w:t xml:space="preserve"> </w:t>
      </w:r>
      <w:r w:rsidR="002A61B6" w:rsidRPr="00AA4677">
        <w:rPr>
          <w:rFonts w:eastAsia="Times New Roman" w:cs="Times New Roman"/>
          <w:szCs w:val="24"/>
        </w:rPr>
        <w:t xml:space="preserve">from the IRB member </w:t>
      </w:r>
      <w:r w:rsidR="00540C79" w:rsidRPr="00AA4677">
        <w:rPr>
          <w:rFonts w:eastAsia="Times New Roman" w:cs="Times New Roman"/>
          <w:szCs w:val="24"/>
        </w:rPr>
        <w:t>will remain permanently with the file.</w:t>
      </w:r>
    </w:p>
    <w:p w14:paraId="52859320" w14:textId="11035AEA"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Approval period for initial and continuing approved protocols, </w:t>
      </w:r>
      <w:r w:rsidR="006D6434" w:rsidRPr="00AA4677">
        <w:rPr>
          <w:rFonts w:eastAsia="Times New Roman" w:cs="Times New Roman"/>
          <w:szCs w:val="24"/>
        </w:rPr>
        <w:t xml:space="preserve">when applicable, </w:t>
      </w:r>
      <w:r w:rsidRPr="00AA4677">
        <w:rPr>
          <w:rFonts w:eastAsia="Times New Roman" w:cs="Times New Roman"/>
          <w:szCs w:val="24"/>
        </w:rPr>
        <w:t>including identification of research that warrants review more often than annually and the basis for that determination</w:t>
      </w:r>
      <w:r w:rsidR="001604CF" w:rsidRPr="00AA4677">
        <w:rPr>
          <w:rFonts w:eastAsia="Times New Roman" w:cs="Times New Roman"/>
          <w:szCs w:val="24"/>
        </w:rPr>
        <w:t>.</w:t>
      </w:r>
    </w:p>
    <w:p w14:paraId="48C38578" w14:textId="3F4CDA5E" w:rsidR="006D6434" w:rsidRPr="00AA4677" w:rsidRDefault="006D6434">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ascii="Calibri" w:hAnsi="Calibri" w:cs="Calibri"/>
        </w:rPr>
        <w:t>The rationale for requiring continuing review of research that otherwise would not require continuing review</w:t>
      </w:r>
    </w:p>
    <w:p w14:paraId="696A2171" w14:textId="63850E33"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Risk level of initial and continuing approved protocols</w:t>
      </w:r>
    </w:p>
    <w:p w14:paraId="2791DEB1" w14:textId="37B3CC75"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Protocol-specific documentation that the research meets the required criteria [45 CFR 46.116(d)] when approving a consent procedure that does not include or that alters some or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required elements of informed consent, or when waiving the requirement to obtain an informed consent</w:t>
      </w:r>
      <w:r w:rsidR="001604CF" w:rsidRPr="00AA4677">
        <w:rPr>
          <w:rFonts w:eastAsia="Times New Roman" w:cs="Times New Roman"/>
          <w:szCs w:val="24"/>
        </w:rPr>
        <w:t>.</w:t>
      </w:r>
      <w:r w:rsidR="00842777" w:rsidRPr="00AA4677">
        <w:rPr>
          <w:rFonts w:eastAsia="Times New Roman" w:cs="Times New Roman"/>
          <w:szCs w:val="24"/>
        </w:rPr>
        <w:t xml:space="preserve"> This documentation may alternatively be available in </w:t>
      </w:r>
      <w:r w:rsidR="00FB2B03" w:rsidRPr="00AA4677">
        <w:rPr>
          <w:rFonts w:eastAsia="Times New Roman" w:cs="Times New Roman"/>
          <w:szCs w:val="24"/>
        </w:rPr>
        <w:t xml:space="preserve">a </w:t>
      </w:r>
      <w:r w:rsidR="00842777" w:rsidRPr="00AA4677">
        <w:rPr>
          <w:rFonts w:eastAsia="Times New Roman" w:cs="Times New Roman"/>
          <w:szCs w:val="24"/>
        </w:rPr>
        <w:t xml:space="preserve">supporting </w:t>
      </w:r>
      <w:r w:rsidR="00CE0668" w:rsidRPr="00AA4677">
        <w:rPr>
          <w:rFonts w:eastAsia="Times New Roman" w:cs="Times New Roman"/>
          <w:szCs w:val="24"/>
        </w:rPr>
        <w:t>meeting document</w:t>
      </w:r>
      <w:r w:rsidR="00FB2B03" w:rsidRPr="00AA4677">
        <w:rPr>
          <w:rFonts w:eastAsia="Times New Roman" w:cs="Times New Roman"/>
          <w:szCs w:val="24"/>
        </w:rPr>
        <w:t xml:space="preserve"> </w:t>
      </w:r>
      <w:r w:rsidR="00842777" w:rsidRPr="00AA4677">
        <w:rPr>
          <w:rFonts w:eastAsia="Times New Roman" w:cs="Times New Roman"/>
          <w:szCs w:val="24"/>
        </w:rPr>
        <w:t>(</w:t>
      </w:r>
      <w:r w:rsidR="00FB2B03" w:rsidRPr="00AA4677">
        <w:rPr>
          <w:rFonts w:eastAsia="Times New Roman" w:cs="Times New Roman"/>
          <w:szCs w:val="24"/>
        </w:rPr>
        <w:t>“Final Meeting Determination Supplement: CONSENT WAIVERS”</w:t>
      </w:r>
      <w:r w:rsidR="00842777" w:rsidRPr="00AA4677">
        <w:rPr>
          <w:rFonts w:eastAsia="Times New Roman" w:cs="Times New Roman"/>
          <w:szCs w:val="24"/>
        </w:rPr>
        <w:t xml:space="preserve">) available with the </w:t>
      </w:r>
      <w:r w:rsidR="00FB2B03" w:rsidRPr="00AA4677">
        <w:rPr>
          <w:rFonts w:eastAsia="Times New Roman" w:cs="Times New Roman"/>
          <w:szCs w:val="24"/>
        </w:rPr>
        <w:t xml:space="preserve">meeting </w:t>
      </w:r>
      <w:r w:rsidR="00842777" w:rsidRPr="00AA4677">
        <w:rPr>
          <w:rFonts w:eastAsia="Times New Roman" w:cs="Times New Roman"/>
          <w:szCs w:val="24"/>
        </w:rPr>
        <w:t>minutes.</w:t>
      </w:r>
    </w:p>
    <w:p w14:paraId="3CF35D8F" w14:textId="1FA955BC" w:rsidR="007D2D53"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Protocol-specific documentation that the research meets the required criteria [45 CFR 46.117(c)] when the requirements for documentation of consent are waived</w:t>
      </w:r>
      <w:r w:rsidR="001604CF" w:rsidRPr="00AA4677">
        <w:rPr>
          <w:rFonts w:eastAsia="Times New Roman" w:cs="Times New Roman"/>
          <w:szCs w:val="24"/>
        </w:rPr>
        <w:t>.</w:t>
      </w:r>
      <w:r w:rsidR="00842777" w:rsidRPr="00AA4677">
        <w:rPr>
          <w:rFonts w:eastAsia="Times New Roman" w:cs="Times New Roman"/>
          <w:szCs w:val="24"/>
        </w:rPr>
        <w:t xml:space="preserve"> This </w:t>
      </w:r>
      <w:r w:rsidR="00842777" w:rsidRPr="00AA4677">
        <w:rPr>
          <w:rFonts w:eastAsia="Times New Roman" w:cs="Times New Roman"/>
          <w:szCs w:val="24"/>
        </w:rPr>
        <w:lastRenderedPageBreak/>
        <w:t>documentation may alternatively be available in</w:t>
      </w:r>
      <w:r w:rsidR="00FB2B03" w:rsidRPr="00AA4677">
        <w:rPr>
          <w:rFonts w:eastAsia="Times New Roman" w:cs="Times New Roman"/>
          <w:szCs w:val="24"/>
        </w:rPr>
        <w:t xml:space="preserve"> a</w:t>
      </w:r>
      <w:r w:rsidR="00842777" w:rsidRPr="00AA4677">
        <w:rPr>
          <w:rFonts w:eastAsia="Times New Roman" w:cs="Times New Roman"/>
          <w:szCs w:val="24"/>
        </w:rPr>
        <w:t xml:space="preserve"> supporting </w:t>
      </w:r>
      <w:r w:rsidR="00CE0668" w:rsidRPr="00AA4677">
        <w:rPr>
          <w:rFonts w:eastAsia="Times New Roman" w:cs="Times New Roman"/>
          <w:szCs w:val="24"/>
        </w:rPr>
        <w:t>meeting documen</w:t>
      </w:r>
      <w:r w:rsidR="00FB2B03" w:rsidRPr="00AA4677">
        <w:rPr>
          <w:rFonts w:eastAsia="Times New Roman" w:cs="Times New Roman"/>
          <w:szCs w:val="24"/>
        </w:rPr>
        <w:t xml:space="preserve">t </w:t>
      </w:r>
      <w:r w:rsidR="00842777" w:rsidRPr="00AA4677">
        <w:rPr>
          <w:rFonts w:eastAsia="Times New Roman" w:cs="Times New Roman"/>
          <w:szCs w:val="24"/>
        </w:rPr>
        <w:t>(</w:t>
      </w:r>
      <w:r w:rsidR="00FB2B03" w:rsidRPr="00AA4677">
        <w:rPr>
          <w:rFonts w:eastAsia="Times New Roman" w:cs="Times New Roman"/>
          <w:szCs w:val="24"/>
        </w:rPr>
        <w:t>“Final Meeting Determination Supplement: CONSENT WAIVERS”</w:t>
      </w:r>
      <w:r w:rsidR="00842777" w:rsidRPr="00AA4677">
        <w:rPr>
          <w:rFonts w:eastAsia="Times New Roman" w:cs="Times New Roman"/>
          <w:szCs w:val="24"/>
        </w:rPr>
        <w:t xml:space="preserve">) available with the </w:t>
      </w:r>
      <w:r w:rsidR="00FB2B03" w:rsidRPr="00AA4677">
        <w:rPr>
          <w:rFonts w:eastAsia="Times New Roman" w:cs="Times New Roman"/>
          <w:szCs w:val="24"/>
        </w:rPr>
        <w:t xml:space="preserve">meeting </w:t>
      </w:r>
      <w:r w:rsidR="00842777" w:rsidRPr="00AA4677">
        <w:rPr>
          <w:rFonts w:eastAsia="Times New Roman" w:cs="Times New Roman"/>
          <w:szCs w:val="24"/>
        </w:rPr>
        <w:t>minutes</w:t>
      </w:r>
      <w:r w:rsidR="00FB2B03" w:rsidRPr="00AA4677">
        <w:rPr>
          <w:rFonts w:eastAsia="Times New Roman" w:cs="Times New Roman"/>
          <w:szCs w:val="24"/>
        </w:rPr>
        <w:t>.</w:t>
      </w:r>
      <w:r w:rsidR="00540C79" w:rsidRPr="00AA4677">
        <w:rPr>
          <w:rFonts w:eastAsia="Times New Roman" w:cs="Times New Roman"/>
          <w:szCs w:val="24"/>
        </w:rPr>
        <w:t xml:space="preserve"> Supplemental documents are permanently part of the file.</w:t>
      </w:r>
    </w:p>
    <w:p w14:paraId="34892AB3" w14:textId="33A98C67"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approving research that involves populations covered by Subparts B, C, or D of 45 CFR 46, the minutes </w:t>
      </w:r>
      <w:r w:rsidR="00DC5138" w:rsidRPr="00AA4677">
        <w:rPr>
          <w:rFonts w:eastAsia="Times New Roman" w:cs="Times New Roman"/>
          <w:szCs w:val="24"/>
        </w:rPr>
        <w:t xml:space="preserve">and/or supporting </w:t>
      </w:r>
      <w:r w:rsidR="00FB2B03" w:rsidRPr="00AA4677">
        <w:rPr>
          <w:rFonts w:eastAsia="Times New Roman" w:cs="Times New Roman"/>
          <w:szCs w:val="24"/>
        </w:rPr>
        <w:t>meeting document</w:t>
      </w:r>
      <w:r w:rsidR="00DC5138" w:rsidRPr="00AA4677">
        <w:rPr>
          <w:rFonts w:eastAsia="Times New Roman" w:cs="Times New Roman"/>
          <w:szCs w:val="24"/>
        </w:rPr>
        <w:t xml:space="preserve">(s) </w:t>
      </w:r>
      <w:r w:rsidRPr="00AA4677">
        <w:rPr>
          <w:rFonts w:eastAsia="Times New Roman" w:cs="Times New Roman"/>
          <w:szCs w:val="24"/>
        </w:rPr>
        <w:t>will document the</w:t>
      </w:r>
      <w:r w:rsidR="001604CF"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’s justifications and findings regarding the determinations stated in the Subparts</w:t>
      </w:r>
      <w:r w:rsidR="00FB2B03" w:rsidRPr="00AA4677">
        <w:rPr>
          <w:rFonts w:eastAsia="Times New Roman" w:cs="Times New Roman"/>
          <w:szCs w:val="24"/>
        </w:rPr>
        <w:t>. These</w:t>
      </w:r>
      <w:r w:rsidR="000B7A63" w:rsidRPr="00AA4677">
        <w:rPr>
          <w:rFonts w:eastAsia="Times New Roman" w:cs="Times New Roman"/>
          <w:szCs w:val="24"/>
        </w:rPr>
        <w:t xml:space="preserve"> documents </w:t>
      </w:r>
      <w:r w:rsidR="00FB2B03" w:rsidRPr="00AA4677">
        <w:rPr>
          <w:rFonts w:eastAsia="Times New Roman" w:cs="Times New Roman"/>
          <w:szCs w:val="24"/>
        </w:rPr>
        <w:t>are: “Final Meeting Determination Supplement: Minors, Final Meeting Determination Supplement: Pregnant Women, or Final Meeting Determination Supplement: Prisoners”. Alternatively, t</w:t>
      </w:r>
      <w:r w:rsidRPr="00AA4677">
        <w:rPr>
          <w:rFonts w:eastAsia="Times New Roman" w:cs="Times New Roman"/>
          <w:szCs w:val="24"/>
        </w:rPr>
        <w:t xml:space="preserve">he </w:t>
      </w:r>
      <w:r w:rsidR="00FB2B03" w:rsidRPr="00AA4677">
        <w:rPr>
          <w:rFonts w:eastAsia="Times New Roman" w:cs="Times New Roman"/>
          <w:szCs w:val="24"/>
        </w:rPr>
        <w:t>IRB may cite concurrence with the j</w:t>
      </w:r>
      <w:r w:rsidRPr="00AA4677">
        <w:rPr>
          <w:rFonts w:eastAsia="Times New Roman" w:cs="Times New Roman"/>
          <w:szCs w:val="24"/>
        </w:rPr>
        <w:t xml:space="preserve">ustifications as presented by the investigator on </w:t>
      </w:r>
      <w:r w:rsidR="00FB2B03" w:rsidRPr="00AA4677">
        <w:rPr>
          <w:rFonts w:eastAsia="Times New Roman" w:cs="Times New Roman"/>
          <w:szCs w:val="24"/>
        </w:rPr>
        <w:t xml:space="preserve">submission materials (or as modified per the IRB). </w:t>
      </w:r>
    </w:p>
    <w:p w14:paraId="0A7C1813" w14:textId="6AD8FB63" w:rsidR="003101AE" w:rsidRPr="00AA4677" w:rsidRDefault="003101A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approving research that involves populations involving participants with diminished </w:t>
      </w:r>
      <w:proofErr w:type="spellStart"/>
      <w:r w:rsidRPr="00AA4677">
        <w:rPr>
          <w:rFonts w:eastAsia="Times New Roman" w:cs="Times New Roman"/>
          <w:szCs w:val="24"/>
        </w:rPr>
        <w:t>capcity</w:t>
      </w:r>
      <w:proofErr w:type="spellEnd"/>
      <w:r w:rsidRPr="00AA4677">
        <w:rPr>
          <w:rFonts w:eastAsia="Times New Roman" w:cs="Times New Roman"/>
          <w:szCs w:val="24"/>
        </w:rPr>
        <w:t xml:space="preserve"> to consent, minutes reflect the protocol-specific findings and determinations for this population.</w:t>
      </w:r>
    </w:p>
    <w:p w14:paraId="0D37EC2C" w14:textId="5495B7AB"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Special protections warranted in for other groups of subjects who are likely to be vulnerable to coercion or undue influence, such as mentally disabled persons, or economically or educationally disadvantaged persons, regardless of source of support for the research.</w:t>
      </w:r>
    </w:p>
    <w:p w14:paraId="356C10FA" w14:textId="6829C0E8"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rationale for significant risk/non-significant risk device determinations.</w:t>
      </w:r>
    </w:p>
    <w:p w14:paraId="0DD41B1E" w14:textId="5936645B"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Determinations of conflict of interest</w:t>
      </w:r>
      <w:r w:rsidR="00842777" w:rsidRPr="00AA4677">
        <w:rPr>
          <w:rFonts w:eastAsia="Times New Roman" w:cs="Times New Roman"/>
          <w:szCs w:val="24"/>
        </w:rPr>
        <w:t xml:space="preserve"> and review of management plans</w:t>
      </w:r>
      <w:r w:rsidRPr="00AA4677">
        <w:rPr>
          <w:rFonts w:eastAsia="Times New Roman" w:cs="Times New Roman"/>
          <w:szCs w:val="24"/>
        </w:rPr>
        <w:t>.</w:t>
      </w:r>
    </w:p>
    <w:p w14:paraId="1D210EA4" w14:textId="0C14C2DB"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Identification of any research for which there is need for verification from sources other than the investigator that no material changes are made in the research.</w:t>
      </w:r>
    </w:p>
    <w:p w14:paraId="183B5AA9" w14:textId="7F78728C" w:rsidR="003E7C9E" w:rsidRPr="00AA4677" w:rsidRDefault="001604CF">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 </w:t>
      </w:r>
      <w:r w:rsidR="003E7C9E" w:rsidRPr="00AA4677">
        <w:rPr>
          <w:rFonts w:eastAsia="Times New Roman" w:cs="Times New Roman"/>
          <w:szCs w:val="24"/>
        </w:rPr>
        <w:t>list of research approved since the last meeting utilizing expedited review procedures</w:t>
      </w:r>
      <w:r w:rsidR="006D6434" w:rsidRPr="00AA4677">
        <w:rPr>
          <w:rFonts w:eastAsia="Times New Roman" w:cs="Times New Roman"/>
          <w:szCs w:val="24"/>
        </w:rPr>
        <w:t>, including limited IRB review conducted using expedited procedures</w:t>
      </w:r>
      <w:r w:rsidR="003E7C9E" w:rsidRPr="00AA4677">
        <w:rPr>
          <w:rFonts w:eastAsia="Times New Roman" w:cs="Times New Roman"/>
          <w:szCs w:val="24"/>
        </w:rPr>
        <w:t>.</w:t>
      </w:r>
    </w:p>
    <w:p w14:paraId="3811B7E6" w14:textId="28C4877A" w:rsidR="003E7C9E" w:rsidRPr="00AA4677" w:rsidRDefault="001604CF">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An indication that, when </w:t>
      </w:r>
      <w:proofErr w:type="gramStart"/>
      <w:r w:rsidRPr="00AA4677">
        <w:rPr>
          <w:rFonts w:eastAsia="Times New Roman" w:cs="Times New Roman"/>
          <w:szCs w:val="24"/>
        </w:rPr>
        <w:t>a</w:t>
      </w:r>
      <w:proofErr w:type="gramEnd"/>
      <w:r w:rsidRPr="00AA4677">
        <w:rPr>
          <w:rFonts w:eastAsia="Times New Roman" w:cs="Times New Roman"/>
          <w:szCs w:val="24"/>
        </w:rPr>
        <w:t xml:space="preserve"> </w:t>
      </w:r>
      <w:r w:rsidR="00EE7207" w:rsidRPr="00AA4677">
        <w:rPr>
          <w:rFonts w:eastAsia="Times New Roman" w:cs="Times New Roman"/>
          <w:szCs w:val="24"/>
        </w:rPr>
        <w:t>IRB</w:t>
      </w:r>
      <w:r w:rsidR="003E7C9E" w:rsidRPr="00AA4677">
        <w:rPr>
          <w:rFonts w:eastAsia="Times New Roman" w:cs="Times New Roman"/>
          <w:szCs w:val="24"/>
        </w:rPr>
        <w:t xml:space="preserve"> member has a conflicting interest (see Section 2.9) with the research under review, the</w:t>
      </w:r>
      <w:r w:rsidRPr="00AA4677">
        <w:rPr>
          <w:rFonts w:eastAsia="Times New Roman" w:cs="Times New Roman"/>
          <w:szCs w:val="24"/>
        </w:rPr>
        <w:t xml:space="preserve"> </w:t>
      </w:r>
      <w:r w:rsidR="00EE7207" w:rsidRPr="00AA4677">
        <w:rPr>
          <w:rFonts w:eastAsia="Times New Roman" w:cs="Times New Roman"/>
          <w:szCs w:val="24"/>
        </w:rPr>
        <w:t>IRB</w:t>
      </w:r>
      <w:r w:rsidR="003E7C9E" w:rsidRPr="00AA4677">
        <w:rPr>
          <w:rFonts w:eastAsia="Times New Roman" w:cs="Times New Roman"/>
          <w:szCs w:val="24"/>
        </w:rPr>
        <w:t xml:space="preserve"> member was not present during the deliberations or voting on the proposal, and that the quorum was maintained.</w:t>
      </w:r>
    </w:p>
    <w:p w14:paraId="1AC8B65E" w14:textId="01A9D1D3"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Key information provided by consultants will be documented in the minutes or in a report provided by the consultant</w:t>
      </w:r>
      <w:r w:rsidR="001604CF" w:rsidRPr="00AA4677">
        <w:rPr>
          <w:rFonts w:eastAsia="Times New Roman" w:cs="Times New Roman"/>
          <w:szCs w:val="24"/>
        </w:rPr>
        <w:t>.</w:t>
      </w:r>
    </w:p>
    <w:p w14:paraId="2108F663" w14:textId="11AF0043" w:rsidR="003E7C9E" w:rsidRPr="00AA4677" w:rsidRDefault="003E7C9E">
      <w:pPr>
        <w:pStyle w:val="ListParagraph"/>
        <w:numPr>
          <w:ilvl w:val="0"/>
          <w:numId w:val="7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Justification of any deletion or substantive modification of information concerning risks or alternative procedures contained in the DHHS-approved sample consent document.</w:t>
      </w:r>
    </w:p>
    <w:p w14:paraId="256305F6" w14:textId="7E16DCB1" w:rsidR="003E7C9E" w:rsidRPr="00AA4677" w:rsidRDefault="003E7C9E" w:rsidP="00696B35">
      <w:pPr>
        <w:pStyle w:val="Heading2"/>
      </w:pPr>
      <w:bookmarkStart w:id="83" w:name="_Toc192678190"/>
      <w:r w:rsidRPr="00AA4677">
        <w:t xml:space="preserve">4.5 </w:t>
      </w:r>
      <w:r w:rsidR="00EE7207" w:rsidRPr="00AA4677">
        <w:t>IRB</w:t>
      </w:r>
      <w:r w:rsidRPr="00AA4677">
        <w:t xml:space="preserve"> Membership Roster</w:t>
      </w:r>
      <w:bookmarkEnd w:id="83"/>
    </w:p>
    <w:p w14:paraId="0B9643C3" w14:textId="1681BC97"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 membership list of </w:t>
      </w:r>
      <w:r w:rsidR="001604CF"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members must be maintained</w:t>
      </w:r>
      <w:r w:rsidR="001604CF" w:rsidRPr="00AA4677">
        <w:rPr>
          <w:rFonts w:eastAsia="Times New Roman" w:cs="Times New Roman"/>
          <w:szCs w:val="24"/>
        </w:rPr>
        <w:t>. I</w:t>
      </w:r>
      <w:r w:rsidRPr="00AA4677">
        <w:rPr>
          <w:rFonts w:eastAsia="Times New Roman" w:cs="Times New Roman"/>
          <w:szCs w:val="24"/>
        </w:rPr>
        <w:t xml:space="preserve">t must identify members sufficiently to describe each member's chief anticipated contributions to </w:t>
      </w:r>
      <w:r w:rsidR="00EE7207" w:rsidRPr="00AA4677">
        <w:rPr>
          <w:rFonts w:eastAsia="Times New Roman" w:cs="Times New Roman"/>
          <w:szCs w:val="24"/>
        </w:rPr>
        <w:t>IRB</w:t>
      </w:r>
      <w:r w:rsidRPr="00AA4677">
        <w:rPr>
          <w:rFonts w:eastAsia="Times New Roman" w:cs="Times New Roman"/>
          <w:szCs w:val="24"/>
        </w:rPr>
        <w:t xml:space="preserve"> deliberations. The list must contain the following information about members:</w:t>
      </w:r>
    </w:p>
    <w:p w14:paraId="1EB2347B" w14:textId="5CB98947" w:rsidR="003E7C9E" w:rsidRPr="00AA4677" w:rsidRDefault="003E7C9E">
      <w:pPr>
        <w:pStyle w:val="ListParagraph"/>
        <w:numPr>
          <w:ilvl w:val="0"/>
          <w:numId w:val="79"/>
        </w:num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Name</w:t>
      </w:r>
    </w:p>
    <w:p w14:paraId="359425B5" w14:textId="54D456F0" w:rsidR="003E7C9E" w:rsidRPr="00AA4677" w:rsidRDefault="003E7C9E">
      <w:pPr>
        <w:pStyle w:val="ListParagraph"/>
        <w:numPr>
          <w:ilvl w:val="0"/>
          <w:numId w:val="79"/>
        </w:num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Earned degrees</w:t>
      </w:r>
    </w:p>
    <w:p w14:paraId="0F774E20" w14:textId="71180F79" w:rsidR="003E7C9E" w:rsidRPr="00AA4677" w:rsidRDefault="003E7C9E">
      <w:pPr>
        <w:pStyle w:val="ListParagraph"/>
        <w:numPr>
          <w:ilvl w:val="0"/>
          <w:numId w:val="79"/>
        </w:num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lastRenderedPageBreak/>
        <w:t xml:space="preserve">Affiliated or non-affiliated status (neither the member nor an immediate family member of the member may be affiliated with the </w:t>
      </w:r>
      <w:r w:rsidR="001F76D0" w:rsidRPr="00AA4677">
        <w:rPr>
          <w:rFonts w:ascii="Calibri" w:eastAsia="Times New Roman" w:hAnsi="Calibri" w:cs="Calibri"/>
          <w:szCs w:val="24"/>
        </w:rPr>
        <w:t>U</w:t>
      </w:r>
      <w:r w:rsidRPr="00AA4677">
        <w:rPr>
          <w:rFonts w:ascii="Calibri" w:eastAsia="Times New Roman" w:hAnsi="Calibri" w:cs="Calibri"/>
          <w:szCs w:val="24"/>
        </w:rPr>
        <w:t>niversity)</w:t>
      </w:r>
    </w:p>
    <w:p w14:paraId="73A1AE55" w14:textId="43169070" w:rsidR="00CE614E" w:rsidRPr="00AA4677" w:rsidRDefault="00CE614E">
      <w:pPr>
        <w:pStyle w:val="ListParagraph"/>
        <w:numPr>
          <w:ilvl w:val="0"/>
          <w:numId w:val="79"/>
        </w:num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 xml:space="preserve">Employment or other relationship </w:t>
      </w:r>
      <w:proofErr w:type="spellStart"/>
      <w:r w:rsidRPr="00AA4677">
        <w:rPr>
          <w:rFonts w:ascii="Calibri" w:eastAsia="Times New Roman" w:hAnsi="Calibri" w:cs="Calibri"/>
          <w:szCs w:val="24"/>
        </w:rPr>
        <w:t>etween</w:t>
      </w:r>
      <w:proofErr w:type="spellEnd"/>
      <w:r w:rsidRPr="00AA4677">
        <w:rPr>
          <w:rFonts w:ascii="Calibri" w:eastAsia="Times New Roman" w:hAnsi="Calibri" w:cs="Calibri"/>
          <w:szCs w:val="24"/>
        </w:rPr>
        <w:t xml:space="preserve"> each IRB member and the organization</w:t>
      </w:r>
    </w:p>
    <w:p w14:paraId="6EFCCC08" w14:textId="4FC60D51" w:rsidR="003E7C9E" w:rsidRPr="00AA4677" w:rsidRDefault="003E7C9E">
      <w:pPr>
        <w:pStyle w:val="ListParagraph"/>
        <w:numPr>
          <w:ilvl w:val="0"/>
          <w:numId w:val="79"/>
        </w:num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 xml:space="preserve">Status as scientist </w:t>
      </w:r>
      <w:r w:rsidR="004B11F8" w:rsidRPr="00AA4677">
        <w:rPr>
          <w:rFonts w:ascii="Calibri" w:eastAsia="Times New Roman" w:hAnsi="Calibri" w:cs="Calibri"/>
          <w:szCs w:val="24"/>
        </w:rPr>
        <w:t xml:space="preserve">or non-scientist </w:t>
      </w:r>
      <w:r w:rsidR="00F262B9" w:rsidRPr="00AA4677">
        <w:rPr>
          <w:rFonts w:ascii="Calibri" w:eastAsia="Times New Roman" w:hAnsi="Calibri" w:cs="Calibri"/>
          <w:szCs w:val="24"/>
        </w:rPr>
        <w:t>(</w:t>
      </w:r>
      <w:r w:rsidR="00EA0E42" w:rsidRPr="00AA4677">
        <w:rPr>
          <w:rFonts w:ascii="Calibri" w:eastAsia="Times New Roman" w:hAnsi="Calibri" w:cs="Calibri"/>
          <w:szCs w:val="24"/>
        </w:rPr>
        <w:t>Per OHRP: “</w:t>
      </w:r>
      <w:r w:rsidR="00EA0E42" w:rsidRPr="00AA4677">
        <w:rPr>
          <w:rFonts w:ascii="Calibri" w:hAnsi="Calibri" w:cs="Calibri"/>
          <w:szCs w:val="24"/>
          <w:shd w:val="clear" w:color="auto" w:fill="FFFFFF"/>
        </w:rPr>
        <w:t>Members whose training, background, and occupation would incline them to view scientific activities from the standpoint of someone within a behavioral or biomedical research discipline should be considered a scientist, while members whose training, background, and occupation would incline them to view research activities from a standpoint outside of any biomedical or behavioral scientific discipline should be considered a nonscientist.</w:t>
      </w:r>
      <w:r w:rsidR="00EA0E42" w:rsidRPr="00AA4677">
        <w:rPr>
          <w:rFonts w:ascii="Calibri" w:eastAsia="Times New Roman" w:hAnsi="Calibri" w:cs="Calibri"/>
          <w:szCs w:val="24"/>
        </w:rPr>
        <w:t>”</w:t>
      </w:r>
      <w:r w:rsidR="00F262B9" w:rsidRPr="00AA4677">
        <w:rPr>
          <w:rFonts w:ascii="Calibri" w:eastAsia="Times New Roman" w:hAnsi="Calibri" w:cs="Calibri"/>
          <w:szCs w:val="24"/>
        </w:rPr>
        <w:t>)</w:t>
      </w:r>
    </w:p>
    <w:p w14:paraId="732C47C3" w14:textId="53AFFFB7" w:rsidR="003E7C9E" w:rsidRPr="00AA4677" w:rsidRDefault="003E7C9E">
      <w:pPr>
        <w:pStyle w:val="ListParagraph"/>
        <w:numPr>
          <w:ilvl w:val="0"/>
          <w:numId w:val="79"/>
        </w:num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Indications of experience</w:t>
      </w:r>
      <w:r w:rsidR="00F262B9" w:rsidRPr="00AA4677">
        <w:rPr>
          <w:rFonts w:ascii="Calibri" w:eastAsia="Times New Roman" w:hAnsi="Calibri" w:cs="Calibri"/>
          <w:szCs w:val="24"/>
        </w:rPr>
        <w:t xml:space="preserve"> (specialties, etc.) </w:t>
      </w:r>
      <w:r w:rsidRPr="00AA4677">
        <w:rPr>
          <w:rFonts w:ascii="Calibri" w:eastAsia="Times New Roman" w:hAnsi="Calibri" w:cs="Calibri"/>
          <w:szCs w:val="24"/>
        </w:rPr>
        <w:t xml:space="preserve">sufficient to describe each member's </w:t>
      </w:r>
      <w:proofErr w:type="gramStart"/>
      <w:r w:rsidRPr="00AA4677">
        <w:rPr>
          <w:rFonts w:ascii="Calibri" w:eastAsia="Times New Roman" w:hAnsi="Calibri" w:cs="Calibri"/>
          <w:szCs w:val="24"/>
        </w:rPr>
        <w:t>chief</w:t>
      </w:r>
      <w:proofErr w:type="gramEnd"/>
      <w:r w:rsidRPr="00AA4677">
        <w:rPr>
          <w:rFonts w:ascii="Calibri" w:eastAsia="Times New Roman" w:hAnsi="Calibri" w:cs="Calibri"/>
          <w:szCs w:val="24"/>
        </w:rPr>
        <w:t xml:space="preserve"> anticipated contributions to</w:t>
      </w:r>
      <w:r w:rsidR="008C060B" w:rsidRPr="00AA4677">
        <w:rPr>
          <w:rFonts w:ascii="Calibri" w:eastAsia="Times New Roman" w:hAnsi="Calibri" w:cs="Calibri"/>
          <w:szCs w:val="24"/>
        </w:rPr>
        <w:t xml:space="preserve"> the </w:t>
      </w:r>
      <w:r w:rsidR="00EE7207" w:rsidRPr="00AA4677">
        <w:rPr>
          <w:rFonts w:ascii="Calibri" w:eastAsia="Times New Roman" w:hAnsi="Calibri" w:cs="Calibri"/>
          <w:szCs w:val="24"/>
        </w:rPr>
        <w:t>IRB</w:t>
      </w:r>
      <w:r w:rsidRPr="00AA4677">
        <w:rPr>
          <w:rFonts w:ascii="Calibri" w:eastAsia="Times New Roman" w:hAnsi="Calibri" w:cs="Calibri"/>
          <w:szCs w:val="24"/>
        </w:rPr>
        <w:t xml:space="preserve"> deliberations</w:t>
      </w:r>
    </w:p>
    <w:p w14:paraId="12845BA1" w14:textId="21F1DFF5" w:rsidR="006D6434" w:rsidRPr="00AA4677" w:rsidRDefault="006D6434">
      <w:pPr>
        <w:numPr>
          <w:ilvl w:val="0"/>
          <w:numId w:val="79"/>
        </w:numPr>
        <w:spacing w:after="0" w:line="240" w:lineRule="auto"/>
        <w:rPr>
          <w:rFonts w:ascii="Calibri" w:eastAsia="Times New Roman" w:hAnsi="Calibri" w:cs="Calibri"/>
          <w:szCs w:val="24"/>
        </w:rPr>
      </w:pPr>
      <w:r w:rsidRPr="00AA4677">
        <w:rPr>
          <w:rFonts w:ascii="Calibri" w:hAnsi="Calibri" w:cs="Calibri"/>
          <w:szCs w:val="24"/>
        </w:rPr>
        <w:t xml:space="preserve">Representative capacities of each IRB member; including which IRB member(s) is a prisoner representative, and which IRB members are knowledgeable about or experienced in working with children, pregnant women, adults with impaired decision-making capacity, and </w:t>
      </w:r>
      <w:r w:rsidRPr="00AA4677">
        <w:rPr>
          <w:rStyle w:val="BodyTextChar"/>
          <w:rFonts w:ascii="Calibri" w:eastAsiaTheme="minorHAnsi" w:hAnsi="Calibri" w:cs="Calibri"/>
        </w:rPr>
        <w:t xml:space="preserve">other </w:t>
      </w:r>
      <w:r w:rsidRPr="00AA4677">
        <w:rPr>
          <w:rFonts w:ascii="Calibri" w:hAnsi="Calibri" w:cs="Calibri"/>
          <w:szCs w:val="24"/>
        </w:rPr>
        <w:t xml:space="preserve">subjects vulnerable to coercion or undue influence commonly involved in </w:t>
      </w:r>
      <w:r w:rsidRPr="00AA4677">
        <w:rPr>
          <w:rStyle w:val="BodyTextChar"/>
          <w:rFonts w:ascii="Calibri" w:eastAsiaTheme="minorHAnsi" w:hAnsi="Calibri" w:cs="Calibri"/>
        </w:rPr>
        <w:t>research at SBU</w:t>
      </w:r>
    </w:p>
    <w:p w14:paraId="54F8AC85" w14:textId="572970A0" w:rsidR="003E7C9E" w:rsidRPr="00AA4677" w:rsidRDefault="003E7C9E">
      <w:pPr>
        <w:pStyle w:val="ListParagraph"/>
        <w:numPr>
          <w:ilvl w:val="0"/>
          <w:numId w:val="79"/>
        </w:num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 xml:space="preserve">Role on the </w:t>
      </w:r>
      <w:r w:rsidR="00EE7207" w:rsidRPr="00AA4677">
        <w:rPr>
          <w:rFonts w:ascii="Calibri" w:eastAsia="Times New Roman" w:hAnsi="Calibri" w:cs="Calibri"/>
          <w:szCs w:val="24"/>
        </w:rPr>
        <w:t>IRB</w:t>
      </w:r>
      <w:r w:rsidRPr="00AA4677">
        <w:rPr>
          <w:rFonts w:ascii="Calibri" w:eastAsia="Times New Roman" w:hAnsi="Calibri" w:cs="Calibri"/>
          <w:szCs w:val="24"/>
        </w:rPr>
        <w:t xml:space="preserve"> (Chair, Co-Chair, etc.)</w:t>
      </w:r>
    </w:p>
    <w:p w14:paraId="62FF3D09" w14:textId="6BD293EC" w:rsidR="003E7C9E" w:rsidRPr="00AA4677" w:rsidRDefault="003E7C9E">
      <w:pPr>
        <w:pStyle w:val="ListParagraph"/>
        <w:numPr>
          <w:ilvl w:val="0"/>
          <w:numId w:val="79"/>
        </w:num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Voting status (Any ex officio members are non-voting members)</w:t>
      </w:r>
    </w:p>
    <w:p w14:paraId="775A8F14" w14:textId="0881B0DC" w:rsidR="00CE614E" w:rsidRPr="00AA4677" w:rsidRDefault="00CE614E">
      <w:pPr>
        <w:pStyle w:val="ListParagraph"/>
        <w:numPr>
          <w:ilvl w:val="0"/>
          <w:numId w:val="79"/>
        </w:num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Alternate members</w:t>
      </w:r>
    </w:p>
    <w:p w14:paraId="74D5707C" w14:textId="726A9F97" w:rsidR="003E7C9E" w:rsidRPr="00AA4677" w:rsidRDefault="003E7C9E">
      <w:pPr>
        <w:pStyle w:val="ListParagraph"/>
        <w:numPr>
          <w:ilvl w:val="0"/>
          <w:numId w:val="79"/>
        </w:num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For alternate members, the primary member</w:t>
      </w:r>
      <w:r w:rsidR="00CE614E" w:rsidRPr="00AA4677">
        <w:rPr>
          <w:rFonts w:ascii="Calibri" w:eastAsia="Times New Roman" w:hAnsi="Calibri" w:cs="Calibri"/>
          <w:szCs w:val="24"/>
        </w:rPr>
        <w:t xml:space="preserve"> or class of primary members</w:t>
      </w:r>
      <w:r w:rsidRPr="00AA4677">
        <w:rPr>
          <w:rFonts w:ascii="Calibri" w:eastAsia="Times New Roman" w:hAnsi="Calibri" w:cs="Calibri"/>
          <w:szCs w:val="24"/>
        </w:rPr>
        <w:t xml:space="preserve"> for whom the member could substitute</w:t>
      </w:r>
    </w:p>
    <w:p w14:paraId="060F0D46" w14:textId="7FF2DB61"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w:t>
      </w:r>
      <w:r w:rsidR="00F262B9" w:rsidRPr="00AA4677">
        <w:rPr>
          <w:rFonts w:eastAsia="Times New Roman" w:cs="Times New Roman"/>
          <w:szCs w:val="24"/>
        </w:rPr>
        <w:t xml:space="preserve"> ORC </w:t>
      </w:r>
      <w:r w:rsidRPr="00AA4677">
        <w:rPr>
          <w:rFonts w:eastAsia="Times New Roman" w:cs="Times New Roman"/>
          <w:szCs w:val="24"/>
        </w:rPr>
        <w:t>must keep</w:t>
      </w:r>
      <w:r w:rsidR="008C060B"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membership list current</w:t>
      </w:r>
      <w:r w:rsidR="000042C4" w:rsidRPr="00AA4677">
        <w:rPr>
          <w:rFonts w:eastAsia="Times New Roman" w:cs="Times New Roman"/>
          <w:szCs w:val="24"/>
        </w:rPr>
        <w:t xml:space="preserve"> but are not required to submit changes to the roster to the Office for Human Research Protections (OHRP), Department of Health and Human Services (DHHS)</w:t>
      </w:r>
      <w:r w:rsidRPr="00AA4677">
        <w:rPr>
          <w:rFonts w:eastAsia="Times New Roman" w:cs="Times New Roman"/>
          <w:szCs w:val="24"/>
        </w:rPr>
        <w:t xml:space="preserve">.  </w:t>
      </w:r>
      <w:r w:rsidR="005B2282" w:rsidRPr="00AA4677">
        <w:rPr>
          <w:rFonts w:eastAsia="Times New Roman" w:cs="Times New Roman"/>
          <w:szCs w:val="24"/>
        </w:rPr>
        <w:t>The ORC keeps a resum</w:t>
      </w:r>
      <w:r w:rsidR="005B2282" w:rsidRPr="00AA4677">
        <w:rPr>
          <w:rFonts w:eastAsia="Times New Roman" w:cstheme="minorHAnsi"/>
          <w:szCs w:val="24"/>
        </w:rPr>
        <w:t>é</w:t>
      </w:r>
      <w:r w:rsidR="005B2282" w:rsidRPr="00AA4677">
        <w:rPr>
          <w:rFonts w:eastAsia="Times New Roman" w:cs="Times New Roman"/>
          <w:szCs w:val="24"/>
        </w:rPr>
        <w:t xml:space="preserve"> for each IRB member on file. The resum</w:t>
      </w:r>
      <w:r w:rsidR="005B2282" w:rsidRPr="00AA4677">
        <w:rPr>
          <w:rFonts w:eastAsia="Times New Roman" w:cstheme="minorHAnsi"/>
          <w:szCs w:val="24"/>
        </w:rPr>
        <w:t>é</w:t>
      </w:r>
      <w:r w:rsidR="005B2282" w:rsidRPr="00AA4677">
        <w:rPr>
          <w:rFonts w:eastAsia="Times New Roman" w:cs="Times New Roman"/>
          <w:szCs w:val="24"/>
        </w:rPr>
        <w:t>s are updated every 3 years.</w:t>
      </w:r>
    </w:p>
    <w:p w14:paraId="61662145" w14:textId="6F930D68" w:rsidR="00E2335C" w:rsidRPr="00AA4677" w:rsidRDefault="003E7C9E" w:rsidP="00696B35">
      <w:pPr>
        <w:pStyle w:val="Heading2"/>
      </w:pPr>
      <w:bookmarkStart w:id="84" w:name="_Toc192678191"/>
      <w:r w:rsidRPr="00AA4677">
        <w:t>4.6 Documentation of Exemptions</w:t>
      </w:r>
      <w:bookmarkEnd w:id="84"/>
    </w:p>
    <w:p w14:paraId="0BF2A2A6" w14:textId="77777777" w:rsidR="0030581A" w:rsidRPr="00AA4677" w:rsidRDefault="0030581A" w:rsidP="00696B35">
      <w:pPr>
        <w:pStyle w:val="Heading2"/>
      </w:pPr>
    </w:p>
    <w:p w14:paraId="60CE81E2" w14:textId="0B65F49F" w:rsidR="003E7C9E" w:rsidRPr="00AA4677" w:rsidRDefault="003E7C9E" w:rsidP="000042C4">
      <w:r w:rsidRPr="00AA4677">
        <w:rPr>
          <w:rFonts w:eastAsia="Times New Roman" w:cs="Times New Roman"/>
          <w:szCs w:val="24"/>
        </w:rPr>
        <w:t>Documentation of verified exemptions consists of the reviewer’s citation of a specific exemption category and written concurrence that the activity described i</w:t>
      </w:r>
      <w:r w:rsidR="00B72AC3" w:rsidRPr="00AA4677">
        <w:rPr>
          <w:rFonts w:eastAsia="Times New Roman" w:cs="Times New Roman"/>
          <w:szCs w:val="24"/>
        </w:rPr>
        <w:t>n the investigator’s request</w:t>
      </w:r>
      <w:r w:rsidRPr="00AA4677">
        <w:rPr>
          <w:rFonts w:eastAsia="Times New Roman" w:cs="Times New Roman"/>
          <w:szCs w:val="24"/>
        </w:rPr>
        <w:t xml:space="preserve"> satisfies the conditions of the cited exemption category as detailed in Section 3.5.</w:t>
      </w:r>
      <w:r w:rsidR="003311A4" w:rsidRPr="00AA4677">
        <w:rPr>
          <w:rFonts w:eastAsia="Times New Roman" w:cs="Times New Roman"/>
          <w:szCs w:val="24"/>
        </w:rPr>
        <w:t>2.</w:t>
      </w:r>
      <w:r w:rsidR="008E3614" w:rsidRPr="00AA4677">
        <w:rPr>
          <w:rFonts w:eastAsia="Times New Roman" w:cs="Times New Roman"/>
          <w:szCs w:val="24"/>
        </w:rPr>
        <w:t xml:space="preserve"> </w:t>
      </w:r>
      <w:r w:rsidR="008E3614" w:rsidRPr="00AA4677">
        <w:t>When an exemption includes limited IRB review, the documentation will include this fact and the IRB action taken on those aspects of the research subject to limited IRB review in accordance with the procedures described for the review procedures used (expedited or convened</w:t>
      </w:r>
      <w:r w:rsidR="00B72AC3" w:rsidRPr="00AA4677">
        <w:t xml:space="preserve"> board) elsewhere in this policy</w:t>
      </w:r>
      <w:r w:rsidR="008E3614" w:rsidRPr="00AA4677">
        <w:t>.</w:t>
      </w:r>
    </w:p>
    <w:p w14:paraId="65E6854F" w14:textId="110B7251" w:rsidR="00E2335C" w:rsidRPr="00AA4677" w:rsidRDefault="003E7C9E" w:rsidP="00696B35">
      <w:pPr>
        <w:pStyle w:val="Heading2"/>
      </w:pPr>
      <w:bookmarkStart w:id="85" w:name="_Toc192678192"/>
      <w:r w:rsidRPr="00AA4677">
        <w:t>4.7 Documentation of Expedited Reviews</w:t>
      </w:r>
      <w:bookmarkEnd w:id="85"/>
    </w:p>
    <w:p w14:paraId="08C33134" w14:textId="77777777" w:rsidR="00FC7AFD" w:rsidRPr="00AA4677" w:rsidRDefault="00FC7AFD" w:rsidP="00696B35">
      <w:pPr>
        <w:pStyle w:val="Heading2"/>
      </w:pPr>
    </w:p>
    <w:p w14:paraId="450EFA3E" w14:textId="26174609" w:rsidR="008E3614" w:rsidRPr="00AA4677" w:rsidRDefault="008E3614" w:rsidP="008E3614">
      <w:r w:rsidRPr="00AA4677">
        <w:t xml:space="preserve">IRB records for initial and continuing review by the expedited procedure must include the reviewer’s verification that the study qualifies for expedited review including the specific </w:t>
      </w:r>
      <w:r w:rsidRPr="00AA4677">
        <w:lastRenderedPageBreak/>
        <w:t>permissible category(</w:t>
      </w:r>
      <w:proofErr w:type="spellStart"/>
      <w:r w:rsidRPr="00AA4677">
        <w:t>ies</w:t>
      </w:r>
      <w:proofErr w:type="spellEnd"/>
      <w:r w:rsidRPr="00AA4677">
        <w:t>) or status as exempt but requiring limited IRB review, documentation that the activity satisfies the criteria for approval, the period of approval (when applicable), and any determinations required by the regulations including study-specific findings justifying the following determinations:</w:t>
      </w:r>
    </w:p>
    <w:p w14:paraId="6AA30186" w14:textId="77777777" w:rsidR="008E3614" w:rsidRPr="00AA4677" w:rsidRDefault="008E3614">
      <w:pPr>
        <w:numPr>
          <w:ilvl w:val="0"/>
          <w:numId w:val="149"/>
        </w:numPr>
        <w:spacing w:after="0" w:line="240" w:lineRule="auto"/>
        <w:ind w:left="360"/>
      </w:pPr>
      <w:r w:rsidRPr="00AA4677">
        <w:t xml:space="preserve">Approving a procedure which waives or alters the informed consent </w:t>
      </w:r>
      <w:proofErr w:type="gramStart"/>
      <w:r w:rsidRPr="00AA4677">
        <w:t>process;</w:t>
      </w:r>
      <w:proofErr w:type="gramEnd"/>
    </w:p>
    <w:p w14:paraId="0A7E6C31" w14:textId="77777777" w:rsidR="008E3614" w:rsidRPr="00AA4677" w:rsidRDefault="008E3614">
      <w:pPr>
        <w:numPr>
          <w:ilvl w:val="0"/>
          <w:numId w:val="149"/>
        </w:numPr>
        <w:spacing w:after="0" w:line="240" w:lineRule="auto"/>
        <w:ind w:left="360"/>
      </w:pPr>
      <w:r w:rsidRPr="00AA4677">
        <w:t xml:space="preserve">Approving a procedure which waives the requirement for documentation of </w:t>
      </w:r>
      <w:proofErr w:type="gramStart"/>
      <w:r w:rsidRPr="00AA4677">
        <w:t>consent;</w:t>
      </w:r>
      <w:proofErr w:type="gramEnd"/>
    </w:p>
    <w:p w14:paraId="2F09469B" w14:textId="77777777" w:rsidR="008E3614" w:rsidRPr="00AA4677" w:rsidRDefault="008E3614">
      <w:pPr>
        <w:numPr>
          <w:ilvl w:val="0"/>
          <w:numId w:val="149"/>
        </w:numPr>
        <w:spacing w:after="0" w:line="240" w:lineRule="auto"/>
        <w:ind w:left="360"/>
      </w:pPr>
      <w:r w:rsidRPr="00AA4677">
        <w:t xml:space="preserve">Approving research involving pregnant women, human fetuses, or </w:t>
      </w:r>
      <w:proofErr w:type="gramStart"/>
      <w:r w:rsidRPr="00AA4677">
        <w:t>neonates;</w:t>
      </w:r>
      <w:proofErr w:type="gramEnd"/>
    </w:p>
    <w:p w14:paraId="11E661A2" w14:textId="77777777" w:rsidR="008E3614" w:rsidRPr="00AA4677" w:rsidRDefault="008E3614">
      <w:pPr>
        <w:numPr>
          <w:ilvl w:val="0"/>
          <w:numId w:val="149"/>
        </w:numPr>
        <w:spacing w:after="0" w:line="240" w:lineRule="auto"/>
        <w:ind w:left="360"/>
      </w:pPr>
      <w:r w:rsidRPr="00AA4677">
        <w:t xml:space="preserve">Approving research involving </w:t>
      </w:r>
      <w:proofErr w:type="gramStart"/>
      <w:r w:rsidRPr="00AA4677">
        <w:t>prisoners;</w:t>
      </w:r>
      <w:proofErr w:type="gramEnd"/>
    </w:p>
    <w:p w14:paraId="67E2EF82" w14:textId="4F42F4E4" w:rsidR="000042C4" w:rsidRPr="00AA4677" w:rsidRDefault="008E3614">
      <w:pPr>
        <w:numPr>
          <w:ilvl w:val="0"/>
          <w:numId w:val="149"/>
        </w:numPr>
        <w:spacing w:after="0" w:line="240" w:lineRule="auto"/>
        <w:ind w:left="360"/>
      </w:pPr>
      <w:r w:rsidRPr="00AA4677">
        <w:t>Approving research involving children.</w:t>
      </w:r>
    </w:p>
    <w:p w14:paraId="33FD21EE" w14:textId="77777777" w:rsidR="00FC7AFD" w:rsidRPr="00AA4677" w:rsidRDefault="00FC7AFD" w:rsidP="00696B35">
      <w:pPr>
        <w:pStyle w:val="Heading2"/>
      </w:pPr>
    </w:p>
    <w:p w14:paraId="5EDF493F" w14:textId="7A554320" w:rsidR="003E7C9E" w:rsidRPr="00AA4677" w:rsidRDefault="003E7C9E" w:rsidP="00696B35">
      <w:pPr>
        <w:pStyle w:val="Heading2"/>
      </w:pPr>
      <w:bookmarkStart w:id="86" w:name="_Toc192678193"/>
      <w:r w:rsidRPr="00AA4677">
        <w:t>4.8 Access to IRB Records</w:t>
      </w:r>
      <w:bookmarkEnd w:id="86"/>
    </w:p>
    <w:p w14:paraId="0F98170E" w14:textId="60993CB9" w:rsidR="003E7C9E" w:rsidRPr="00AA4677" w:rsidRDefault="003E7C9E" w:rsidP="003E7C9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has policies and procedures to protect the confidentiality of research information:</w:t>
      </w:r>
    </w:p>
    <w:p w14:paraId="4B8C9FA8" w14:textId="4D3AD894" w:rsidR="00035701" w:rsidRPr="00AA4677" w:rsidRDefault="003E7C9E">
      <w:pPr>
        <w:pStyle w:val="ListParagraph"/>
        <w:numPr>
          <w:ilvl w:val="0"/>
          <w:numId w:val="80"/>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All paper </w:t>
      </w:r>
      <w:r w:rsidR="00EE7207" w:rsidRPr="00AA4677">
        <w:rPr>
          <w:rFonts w:eastAsia="Times New Roman" w:cs="Times New Roman"/>
          <w:szCs w:val="24"/>
        </w:rPr>
        <w:t>IRB</w:t>
      </w:r>
      <w:r w:rsidRPr="00AA4677">
        <w:rPr>
          <w:rFonts w:eastAsia="Times New Roman" w:cs="Times New Roman"/>
          <w:szCs w:val="24"/>
        </w:rPr>
        <w:t xml:space="preserve"> records are kept secure in </w:t>
      </w:r>
      <w:r w:rsidR="00F262B9" w:rsidRPr="00AA4677">
        <w:rPr>
          <w:rFonts w:eastAsia="Times New Roman" w:cs="Times New Roman"/>
          <w:szCs w:val="24"/>
        </w:rPr>
        <w:t>the ORC, which</w:t>
      </w:r>
      <w:r w:rsidRPr="00AA4677">
        <w:rPr>
          <w:rFonts w:eastAsia="Times New Roman" w:cs="Times New Roman"/>
          <w:szCs w:val="24"/>
        </w:rPr>
        <w:t xml:space="preserve"> is closed and locked when unattended.</w:t>
      </w:r>
    </w:p>
    <w:p w14:paraId="525D8EEA" w14:textId="47E4B84C" w:rsidR="003E7C9E" w:rsidRPr="00AA4677" w:rsidRDefault="00035701">
      <w:pPr>
        <w:pStyle w:val="ListParagraph"/>
        <w:numPr>
          <w:ilvl w:val="0"/>
          <w:numId w:val="80"/>
        </w:numPr>
        <w:shd w:val="clear" w:color="auto" w:fill="FFFFFF"/>
        <w:spacing w:after="0" w:line="240" w:lineRule="auto"/>
        <w:rPr>
          <w:rFonts w:eastAsia="Times New Roman" w:cs="Times New Roman"/>
          <w:szCs w:val="24"/>
        </w:rPr>
      </w:pPr>
      <w:proofErr w:type="gramStart"/>
      <w:r w:rsidRPr="00AA4677">
        <w:rPr>
          <w:rFonts w:eastAsia="Times New Roman" w:cs="Times New Roman"/>
          <w:szCs w:val="24"/>
        </w:rPr>
        <w:t>The University</w:t>
      </w:r>
      <w:r w:rsidR="003E7C9E" w:rsidRPr="00AA4677">
        <w:rPr>
          <w:rFonts w:eastAsia="Times New Roman" w:cs="Times New Roman"/>
          <w:szCs w:val="24"/>
        </w:rPr>
        <w:t xml:space="preserve">’s </w:t>
      </w:r>
      <w:r w:rsidR="00886AC0" w:rsidRPr="00AA4677">
        <w:rPr>
          <w:rFonts w:eastAsia="Times New Roman" w:cs="Times New Roman"/>
          <w:szCs w:val="24"/>
        </w:rPr>
        <w:t xml:space="preserve">IRB </w:t>
      </w:r>
      <w:r w:rsidR="003E7C9E" w:rsidRPr="00AA4677">
        <w:rPr>
          <w:rFonts w:eastAsia="Times New Roman" w:cs="Times New Roman"/>
          <w:szCs w:val="24"/>
        </w:rPr>
        <w:t xml:space="preserve">electronic </w:t>
      </w:r>
      <w:r w:rsidR="00B9453B" w:rsidRPr="00AA4677">
        <w:rPr>
          <w:rFonts w:eastAsia="Times New Roman" w:cs="Times New Roman"/>
          <w:szCs w:val="24"/>
        </w:rPr>
        <w:t>management</w:t>
      </w:r>
      <w:r w:rsidR="003E7C9E" w:rsidRPr="00AA4677">
        <w:rPr>
          <w:rFonts w:eastAsia="Times New Roman" w:cs="Times New Roman"/>
          <w:szCs w:val="24"/>
        </w:rPr>
        <w:t xml:space="preserve"> program,</w:t>
      </w:r>
      <w:proofErr w:type="gramEnd"/>
      <w:r w:rsidR="003E7C9E" w:rsidRPr="00AA4677">
        <w:rPr>
          <w:rFonts w:eastAsia="Times New Roman" w:cs="Times New Roman"/>
          <w:szCs w:val="24"/>
        </w:rPr>
        <w:t xml:space="preserve"> </w:t>
      </w:r>
      <w:r w:rsidR="00886AC0" w:rsidRPr="00AA4677">
        <w:t>is hosted at a data center facility on the Main Campus. Facilities are se</w:t>
      </w:r>
      <w:r w:rsidR="000042C4" w:rsidRPr="00AA4677">
        <w:t xml:space="preserve">cure, data is </w:t>
      </w:r>
      <w:proofErr w:type="gramStart"/>
      <w:r w:rsidR="000042C4" w:rsidRPr="00AA4677">
        <w:t>mirrored, and</w:t>
      </w:r>
      <w:proofErr w:type="gramEnd"/>
      <w:r w:rsidR="00886AC0" w:rsidRPr="00AA4677">
        <w:t xml:space="preserve"> is backed up nightly. Authorized users have restricted access to the facility. Security precautions are state of the art.  Security standards associated with user ids and passwords are in accordance with generally accepted commercial and federal security. Certified SSL (</w:t>
      </w:r>
      <w:proofErr w:type="gramStart"/>
      <w:r w:rsidR="00886AC0" w:rsidRPr="00AA4677">
        <w:t>256 bit</w:t>
      </w:r>
      <w:proofErr w:type="gramEnd"/>
      <w:r w:rsidR="00886AC0" w:rsidRPr="00AA4677">
        <w:t xml:space="preserve"> Secured Socket Layer technology) encryption is standard for all web-based transmissions. Strict permission rules ensure that only approved individuals have access to the data.</w:t>
      </w:r>
    </w:p>
    <w:p w14:paraId="6A408B2F" w14:textId="60137447" w:rsidR="003E7C9E" w:rsidRPr="00AA4677" w:rsidRDefault="003E7C9E">
      <w:pPr>
        <w:pStyle w:val="ListParagraph"/>
        <w:numPr>
          <w:ilvl w:val="0"/>
          <w:numId w:val="80"/>
        </w:numPr>
        <w:shd w:val="clear" w:color="auto" w:fill="FFFFFF"/>
        <w:spacing w:after="0" w:line="240" w:lineRule="auto"/>
        <w:rPr>
          <w:rFonts w:eastAsia="Times New Roman" w:cs="Times New Roman"/>
          <w:szCs w:val="24"/>
        </w:rPr>
      </w:pPr>
      <w:r w:rsidRPr="00AA4677">
        <w:rPr>
          <w:rFonts w:eastAsia="Times New Roman" w:cs="Times New Roman"/>
          <w:szCs w:val="24"/>
        </w:rPr>
        <w:t>Access to</w:t>
      </w:r>
      <w:r w:rsidR="00A60358" w:rsidRPr="00AA4677">
        <w:rPr>
          <w:rFonts w:eastAsia="Times New Roman" w:cs="Times New Roman"/>
          <w:szCs w:val="24"/>
        </w:rPr>
        <w:t xml:space="preserve"> </w:t>
      </w:r>
      <w:r w:rsidRPr="00AA4677">
        <w:rPr>
          <w:rFonts w:eastAsia="Times New Roman" w:cs="Times New Roman"/>
          <w:szCs w:val="24"/>
        </w:rPr>
        <w:t xml:space="preserve">IRB records, whether paper or electronic, is limited to the IO, </w:t>
      </w:r>
      <w:r w:rsidR="00EE7207" w:rsidRPr="00AA4677">
        <w:rPr>
          <w:rFonts w:eastAsia="Times New Roman" w:cs="Times New Roman"/>
          <w:szCs w:val="24"/>
        </w:rPr>
        <w:t>IRB</w:t>
      </w:r>
      <w:r w:rsidRPr="00AA4677">
        <w:rPr>
          <w:rFonts w:eastAsia="Times New Roman" w:cs="Times New Roman"/>
          <w:szCs w:val="24"/>
        </w:rPr>
        <w:t xml:space="preserve"> Chair, </w:t>
      </w:r>
      <w:r w:rsidR="00EE7207" w:rsidRPr="00AA4677">
        <w:rPr>
          <w:rFonts w:eastAsia="Times New Roman" w:cs="Times New Roman"/>
          <w:szCs w:val="24"/>
        </w:rPr>
        <w:t>IRB</w:t>
      </w:r>
      <w:r w:rsidRPr="00AA4677">
        <w:rPr>
          <w:rFonts w:eastAsia="Times New Roman" w:cs="Times New Roman"/>
          <w:szCs w:val="24"/>
        </w:rPr>
        <w:t xml:space="preserve"> members, IRB Administrators, IRB staff, </w:t>
      </w:r>
      <w:r w:rsidR="00C66572" w:rsidRPr="00AA4677">
        <w:rPr>
          <w:rFonts w:eastAsia="Times New Roman" w:cs="Times New Roman"/>
          <w:szCs w:val="24"/>
        </w:rPr>
        <w:t>AVP-RC</w:t>
      </w:r>
      <w:r w:rsidR="00DD6416" w:rsidRPr="00AA4677">
        <w:rPr>
          <w:rFonts w:eastAsia="Times New Roman" w:cs="Times New Roman"/>
          <w:szCs w:val="24"/>
        </w:rPr>
        <w:t xml:space="preserve">, </w:t>
      </w:r>
      <w:r w:rsidRPr="00AA4677">
        <w:rPr>
          <w:rFonts w:eastAsia="Times New Roman" w:cs="Times New Roman"/>
          <w:szCs w:val="24"/>
        </w:rPr>
        <w:t xml:space="preserve">authorized institutional officials, and officials of Federal and state regulatory agencies (OHRP, FDA). Appropriate accreditation bodies are </w:t>
      </w:r>
      <w:proofErr w:type="gramStart"/>
      <w:r w:rsidRPr="00AA4677">
        <w:rPr>
          <w:rFonts w:eastAsia="Times New Roman" w:cs="Times New Roman"/>
          <w:szCs w:val="24"/>
        </w:rPr>
        <w:t>provided</w:t>
      </w:r>
      <w:proofErr w:type="gramEnd"/>
      <w:r w:rsidRPr="00AA4677">
        <w:rPr>
          <w:rFonts w:eastAsia="Times New Roman" w:cs="Times New Roman"/>
          <w:szCs w:val="24"/>
        </w:rPr>
        <w:t xml:space="preserve"> access and may recommend additional procedures for maintaining security of IRB records.  All other access to IRB records is limited to those who have legitimate need for them, as determined by the </w:t>
      </w:r>
      <w:r w:rsidR="00C66572" w:rsidRPr="00AA4677">
        <w:rPr>
          <w:rFonts w:eastAsia="Times New Roman" w:cs="Times New Roman"/>
          <w:szCs w:val="24"/>
        </w:rPr>
        <w:t>AVP-RC</w:t>
      </w:r>
      <w:r w:rsidR="00DD6416" w:rsidRPr="00AA4677">
        <w:rPr>
          <w:rFonts w:eastAsia="Times New Roman" w:cs="Times New Roman"/>
          <w:szCs w:val="24"/>
        </w:rPr>
        <w:t xml:space="preserve">, or the </w:t>
      </w:r>
      <w:r w:rsidRPr="00AA4677">
        <w:rPr>
          <w:rFonts w:eastAsia="Times New Roman" w:cs="Times New Roman"/>
          <w:szCs w:val="24"/>
        </w:rPr>
        <w:t>IO. </w:t>
      </w:r>
    </w:p>
    <w:p w14:paraId="76DD0C9E" w14:textId="473FA5CD" w:rsidR="00FC174E" w:rsidRPr="00AA4677" w:rsidRDefault="00FC174E">
      <w:pPr>
        <w:pStyle w:val="ListParagraph"/>
        <w:numPr>
          <w:ilvl w:val="0"/>
          <w:numId w:val="80"/>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Records are accessible for inspection and copying by authorized representatives of </w:t>
      </w:r>
      <w:r w:rsidR="00A60358" w:rsidRPr="00AA4677">
        <w:rPr>
          <w:rFonts w:eastAsia="Times New Roman" w:cs="Times New Roman"/>
          <w:szCs w:val="24"/>
        </w:rPr>
        <w:t>f</w:t>
      </w:r>
      <w:r w:rsidRPr="00AA4677">
        <w:rPr>
          <w:rFonts w:eastAsia="Times New Roman" w:cs="Times New Roman"/>
          <w:szCs w:val="24"/>
        </w:rPr>
        <w:t>ederal regulatory agencies during regular business hours.</w:t>
      </w:r>
    </w:p>
    <w:p w14:paraId="193A137E" w14:textId="0FD9035C" w:rsidR="00FC174E" w:rsidRPr="00AA4677" w:rsidRDefault="00FC174E">
      <w:pPr>
        <w:pStyle w:val="ListParagraph"/>
        <w:numPr>
          <w:ilvl w:val="0"/>
          <w:numId w:val="80"/>
        </w:numPr>
        <w:shd w:val="clear" w:color="auto" w:fill="FFFFFF"/>
        <w:spacing w:after="0" w:line="240" w:lineRule="auto"/>
        <w:rPr>
          <w:rFonts w:eastAsia="Times New Roman" w:cs="Times New Roman"/>
          <w:szCs w:val="24"/>
        </w:rPr>
      </w:pPr>
      <w:r w:rsidRPr="00AA4677">
        <w:rPr>
          <w:rFonts w:eastAsia="Times New Roman" w:cs="Times New Roman"/>
          <w:szCs w:val="24"/>
        </w:rPr>
        <w:t>Paper records m</w:t>
      </w:r>
      <w:r w:rsidR="000042C4" w:rsidRPr="00AA4677">
        <w:rPr>
          <w:rFonts w:eastAsia="Times New Roman" w:cs="Times New Roman"/>
          <w:szCs w:val="24"/>
        </w:rPr>
        <w:t>ay not be removed from the ORC o</w:t>
      </w:r>
      <w:r w:rsidRPr="00AA4677">
        <w:rPr>
          <w:rFonts w:eastAsia="Times New Roman" w:cs="Times New Roman"/>
          <w:szCs w:val="24"/>
        </w:rPr>
        <w:t>ffice; however, the IRB staff will provide copies of records for authorized personnel if requested. </w:t>
      </w:r>
    </w:p>
    <w:p w14:paraId="640A999F" w14:textId="3CE7B330" w:rsidR="00FC174E" w:rsidRPr="00AA4677" w:rsidRDefault="00FC174E">
      <w:pPr>
        <w:pStyle w:val="ListParagraph"/>
        <w:numPr>
          <w:ilvl w:val="0"/>
          <w:numId w:val="80"/>
        </w:numPr>
        <w:shd w:val="clear" w:color="auto" w:fill="FFFFFF"/>
        <w:spacing w:after="0" w:line="240" w:lineRule="auto"/>
        <w:rPr>
          <w:rFonts w:eastAsia="Times New Roman" w:cs="Times New Roman"/>
          <w:szCs w:val="24"/>
        </w:rPr>
      </w:pPr>
      <w:r w:rsidRPr="00AA4677">
        <w:rPr>
          <w:rFonts w:eastAsia="Times New Roman" w:cs="Times New Roman"/>
          <w:szCs w:val="24"/>
        </w:rPr>
        <w:t>All other access to IRB study files, paper or electronic, is prohibited.</w:t>
      </w:r>
    </w:p>
    <w:p w14:paraId="676ECAF2" w14:textId="77777777" w:rsidR="007C6697" w:rsidRPr="00AA4677" w:rsidRDefault="007C6697" w:rsidP="00696B35">
      <w:pPr>
        <w:pStyle w:val="Heading2"/>
      </w:pPr>
    </w:p>
    <w:p w14:paraId="63F2FA29" w14:textId="7B73EF00" w:rsidR="002876EC" w:rsidRPr="00AA4677" w:rsidRDefault="00FC174E" w:rsidP="00696B35">
      <w:pPr>
        <w:pStyle w:val="Heading2"/>
      </w:pPr>
      <w:bookmarkStart w:id="87" w:name="_Toc192678194"/>
      <w:r w:rsidRPr="00AA4677">
        <w:t>4.9 Record Retention</w:t>
      </w:r>
      <w:bookmarkEnd w:id="87"/>
    </w:p>
    <w:p w14:paraId="34415876" w14:textId="77777777" w:rsidR="002876EC" w:rsidRPr="00AA4677" w:rsidRDefault="002876EC" w:rsidP="00696B35">
      <w:pPr>
        <w:pStyle w:val="Heading2"/>
      </w:pPr>
    </w:p>
    <w:p w14:paraId="5171D7B6" w14:textId="6341875E" w:rsidR="00F87FCD" w:rsidRPr="00AA4677" w:rsidRDefault="00F87FCD" w:rsidP="00F87FCD">
      <w:pPr>
        <w:shd w:val="clear" w:color="auto" w:fill="FFFFFF"/>
        <w:spacing w:after="300" w:line="240" w:lineRule="auto"/>
        <w:rPr>
          <w:rFonts w:eastAsia="Times New Roman" w:cs="Helvetica"/>
          <w:szCs w:val="24"/>
        </w:rPr>
      </w:pPr>
      <w:r w:rsidRPr="00AA4677">
        <w:rPr>
          <w:rFonts w:eastAsia="Times New Roman" w:cs="Helvetica"/>
          <w:szCs w:val="24"/>
        </w:rPr>
        <w:t xml:space="preserve">Records pertaining to IRB-approved research must be retained for a defined </w:t>
      </w:r>
      <w:proofErr w:type="gramStart"/>
      <w:r w:rsidRPr="00AA4677">
        <w:rPr>
          <w:rFonts w:eastAsia="Times New Roman" w:cs="Helvetica"/>
          <w:szCs w:val="24"/>
        </w:rPr>
        <w:t>time period</w:t>
      </w:r>
      <w:proofErr w:type="gramEnd"/>
      <w:r w:rsidRPr="00AA4677">
        <w:rPr>
          <w:rFonts w:eastAsia="Times New Roman" w:cs="Helvetica"/>
          <w:szCs w:val="24"/>
        </w:rPr>
        <w:t xml:space="preserve"> once the research is permanently closed.</w:t>
      </w:r>
    </w:p>
    <w:p w14:paraId="176D3C62" w14:textId="77777777" w:rsidR="00F87FCD" w:rsidRPr="00AA4677" w:rsidRDefault="00F87FCD" w:rsidP="00F87FCD">
      <w:pPr>
        <w:shd w:val="clear" w:color="auto" w:fill="FFFFFF"/>
        <w:spacing w:after="0" w:line="240" w:lineRule="auto"/>
        <w:rPr>
          <w:rFonts w:eastAsia="Times New Roman" w:cs="Helvetica"/>
          <w:szCs w:val="24"/>
        </w:rPr>
      </w:pPr>
      <w:r w:rsidRPr="00AA4677">
        <w:rPr>
          <w:rFonts w:eastAsia="Times New Roman" w:cs="Helvetica"/>
          <w:b/>
          <w:bCs/>
          <w:szCs w:val="24"/>
          <w:bdr w:val="none" w:sz="0" w:space="0" w:color="auto" w:frame="1"/>
        </w:rPr>
        <w:lastRenderedPageBreak/>
        <w:t xml:space="preserve">Research is permanently closed if </w:t>
      </w:r>
      <w:proofErr w:type="gramStart"/>
      <w:r w:rsidRPr="00AA4677">
        <w:rPr>
          <w:rFonts w:eastAsia="Times New Roman" w:cs="Helvetica"/>
          <w:b/>
          <w:bCs/>
          <w:szCs w:val="24"/>
          <w:bdr w:val="none" w:sz="0" w:space="0" w:color="auto" w:frame="1"/>
        </w:rPr>
        <w:t>all of</w:t>
      </w:r>
      <w:proofErr w:type="gramEnd"/>
      <w:r w:rsidRPr="00AA4677">
        <w:rPr>
          <w:rFonts w:eastAsia="Times New Roman" w:cs="Helvetica"/>
          <w:b/>
          <w:bCs/>
          <w:szCs w:val="24"/>
          <w:bdr w:val="none" w:sz="0" w:space="0" w:color="auto" w:frame="1"/>
        </w:rPr>
        <w:t xml:space="preserve"> the following conditions are met:</w:t>
      </w:r>
    </w:p>
    <w:p w14:paraId="54B23838" w14:textId="55D690D5" w:rsidR="00F87FCD" w:rsidRPr="00AA4677" w:rsidRDefault="00F87FCD">
      <w:pPr>
        <w:numPr>
          <w:ilvl w:val="0"/>
          <w:numId w:val="206"/>
        </w:numPr>
        <w:shd w:val="clear" w:color="auto" w:fill="FFFFFF"/>
        <w:spacing w:before="100" w:beforeAutospacing="1" w:after="100" w:afterAutospacing="1" w:line="240" w:lineRule="auto"/>
        <w:rPr>
          <w:rFonts w:eastAsia="Times New Roman" w:cs="Helvetica"/>
          <w:szCs w:val="24"/>
        </w:rPr>
      </w:pPr>
      <w:r w:rsidRPr="00AA4677">
        <w:rPr>
          <w:rFonts w:eastAsia="Times New Roman" w:cs="Arial"/>
          <w:szCs w:val="24"/>
        </w:rPr>
        <w:t>No new subjects will be enrolled</w:t>
      </w:r>
      <w:r w:rsidR="00D64EE2" w:rsidRPr="00AA4677">
        <w:rPr>
          <w:rFonts w:eastAsia="Times New Roman" w:cs="Arial"/>
          <w:szCs w:val="24"/>
        </w:rPr>
        <w:t>;</w:t>
      </w:r>
      <w:r w:rsidRPr="00AA4677">
        <w:rPr>
          <w:rFonts w:eastAsia="Times New Roman" w:cs="Arial"/>
          <w:szCs w:val="24"/>
        </w:rPr>
        <w:t> </w:t>
      </w:r>
      <w:r w:rsidRPr="00AA4677">
        <w:rPr>
          <w:rFonts w:eastAsia="Times New Roman" w:cs="Arial"/>
          <w:b/>
          <w:szCs w:val="24"/>
        </w:rPr>
        <w:t>and</w:t>
      </w:r>
    </w:p>
    <w:p w14:paraId="54239429" w14:textId="52C9B1DB" w:rsidR="00F87FCD" w:rsidRPr="00AA4677" w:rsidRDefault="000042C4">
      <w:pPr>
        <w:numPr>
          <w:ilvl w:val="0"/>
          <w:numId w:val="206"/>
        </w:num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t>There are</w:t>
      </w:r>
      <w:r w:rsidR="00F87FCD" w:rsidRPr="00AA4677">
        <w:rPr>
          <w:rFonts w:eastAsia="Times New Roman" w:cs="Arial"/>
          <w:szCs w:val="24"/>
        </w:rPr>
        <w:t xml:space="preserve"> no more intervention</w:t>
      </w:r>
      <w:r w:rsidRPr="00AA4677">
        <w:rPr>
          <w:rFonts w:eastAsia="Times New Roman" w:cs="Arial"/>
          <w:szCs w:val="24"/>
        </w:rPr>
        <w:t>s</w:t>
      </w:r>
      <w:r w:rsidR="00F87FCD" w:rsidRPr="00AA4677">
        <w:rPr>
          <w:rFonts w:eastAsia="Times New Roman" w:cs="Arial"/>
          <w:szCs w:val="24"/>
        </w:rPr>
        <w:t xml:space="preserve"> or interaction</w:t>
      </w:r>
      <w:r w:rsidRPr="00AA4677">
        <w:rPr>
          <w:rFonts w:eastAsia="Times New Roman" w:cs="Arial"/>
          <w:szCs w:val="24"/>
        </w:rPr>
        <w:t>s</w:t>
      </w:r>
      <w:r w:rsidR="00F87FCD" w:rsidRPr="00AA4677">
        <w:rPr>
          <w:rFonts w:eastAsia="Times New Roman" w:cs="Arial"/>
          <w:szCs w:val="24"/>
        </w:rPr>
        <w:t xml:space="preserve"> with enrolled subjects</w:t>
      </w:r>
      <w:r w:rsidR="00D64EE2" w:rsidRPr="00AA4677">
        <w:rPr>
          <w:rFonts w:eastAsia="Times New Roman" w:cs="Arial"/>
          <w:szCs w:val="24"/>
        </w:rPr>
        <w:t>;</w:t>
      </w:r>
      <w:r w:rsidR="00F87FCD" w:rsidRPr="00AA4677">
        <w:rPr>
          <w:rFonts w:eastAsia="Times New Roman" w:cs="Arial"/>
          <w:szCs w:val="24"/>
        </w:rPr>
        <w:t> </w:t>
      </w:r>
      <w:r w:rsidR="00F87FCD" w:rsidRPr="00AA4677">
        <w:rPr>
          <w:rFonts w:eastAsia="Times New Roman" w:cs="Arial"/>
          <w:b/>
          <w:szCs w:val="24"/>
        </w:rPr>
        <w:t>and</w:t>
      </w:r>
    </w:p>
    <w:p w14:paraId="73F7BE3C" w14:textId="77777777" w:rsidR="00F87FCD" w:rsidRPr="00AA4677" w:rsidRDefault="00F87FCD">
      <w:pPr>
        <w:numPr>
          <w:ilvl w:val="0"/>
          <w:numId w:val="206"/>
        </w:numPr>
        <w:shd w:val="clear" w:color="auto" w:fill="FFFFFF"/>
        <w:spacing w:before="100" w:beforeAutospacing="1" w:after="100" w:afterAutospacing="1" w:line="240" w:lineRule="auto"/>
        <w:rPr>
          <w:rFonts w:eastAsia="Times New Roman" w:cs="Arial"/>
          <w:szCs w:val="24"/>
        </w:rPr>
      </w:pPr>
      <w:r w:rsidRPr="00AA4677">
        <w:rPr>
          <w:rFonts w:eastAsia="Times New Roman" w:cs="Arial"/>
          <w:szCs w:val="24"/>
        </w:rPr>
        <w:t xml:space="preserve">No further analysis of identifiable data/tissue will be conducted. Either analyses are complete or data/tissue have been permanently de-identified (i.e., with all identifiers and keys to </w:t>
      </w:r>
      <w:proofErr w:type="gramStart"/>
      <w:r w:rsidRPr="00AA4677">
        <w:rPr>
          <w:rFonts w:eastAsia="Times New Roman" w:cs="Arial"/>
          <w:szCs w:val="24"/>
        </w:rPr>
        <w:t>codes</w:t>
      </w:r>
      <w:proofErr w:type="gramEnd"/>
      <w:r w:rsidRPr="00AA4677">
        <w:rPr>
          <w:rFonts w:eastAsia="Times New Roman" w:cs="Arial"/>
          <w:szCs w:val="24"/>
        </w:rPr>
        <w:t> destroyed).</w:t>
      </w:r>
    </w:p>
    <w:p w14:paraId="0249FFBB" w14:textId="4C09F508" w:rsidR="00F87FCD" w:rsidRPr="00AA4677" w:rsidRDefault="00F87FCD" w:rsidP="00F87FCD">
      <w:pPr>
        <w:shd w:val="clear" w:color="auto" w:fill="FFFFFF"/>
        <w:spacing w:after="0" w:line="240" w:lineRule="auto"/>
        <w:rPr>
          <w:rFonts w:eastAsia="Times New Roman" w:cs="Helvetica"/>
          <w:b/>
          <w:bCs/>
          <w:szCs w:val="24"/>
          <w:bdr w:val="none" w:sz="0" w:space="0" w:color="auto" w:frame="1"/>
        </w:rPr>
      </w:pPr>
      <w:r w:rsidRPr="00AA4677">
        <w:rPr>
          <w:rFonts w:eastAsia="Times New Roman" w:cs="Helvetica"/>
          <w:b/>
          <w:bCs/>
          <w:szCs w:val="24"/>
          <w:bdr w:val="none" w:sz="0" w:space="0" w:color="auto" w:frame="1"/>
        </w:rPr>
        <w:t xml:space="preserve">The </w:t>
      </w:r>
      <w:proofErr w:type="gramStart"/>
      <w:r w:rsidRPr="00AA4677">
        <w:rPr>
          <w:rFonts w:eastAsia="Times New Roman" w:cs="Helvetica"/>
          <w:b/>
          <w:bCs/>
          <w:szCs w:val="24"/>
          <w:bdr w:val="none" w:sz="0" w:space="0" w:color="auto" w:frame="1"/>
        </w:rPr>
        <w:t>time period</w:t>
      </w:r>
      <w:proofErr w:type="gramEnd"/>
      <w:r w:rsidRPr="00AA4677">
        <w:rPr>
          <w:rFonts w:eastAsia="Times New Roman" w:cs="Helvetica"/>
          <w:b/>
          <w:bCs/>
          <w:szCs w:val="24"/>
          <w:bdr w:val="none" w:sz="0" w:space="0" w:color="auto" w:frame="1"/>
        </w:rPr>
        <w:t xml:space="preserve"> </w:t>
      </w:r>
      <w:r w:rsidR="000042C4" w:rsidRPr="00AA4677">
        <w:rPr>
          <w:rFonts w:eastAsia="Times New Roman" w:cs="Helvetica"/>
          <w:b/>
          <w:bCs/>
          <w:szCs w:val="24"/>
          <w:bdr w:val="none" w:sz="0" w:space="0" w:color="auto" w:frame="1"/>
        </w:rPr>
        <w:t xml:space="preserve">during which </w:t>
      </w:r>
      <w:r w:rsidRPr="00AA4677">
        <w:rPr>
          <w:rFonts w:eastAsia="Times New Roman" w:cs="Helvetica"/>
          <w:b/>
          <w:bCs/>
          <w:szCs w:val="24"/>
          <w:bdr w:val="none" w:sz="0" w:space="0" w:color="auto" w:frame="1"/>
        </w:rPr>
        <w:t>records</w:t>
      </w:r>
      <w:r w:rsidR="000042C4" w:rsidRPr="00AA4677">
        <w:rPr>
          <w:rFonts w:eastAsia="Times New Roman" w:cs="Helvetica"/>
          <w:b/>
          <w:bCs/>
          <w:szCs w:val="24"/>
          <w:bdr w:val="none" w:sz="0" w:space="0" w:color="auto" w:frame="1"/>
        </w:rPr>
        <w:t xml:space="preserve"> must be kept</w:t>
      </w:r>
      <w:r w:rsidRPr="00AA4677">
        <w:rPr>
          <w:rFonts w:eastAsia="Times New Roman" w:cs="Helvetica"/>
          <w:b/>
          <w:bCs/>
          <w:szCs w:val="24"/>
          <w:bdr w:val="none" w:sz="0" w:space="0" w:color="auto" w:frame="1"/>
        </w:rPr>
        <w:t xml:space="preserve"> once the research is permanently closed depends on the study specifics:</w:t>
      </w:r>
    </w:p>
    <w:p w14:paraId="1A6D9EC0" w14:textId="77777777" w:rsidR="00F87FCD" w:rsidRPr="00AA4677" w:rsidRDefault="00F87FCD" w:rsidP="00F87FCD">
      <w:pPr>
        <w:shd w:val="clear" w:color="auto" w:fill="FFFFFF"/>
        <w:spacing w:after="0" w:line="240" w:lineRule="auto"/>
        <w:rPr>
          <w:rFonts w:eastAsia="Times New Roman" w:cs="Helvetica"/>
          <w:szCs w:val="24"/>
        </w:rPr>
      </w:pPr>
    </w:p>
    <w:p w14:paraId="08469DBF" w14:textId="71567BFE" w:rsidR="00542C2D" w:rsidRPr="00AA4677" w:rsidRDefault="00F87FCD" w:rsidP="004B3D13">
      <w:pPr>
        <w:numPr>
          <w:ilvl w:val="0"/>
          <w:numId w:val="207"/>
        </w:numPr>
        <w:shd w:val="clear" w:color="auto" w:fill="FFFFFF"/>
        <w:spacing w:after="0" w:line="300" w:lineRule="atLeast"/>
        <w:rPr>
          <w:rFonts w:eastAsia="Times New Roman" w:cs="Helvetica"/>
          <w:szCs w:val="24"/>
        </w:rPr>
      </w:pPr>
      <w:r w:rsidRPr="00AA4677">
        <w:rPr>
          <w:rFonts w:eastAsia="Times New Roman" w:cs="Helvetica"/>
          <w:b/>
          <w:bCs/>
          <w:szCs w:val="24"/>
          <w:bdr w:val="none" w:sz="0" w:space="0" w:color="auto" w:frame="1"/>
        </w:rPr>
        <w:t>For records that DO NOT include identifiable health information</w:t>
      </w:r>
      <w:r w:rsidR="00542C2D" w:rsidRPr="00AA4677">
        <w:rPr>
          <w:rFonts w:eastAsia="Times New Roman" w:cs="Helvetica"/>
          <w:b/>
          <w:bCs/>
          <w:szCs w:val="24"/>
          <w:bdr w:val="none" w:sz="0" w:space="0" w:color="auto" w:frame="1"/>
        </w:rPr>
        <w:t xml:space="preserve"> and are not subject to FDA regulation, contract or journal requirement</w:t>
      </w:r>
      <w:r w:rsidRPr="00AA4677">
        <w:rPr>
          <w:rFonts w:eastAsia="Times New Roman" w:cs="Helvetica"/>
          <w:b/>
          <w:bCs/>
          <w:szCs w:val="24"/>
          <w:bdr w:val="none" w:sz="0" w:space="0" w:color="auto" w:frame="1"/>
        </w:rPr>
        <w:t>:</w:t>
      </w:r>
      <w:r w:rsidRPr="00AA4677">
        <w:rPr>
          <w:rFonts w:eastAsia="Times New Roman" w:cs="Helvetica"/>
          <w:szCs w:val="24"/>
        </w:rPr>
        <w:t> Records relating to the research must be retained for at least 3 years after completion of the research. </w:t>
      </w:r>
    </w:p>
    <w:p w14:paraId="46D982A1" w14:textId="37AD3A41" w:rsidR="009047D8" w:rsidRPr="00AA4677" w:rsidRDefault="00542C2D" w:rsidP="009047D8">
      <w:pPr>
        <w:numPr>
          <w:ilvl w:val="0"/>
          <w:numId w:val="207"/>
        </w:numPr>
        <w:shd w:val="clear" w:color="auto" w:fill="FFFFFF"/>
        <w:spacing w:after="0" w:line="300" w:lineRule="atLeast"/>
        <w:rPr>
          <w:rFonts w:eastAsia="Times New Roman" w:cs="Helvetica"/>
          <w:szCs w:val="24"/>
        </w:rPr>
      </w:pPr>
      <w:r w:rsidRPr="00AA4677">
        <w:rPr>
          <w:rFonts w:eastAsia="Times New Roman" w:cs="Helvetica"/>
          <w:b/>
          <w:bCs/>
          <w:szCs w:val="24"/>
          <w:bdr w:val="none" w:sz="0" w:space="0" w:color="auto" w:frame="1"/>
        </w:rPr>
        <w:t>For records that are subject to specific contract or journal requirements:</w:t>
      </w:r>
      <w:r w:rsidRPr="00AA4677">
        <w:rPr>
          <w:rFonts w:eastAsia="Times New Roman" w:cs="Helvetica"/>
          <w:szCs w:val="24"/>
        </w:rPr>
        <w:t xml:space="preserve"> Records relating to the research must be retained per the stated contractual or journal obligation</w:t>
      </w:r>
      <w:r w:rsidR="004B3D13" w:rsidRPr="00AA4677">
        <w:rPr>
          <w:rFonts w:eastAsia="Times New Roman" w:cs="Helvetica"/>
          <w:szCs w:val="24"/>
        </w:rPr>
        <w:t>.</w:t>
      </w:r>
    </w:p>
    <w:p w14:paraId="59818025" w14:textId="34FD58C4" w:rsidR="009047D8" w:rsidRPr="00AA4677" w:rsidRDefault="009047D8">
      <w:pPr>
        <w:numPr>
          <w:ilvl w:val="0"/>
          <w:numId w:val="207"/>
        </w:numPr>
        <w:shd w:val="clear" w:color="auto" w:fill="FFFFFF"/>
        <w:spacing w:after="0" w:line="300" w:lineRule="atLeast"/>
        <w:rPr>
          <w:rFonts w:eastAsia="Times New Roman" w:cs="Helvetica"/>
          <w:szCs w:val="24"/>
        </w:rPr>
      </w:pPr>
      <w:r w:rsidRPr="00AA4677">
        <w:rPr>
          <w:rFonts w:eastAsia="Times New Roman" w:cs="Helvetica"/>
          <w:szCs w:val="24"/>
        </w:rPr>
        <w:t>If a protocol is cancelled without participant enrollment, IRB records are maintained fo</w:t>
      </w:r>
      <w:r w:rsidR="0089472D" w:rsidRPr="00AA4677">
        <w:rPr>
          <w:rFonts w:eastAsia="Times New Roman" w:cs="Helvetica"/>
          <w:szCs w:val="24"/>
        </w:rPr>
        <w:t>r</w:t>
      </w:r>
      <w:r w:rsidRPr="00AA4677">
        <w:rPr>
          <w:rFonts w:eastAsia="Times New Roman" w:cs="Helvetica"/>
          <w:szCs w:val="24"/>
        </w:rPr>
        <w:t xml:space="preserve"> at least three years after cancellation</w:t>
      </w:r>
      <w:r w:rsidR="004B3D13" w:rsidRPr="00AA4677">
        <w:rPr>
          <w:rFonts w:eastAsia="Times New Roman" w:cs="Helvetica"/>
          <w:szCs w:val="24"/>
        </w:rPr>
        <w:t>.</w:t>
      </w:r>
    </w:p>
    <w:p w14:paraId="7A6FF6FA" w14:textId="77777777" w:rsidR="00F87FCD" w:rsidRPr="00AA4677" w:rsidRDefault="00F87FCD" w:rsidP="00D64EE2">
      <w:pPr>
        <w:shd w:val="clear" w:color="auto" w:fill="FFFFFF"/>
        <w:spacing w:after="0" w:line="300" w:lineRule="atLeast"/>
        <w:ind w:left="360"/>
        <w:rPr>
          <w:rFonts w:eastAsia="Times New Roman" w:cs="Helvetica"/>
          <w:szCs w:val="24"/>
        </w:rPr>
      </w:pPr>
    </w:p>
    <w:p w14:paraId="3462BCBF" w14:textId="0A63F4A6" w:rsidR="00F87FCD" w:rsidRPr="00AA4677" w:rsidRDefault="00F87FCD" w:rsidP="004B3D13">
      <w:pPr>
        <w:numPr>
          <w:ilvl w:val="0"/>
          <w:numId w:val="207"/>
        </w:numPr>
        <w:shd w:val="clear" w:color="auto" w:fill="FFFFFF"/>
        <w:spacing w:after="0" w:line="300" w:lineRule="atLeast"/>
        <w:rPr>
          <w:rFonts w:eastAsia="Times New Roman" w:cs="Helvetica"/>
          <w:szCs w:val="24"/>
        </w:rPr>
      </w:pPr>
      <w:r w:rsidRPr="00AA4677">
        <w:rPr>
          <w:rFonts w:eastAsia="Times New Roman" w:cs="Helvetica"/>
          <w:b/>
          <w:bCs/>
          <w:szCs w:val="24"/>
          <w:bdr w:val="none" w:sz="0" w:space="0" w:color="auto" w:frame="1"/>
        </w:rPr>
        <w:t>For records that DO include identifiable health information: </w:t>
      </w:r>
      <w:r w:rsidRPr="00AA4677">
        <w:rPr>
          <w:rFonts w:eastAsia="Times New Roman" w:cs="Helvetica"/>
          <w:szCs w:val="24"/>
        </w:rPr>
        <w:t xml:space="preserve">Records relating to the research must be retained for at least </w:t>
      </w:r>
      <w:r w:rsidR="006F3A7E" w:rsidRPr="00AA4677">
        <w:rPr>
          <w:rFonts w:eastAsia="Times New Roman" w:cs="Helvetica"/>
          <w:szCs w:val="24"/>
        </w:rPr>
        <w:t>7</w:t>
      </w:r>
      <w:r w:rsidRPr="00AA4677">
        <w:rPr>
          <w:rFonts w:eastAsia="Times New Roman" w:cs="Helvetica"/>
          <w:szCs w:val="24"/>
        </w:rPr>
        <w:t xml:space="preserve"> years after completion of the research.</w:t>
      </w:r>
    </w:p>
    <w:p w14:paraId="4AEFC2D4" w14:textId="7861C345" w:rsidR="00F87FCD" w:rsidRPr="00AA4677" w:rsidRDefault="00F87FCD" w:rsidP="004B3D13">
      <w:pPr>
        <w:numPr>
          <w:ilvl w:val="0"/>
          <w:numId w:val="207"/>
        </w:numPr>
        <w:shd w:val="clear" w:color="auto" w:fill="FFFFFF"/>
        <w:spacing w:after="0" w:line="300" w:lineRule="atLeast"/>
        <w:rPr>
          <w:rFonts w:eastAsia="Times New Roman" w:cs="Helvetica"/>
          <w:szCs w:val="24"/>
        </w:rPr>
      </w:pPr>
      <w:r w:rsidRPr="00AA4677">
        <w:rPr>
          <w:rFonts w:eastAsia="Times New Roman" w:cs="Helvetica"/>
          <w:b/>
          <w:bCs/>
          <w:szCs w:val="24"/>
          <w:bdr w:val="none" w:sz="0" w:space="0" w:color="auto" w:frame="1"/>
        </w:rPr>
        <w:t>For Investig</w:t>
      </w:r>
      <w:r w:rsidR="006A24AE" w:rsidRPr="00AA4677">
        <w:rPr>
          <w:rFonts w:eastAsia="Times New Roman" w:cs="Helvetica"/>
          <w:b/>
          <w:bCs/>
          <w:szCs w:val="24"/>
          <w:bdr w:val="none" w:sz="0" w:space="0" w:color="auto" w:frame="1"/>
        </w:rPr>
        <w:t xml:space="preserve">ational New Drug (IND) research: </w:t>
      </w:r>
      <w:r w:rsidRPr="00AA4677">
        <w:rPr>
          <w:rFonts w:eastAsia="Times New Roman" w:cs="Helvetica"/>
          <w:szCs w:val="24"/>
        </w:rPr>
        <w:t> </w:t>
      </w:r>
      <w:r w:rsidR="006A24AE" w:rsidRPr="00AA4677">
        <w:rPr>
          <w:rFonts w:eastAsia="Times New Roman" w:cs="Helvetica"/>
          <w:szCs w:val="24"/>
        </w:rPr>
        <w:t>T</w:t>
      </w:r>
      <w:r w:rsidRPr="00AA4677">
        <w:rPr>
          <w:rFonts w:eastAsia="Times New Roman" w:cs="Helvetica"/>
          <w:szCs w:val="24"/>
        </w:rPr>
        <w:t>he FDA requires that sponsors and investigators retain “records and reports required by this part for 2 years after a marketing application is approved for the drug; or if an application is not approved for drug, until 2 years after shipment and delivery of the drug for investigational use is discontinued and the FDA so notified.”</w:t>
      </w:r>
    </w:p>
    <w:p w14:paraId="6B1217E1" w14:textId="04287239" w:rsidR="00F87FCD" w:rsidRPr="00AA4677" w:rsidRDefault="00F87FCD" w:rsidP="004B3D13">
      <w:pPr>
        <w:numPr>
          <w:ilvl w:val="0"/>
          <w:numId w:val="207"/>
        </w:numPr>
        <w:shd w:val="clear" w:color="auto" w:fill="FFFFFF"/>
        <w:spacing w:after="0" w:line="300" w:lineRule="atLeast"/>
        <w:rPr>
          <w:rFonts w:eastAsia="Times New Roman" w:cs="Helvetica"/>
          <w:szCs w:val="24"/>
        </w:rPr>
      </w:pPr>
      <w:r w:rsidRPr="00AA4677">
        <w:rPr>
          <w:rFonts w:eastAsia="Times New Roman" w:cs="Helvetica"/>
          <w:b/>
          <w:bCs/>
          <w:szCs w:val="24"/>
          <w:bdr w:val="none" w:sz="0" w:space="0" w:color="auto" w:frame="1"/>
        </w:rPr>
        <w:t>For Investigational Device Exemption (IDE) research</w:t>
      </w:r>
      <w:r w:rsidR="006A24AE" w:rsidRPr="00AA4677">
        <w:rPr>
          <w:rFonts w:eastAsia="Times New Roman" w:cs="Helvetica"/>
          <w:b/>
          <w:bCs/>
          <w:szCs w:val="24"/>
          <w:bdr w:val="none" w:sz="0" w:space="0" w:color="auto" w:frame="1"/>
        </w:rPr>
        <w:t>:</w:t>
      </w:r>
      <w:r w:rsidRPr="00AA4677">
        <w:rPr>
          <w:rFonts w:eastAsia="Times New Roman" w:cs="Helvetica"/>
          <w:szCs w:val="24"/>
        </w:rPr>
        <w:t> </w:t>
      </w:r>
      <w:r w:rsidR="006A24AE" w:rsidRPr="00AA4677">
        <w:rPr>
          <w:rFonts w:eastAsia="Times New Roman" w:cs="Helvetica"/>
          <w:szCs w:val="24"/>
        </w:rPr>
        <w:t>T</w:t>
      </w:r>
      <w:r w:rsidRPr="00AA4677">
        <w:rPr>
          <w:rFonts w:eastAsia="Times New Roman" w:cs="Helvetica"/>
          <w:szCs w:val="24"/>
        </w:rPr>
        <w:t xml:space="preserve">he FDA requires the investigator or sponsor to maintain the records “for a period of 2 years after the latter of the following two dates: The date on which the investigation is terminated </w:t>
      </w:r>
      <w:proofErr w:type="spellStart"/>
      <w:r w:rsidRPr="00AA4677">
        <w:rPr>
          <w:rFonts w:eastAsia="Times New Roman" w:cs="Helvetica"/>
          <w:szCs w:val="24"/>
        </w:rPr>
        <w:t>o​r</w:t>
      </w:r>
      <w:proofErr w:type="spellEnd"/>
      <w:r w:rsidRPr="00AA4677">
        <w:rPr>
          <w:rFonts w:eastAsia="Times New Roman" w:cs="Helvetica"/>
          <w:szCs w:val="24"/>
        </w:rPr>
        <w:t xml:space="preserve"> completed, or the date that the records are no longer required for purposes of supporting a premarket approval application or a notice of completion of a product development protocol.”</w:t>
      </w:r>
    </w:p>
    <w:p w14:paraId="65EAA7B9" w14:textId="46395D9B" w:rsidR="004B11F8" w:rsidRPr="00AA4677" w:rsidRDefault="00F87FCD">
      <w:pPr>
        <w:numPr>
          <w:ilvl w:val="0"/>
          <w:numId w:val="207"/>
        </w:numPr>
        <w:shd w:val="clear" w:color="auto" w:fill="FFFFFF"/>
        <w:spacing w:after="0" w:line="300" w:lineRule="atLeast"/>
        <w:rPr>
          <w:rFonts w:eastAsia="Times New Roman" w:cs="Helvetica"/>
          <w:szCs w:val="24"/>
        </w:rPr>
      </w:pPr>
      <w:r w:rsidRPr="00AA4677">
        <w:rPr>
          <w:rFonts w:eastAsia="Times New Roman" w:cs="Helvetica"/>
          <w:b/>
          <w:bCs/>
          <w:szCs w:val="24"/>
          <w:bdr w:val="none" w:sz="0" w:space="0" w:color="auto" w:frame="1"/>
        </w:rPr>
        <w:t>For research funded by industry or private foundations</w:t>
      </w:r>
      <w:r w:rsidR="006A24AE" w:rsidRPr="00AA4677">
        <w:rPr>
          <w:rFonts w:eastAsia="Times New Roman" w:cs="Helvetica"/>
          <w:b/>
          <w:bCs/>
          <w:szCs w:val="24"/>
          <w:bdr w:val="none" w:sz="0" w:space="0" w:color="auto" w:frame="1"/>
        </w:rPr>
        <w:t>:</w:t>
      </w:r>
      <w:r w:rsidR="006A24AE" w:rsidRPr="00AA4677">
        <w:rPr>
          <w:rFonts w:eastAsia="Times New Roman" w:cs="Helvetica"/>
          <w:szCs w:val="24"/>
        </w:rPr>
        <w:t> T</w:t>
      </w:r>
      <w:r w:rsidRPr="00AA4677">
        <w:rPr>
          <w:rFonts w:eastAsia="Times New Roman" w:cs="Helvetica"/>
          <w:szCs w:val="24"/>
        </w:rPr>
        <w:t>he investigator should maintain the records for either the length of time required by the sponsor, or</w:t>
      </w:r>
      <w:r w:rsidR="006A24AE" w:rsidRPr="00AA4677">
        <w:rPr>
          <w:rFonts w:eastAsia="Times New Roman" w:cs="Helvetica"/>
          <w:szCs w:val="24"/>
        </w:rPr>
        <w:t xml:space="preserve"> three (</w:t>
      </w:r>
      <w:r w:rsidRPr="00AA4677">
        <w:rPr>
          <w:rFonts w:eastAsia="Times New Roman" w:cs="Helvetica"/>
          <w:szCs w:val="24"/>
        </w:rPr>
        <w:t>3</w:t>
      </w:r>
      <w:r w:rsidR="006A24AE" w:rsidRPr="00AA4677">
        <w:rPr>
          <w:rFonts w:eastAsia="Times New Roman" w:cs="Helvetica"/>
          <w:szCs w:val="24"/>
        </w:rPr>
        <w:t>)</w:t>
      </w:r>
      <w:r w:rsidRPr="00AA4677">
        <w:rPr>
          <w:rFonts w:eastAsia="Times New Roman" w:cs="Helvetica"/>
          <w:szCs w:val="24"/>
        </w:rPr>
        <w:t xml:space="preserve"> years, whichever is longer.</w:t>
      </w:r>
    </w:p>
    <w:p w14:paraId="21C8D89E" w14:textId="4530AE39" w:rsidR="006B6A87" w:rsidRPr="00AA4677" w:rsidRDefault="006B6A87" w:rsidP="009047D8">
      <w:pPr>
        <w:shd w:val="clear" w:color="auto" w:fill="FFFFFF"/>
        <w:spacing w:after="0" w:line="300" w:lineRule="atLeast"/>
        <w:rPr>
          <w:rFonts w:eastAsia="Times New Roman" w:cs="Helvetica"/>
          <w:szCs w:val="24"/>
        </w:rPr>
      </w:pPr>
    </w:p>
    <w:p w14:paraId="532B4798" w14:textId="77777777" w:rsidR="00FC174E" w:rsidRPr="00AA4677" w:rsidRDefault="00FC174E" w:rsidP="005920B2">
      <w:pPr>
        <w:pStyle w:val="Heading1"/>
      </w:pPr>
      <w:bookmarkStart w:id="88" w:name="_Toc192678195"/>
      <w:r w:rsidRPr="00AA4677">
        <w:t>5 Obtaining Informed Consent from Research Subjects</w:t>
      </w:r>
      <w:bookmarkEnd w:id="88"/>
    </w:p>
    <w:p w14:paraId="3E666FA8" w14:textId="2E757C9F" w:rsidR="00FC174E" w:rsidRPr="00AA4677" w:rsidRDefault="00FC174E" w:rsidP="00696B35">
      <w:pPr>
        <w:pStyle w:val="Heading2"/>
      </w:pPr>
      <w:bookmarkStart w:id="89" w:name="_Toc192678196"/>
      <w:r w:rsidRPr="00AA4677">
        <w:lastRenderedPageBreak/>
        <w:t>5.1 Policy</w:t>
      </w:r>
      <w:bookmarkEnd w:id="89"/>
    </w:p>
    <w:p w14:paraId="096B5268" w14:textId="6809E06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No investigator conducting research under the auspices </w:t>
      </w:r>
      <w:r w:rsidR="00A70126" w:rsidRPr="00AA4677">
        <w:rPr>
          <w:rFonts w:eastAsia="Times New Roman" w:cs="Times New Roman"/>
          <w:szCs w:val="24"/>
        </w:rPr>
        <w:t>of the University</w:t>
      </w:r>
      <w:r w:rsidRPr="00AA4677">
        <w:rPr>
          <w:rFonts w:eastAsia="Times New Roman" w:cs="Times New Roman"/>
          <w:szCs w:val="24"/>
        </w:rPr>
        <w:t xml:space="preserve"> may involve a human being as a </w:t>
      </w:r>
      <w:proofErr w:type="gramStart"/>
      <w:r w:rsidRPr="00AA4677">
        <w:rPr>
          <w:rFonts w:eastAsia="Times New Roman" w:cs="Times New Roman"/>
          <w:szCs w:val="24"/>
        </w:rPr>
        <w:t>subject in research</w:t>
      </w:r>
      <w:proofErr w:type="gramEnd"/>
      <w:r w:rsidRPr="00AA4677">
        <w:rPr>
          <w:rFonts w:eastAsia="Times New Roman" w:cs="Times New Roman"/>
          <w:szCs w:val="24"/>
        </w:rPr>
        <w:t xml:space="preserve"> without obtaining the legally effective informed consent of the subject or the subject’s legally authorized representative unless a waiver of con</w:t>
      </w:r>
      <w:r w:rsidR="00A70126" w:rsidRPr="00AA4677">
        <w:rPr>
          <w:rFonts w:eastAsia="Times New Roman" w:cs="Times New Roman"/>
          <w:szCs w:val="24"/>
        </w:rPr>
        <w:t xml:space="preserve">sent has been approved by the </w:t>
      </w:r>
      <w:r w:rsidR="00EE7207" w:rsidRPr="00AA4677">
        <w:rPr>
          <w:rFonts w:eastAsia="Times New Roman" w:cs="Times New Roman"/>
          <w:szCs w:val="24"/>
        </w:rPr>
        <w:t>IRB</w:t>
      </w:r>
      <w:r w:rsidRPr="00AA4677">
        <w:rPr>
          <w:rFonts w:eastAsia="Times New Roman" w:cs="Times New Roman"/>
          <w:szCs w:val="24"/>
        </w:rPr>
        <w:t xml:space="preserve"> in accordance with Section 5.8 of these procedures.  E</w:t>
      </w:r>
      <w:r w:rsidR="0083058D" w:rsidRPr="00AA4677">
        <w:rPr>
          <w:rFonts w:eastAsia="Times New Roman" w:cs="Times New Roman"/>
          <w:szCs w:val="24"/>
        </w:rPr>
        <w:t>xcept as provided in Section 5.12</w:t>
      </w:r>
      <w:r w:rsidRPr="00AA4677">
        <w:rPr>
          <w:rFonts w:eastAsia="Times New Roman" w:cs="Times New Roman"/>
          <w:szCs w:val="24"/>
        </w:rPr>
        <w:t xml:space="preserve"> of these procedures, informed consent must be documented </w:t>
      </w:r>
      <w:proofErr w:type="gramStart"/>
      <w:r w:rsidRPr="00AA4677">
        <w:rPr>
          <w:rFonts w:eastAsia="Times New Roman" w:cs="Times New Roman"/>
          <w:szCs w:val="24"/>
        </w:rPr>
        <w:t>by the use of</w:t>
      </w:r>
      <w:proofErr w:type="gramEnd"/>
      <w:r w:rsidRPr="00AA4677">
        <w:rPr>
          <w:rFonts w:eastAsia="Times New Roman" w:cs="Times New Roman"/>
          <w:szCs w:val="24"/>
        </w:rPr>
        <w:t xml:space="preserve"> a written consent form approved by </w:t>
      </w:r>
      <w:r w:rsidR="00A70126"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(See Section 5.6).</w:t>
      </w:r>
    </w:p>
    <w:p w14:paraId="5DF3E933" w14:textId="786B7FE6" w:rsidR="00BF01CE" w:rsidRPr="00AA4677" w:rsidRDefault="00BF01CE" w:rsidP="00BF01CE">
      <w:pPr>
        <w:shd w:val="clear" w:color="auto" w:fill="FFFFFF"/>
        <w:spacing w:before="100" w:beforeAutospacing="1" w:after="100" w:afterAutospacing="1" w:line="240" w:lineRule="auto"/>
        <w:rPr>
          <w:rFonts w:eastAsia="Times New Roman" w:cstheme="minorHAnsi"/>
          <w:sz w:val="28"/>
          <w:szCs w:val="24"/>
        </w:rPr>
      </w:pPr>
      <w:r w:rsidRPr="00AA4677">
        <w:rPr>
          <w:rFonts w:cstheme="minorHAnsi"/>
          <w:color w:val="000000"/>
          <w:szCs w:val="24"/>
        </w:rPr>
        <w:t xml:space="preserve">The </w:t>
      </w:r>
      <w:r w:rsidRPr="00AA4677">
        <w:rPr>
          <w:rFonts w:cstheme="minorHAnsi"/>
          <w:color w:val="000000"/>
          <w:szCs w:val="23"/>
        </w:rPr>
        <w:t xml:space="preserve">Office for Human Research Protection (OHRP) and Food and Drug Administration (FDA) regulations state that designation of a subject’s legally authorized representative is to be determined by “applicable law” (45 C.F.R. 46.102(c); 21 C.F.R. 50.3(l)), which typically means state or local statutes, regulations or cases. OHRP guidance states that it would consider an individual to be a subject’s legally authorized representative for research </w:t>
      </w:r>
      <w:proofErr w:type="gramStart"/>
      <w:r w:rsidRPr="00AA4677">
        <w:rPr>
          <w:rFonts w:cstheme="minorHAnsi"/>
          <w:color w:val="000000"/>
          <w:szCs w:val="23"/>
        </w:rPr>
        <w:t>as long as</w:t>
      </w:r>
      <w:proofErr w:type="gramEnd"/>
      <w:r w:rsidRPr="00AA4677">
        <w:rPr>
          <w:rFonts w:cstheme="minorHAnsi"/>
          <w:color w:val="000000"/>
          <w:szCs w:val="23"/>
        </w:rPr>
        <w:t xml:space="preserve"> that state or local law provides a “reasonable basis” for allowing that individual to provide informed consent for the subject.</w:t>
      </w:r>
    </w:p>
    <w:p w14:paraId="76F7D186" w14:textId="6FD1AA21" w:rsidR="00FC174E" w:rsidRPr="00AA4677" w:rsidRDefault="00A70126"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will evaluate both the consent process and the procedures for documenting informed consent to ensure that adequate informed consent is obtained from </w:t>
      </w:r>
      <w:r w:rsidR="00BF7470" w:rsidRPr="00AA4677">
        <w:rPr>
          <w:rFonts w:eastAsia="Times New Roman" w:cs="Times New Roman"/>
          <w:szCs w:val="24"/>
        </w:rPr>
        <w:t>subject</w:t>
      </w:r>
      <w:r w:rsidR="00FC174E" w:rsidRPr="00AA4677">
        <w:rPr>
          <w:rFonts w:eastAsia="Times New Roman" w:cs="Times New Roman"/>
          <w:szCs w:val="24"/>
        </w:rPr>
        <w:t>s.</w:t>
      </w:r>
      <w:r w:rsidR="00F43B11" w:rsidRPr="00AA4677">
        <w:rPr>
          <w:rFonts w:eastAsia="Times New Roman" w:cs="Times New Roman"/>
          <w:szCs w:val="24"/>
        </w:rPr>
        <w:t xml:space="preserve"> Only </w:t>
      </w:r>
      <w:r w:rsidR="00091AD8" w:rsidRPr="00AA4677">
        <w:rPr>
          <w:rFonts w:eastAsia="Times New Roman" w:cs="Times New Roman"/>
          <w:szCs w:val="24"/>
        </w:rPr>
        <w:t xml:space="preserve">appropriately </w:t>
      </w:r>
      <w:r w:rsidR="00F43B11" w:rsidRPr="00AA4677">
        <w:rPr>
          <w:rFonts w:eastAsia="Times New Roman" w:cs="Times New Roman"/>
          <w:szCs w:val="24"/>
        </w:rPr>
        <w:t>trained members of the study team can obtain informed consent for a clinical trial.</w:t>
      </w:r>
    </w:p>
    <w:p w14:paraId="1C2DF84B" w14:textId="77777777" w:rsidR="00FC174E" w:rsidRPr="00AA4677" w:rsidRDefault="00FC174E" w:rsidP="00696B35">
      <w:pPr>
        <w:pStyle w:val="Heading2"/>
      </w:pPr>
      <w:bookmarkStart w:id="90" w:name="_Toc192678197"/>
      <w:r w:rsidRPr="00AA4677">
        <w:t>5.2 Definitions</w:t>
      </w:r>
      <w:bookmarkEnd w:id="90"/>
    </w:p>
    <w:p w14:paraId="34C6672E" w14:textId="7B85BDE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Legally authorized representative (LAR)</w:t>
      </w:r>
      <w:r w:rsidR="0072480F" w:rsidRPr="00AA4677">
        <w:rPr>
          <w:rFonts w:eastAsia="Times New Roman" w:cs="Times New Roman"/>
          <w:b/>
          <w:bCs/>
          <w:szCs w:val="24"/>
        </w:rPr>
        <w:t xml:space="preserve">: </w:t>
      </w:r>
      <w:r w:rsidR="006A24AE" w:rsidRPr="00AA4677">
        <w:rPr>
          <w:rFonts w:eastAsia="Times New Roman" w:cs="Times New Roman"/>
          <w:b/>
          <w:bCs/>
          <w:szCs w:val="24"/>
        </w:rPr>
        <w:t xml:space="preserve"> </w:t>
      </w:r>
      <w:r w:rsidRPr="00AA4677">
        <w:rPr>
          <w:rFonts w:eastAsia="Times New Roman" w:cs="Times New Roman"/>
          <w:szCs w:val="24"/>
        </w:rPr>
        <w:t>Federal (45 CFR § 46.102(c):</w:t>
      </w:r>
      <w:r w:rsidR="00A70126" w:rsidRPr="00AA4677">
        <w:rPr>
          <w:rFonts w:eastAsia="Times New Roman" w:cs="Times New Roman"/>
          <w:szCs w:val="24"/>
        </w:rPr>
        <w:t xml:space="preserve">  </w:t>
      </w:r>
      <w:r w:rsidRPr="00AA4677">
        <w:rPr>
          <w:rFonts w:eastAsia="Times New Roman" w:cs="Times New Roman"/>
          <w:szCs w:val="24"/>
        </w:rPr>
        <w:t>An individual or judicial or other body authorized under applicable law to consent on behalf of a prospective subject to the subject's participation in the procedure(s) involved in the research</w:t>
      </w:r>
      <w:r w:rsidR="00A70126" w:rsidRPr="00AA4677">
        <w:rPr>
          <w:rFonts w:eastAsia="Times New Roman" w:cs="Times New Roman"/>
          <w:szCs w:val="24"/>
        </w:rPr>
        <w:t>.</w:t>
      </w:r>
    </w:p>
    <w:p w14:paraId="1E490674" w14:textId="0A43853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szCs w:val="24"/>
        </w:rPr>
        <w:t>N</w:t>
      </w:r>
      <w:r w:rsidR="00C82D07" w:rsidRPr="00AA4677">
        <w:rPr>
          <w:rFonts w:eastAsia="Times New Roman" w:cs="Times New Roman"/>
          <w:b/>
          <w:szCs w:val="24"/>
        </w:rPr>
        <w:t xml:space="preserve">ew </w:t>
      </w:r>
      <w:r w:rsidRPr="00AA4677">
        <w:rPr>
          <w:rFonts w:eastAsia="Times New Roman" w:cs="Times New Roman"/>
          <w:b/>
          <w:szCs w:val="24"/>
        </w:rPr>
        <w:t>Y</w:t>
      </w:r>
      <w:r w:rsidR="00C82D07" w:rsidRPr="00AA4677">
        <w:rPr>
          <w:rFonts w:eastAsia="Times New Roman" w:cs="Times New Roman"/>
          <w:b/>
          <w:szCs w:val="24"/>
        </w:rPr>
        <w:t xml:space="preserve">ork </w:t>
      </w:r>
      <w:r w:rsidRPr="00AA4677">
        <w:rPr>
          <w:rFonts w:eastAsia="Times New Roman" w:cs="Times New Roman"/>
          <w:b/>
          <w:szCs w:val="24"/>
        </w:rPr>
        <w:t>S</w:t>
      </w:r>
      <w:r w:rsidR="00C82D07" w:rsidRPr="00AA4677">
        <w:rPr>
          <w:rFonts w:eastAsia="Times New Roman" w:cs="Times New Roman"/>
          <w:b/>
          <w:szCs w:val="24"/>
        </w:rPr>
        <w:t>tate</w:t>
      </w:r>
      <w:r w:rsidRPr="00AA4677">
        <w:rPr>
          <w:rFonts w:eastAsia="Times New Roman" w:cs="Times New Roman"/>
          <w:b/>
          <w:szCs w:val="24"/>
        </w:rPr>
        <w:t>:</w:t>
      </w:r>
      <w:r w:rsidR="00A70126" w:rsidRPr="00AA4677">
        <w:rPr>
          <w:rFonts w:eastAsia="Times New Roman" w:cs="Times New Roman"/>
          <w:szCs w:val="24"/>
        </w:rPr>
        <w:t xml:space="preserve">  </w:t>
      </w:r>
      <w:r w:rsidRPr="00AA4677">
        <w:rPr>
          <w:rFonts w:eastAsia="Times New Roman" w:cs="Times New Roman"/>
          <w:szCs w:val="24"/>
        </w:rPr>
        <w:t>Per the Family Health Care Decisions Act (FHCDA), a person in the highest category on the following surrogate list who is available, willing and competent to make decisions for the incapable patient, and is identified when there is no health care agent:</w:t>
      </w:r>
    </w:p>
    <w:p w14:paraId="72895CF0" w14:textId="46E6C288" w:rsidR="00FC174E" w:rsidRPr="00AA4677" w:rsidRDefault="00FC174E" w:rsidP="00C129F1">
      <w:pPr>
        <w:numPr>
          <w:ilvl w:val="0"/>
          <w:numId w:val="1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 court-appointed guardian (per NYS Mental Health Law Article 81</w:t>
      </w:r>
      <w:proofErr w:type="gramStart"/>
      <w:r w:rsidRPr="00AA4677">
        <w:rPr>
          <w:rFonts w:eastAsia="Times New Roman" w:cs="Times New Roman"/>
          <w:szCs w:val="24"/>
        </w:rPr>
        <w:t>)</w:t>
      </w:r>
      <w:r w:rsidR="00A70126" w:rsidRPr="00AA4677">
        <w:rPr>
          <w:rFonts w:eastAsia="Times New Roman" w:cs="Times New Roman"/>
          <w:szCs w:val="24"/>
        </w:rPr>
        <w:t>;</w:t>
      </w:r>
      <w:proofErr w:type="gramEnd"/>
    </w:p>
    <w:p w14:paraId="1ABF6A5C" w14:textId="3FD67A77" w:rsidR="00FC174E" w:rsidRPr="00AA4677" w:rsidRDefault="00FC174E" w:rsidP="00C129F1">
      <w:pPr>
        <w:numPr>
          <w:ilvl w:val="0"/>
          <w:numId w:val="1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An individual designated as a representative/agent through a health care proxy that is appropriately executed. For a health care proxy to be effective, it must have been signed at a time when the subject had </w:t>
      </w:r>
      <w:r w:rsidR="001F76D0" w:rsidRPr="00AA4677">
        <w:rPr>
          <w:rFonts w:eastAsia="Times New Roman" w:cs="Times New Roman"/>
          <w:szCs w:val="24"/>
        </w:rPr>
        <w:t>decision-making</w:t>
      </w:r>
      <w:r w:rsidRPr="00AA4677">
        <w:rPr>
          <w:rFonts w:eastAsia="Times New Roman" w:cs="Times New Roman"/>
          <w:szCs w:val="24"/>
        </w:rPr>
        <w:t xml:space="preserve"> capacity. The subject’s wishes, if any, </w:t>
      </w:r>
      <w:proofErr w:type="gramStart"/>
      <w:r w:rsidRPr="00AA4677">
        <w:rPr>
          <w:rFonts w:eastAsia="Times New Roman" w:cs="Times New Roman"/>
          <w:szCs w:val="24"/>
        </w:rPr>
        <w:t>with regard to</w:t>
      </w:r>
      <w:proofErr w:type="gramEnd"/>
      <w:r w:rsidRPr="00AA4677">
        <w:rPr>
          <w:rFonts w:eastAsia="Times New Roman" w:cs="Times New Roman"/>
          <w:szCs w:val="24"/>
        </w:rPr>
        <w:t xml:space="preserve"> research as expressed in the health care proxy govern (e.g. prohibiting all research or permitting only research which may provide a direct benefit</w:t>
      </w:r>
      <w:proofErr w:type="gramStart"/>
      <w:r w:rsidRPr="00AA4677">
        <w:rPr>
          <w:rFonts w:eastAsia="Times New Roman" w:cs="Times New Roman"/>
          <w:szCs w:val="24"/>
        </w:rPr>
        <w:t>)</w:t>
      </w:r>
      <w:r w:rsidR="00A70126" w:rsidRPr="00AA4677">
        <w:rPr>
          <w:rFonts w:eastAsia="Times New Roman" w:cs="Times New Roman"/>
          <w:szCs w:val="24"/>
        </w:rPr>
        <w:t>;</w:t>
      </w:r>
      <w:proofErr w:type="gramEnd"/>
      <w:r w:rsidRPr="00AA4677">
        <w:rPr>
          <w:rFonts w:eastAsia="Times New Roman" w:cs="Times New Roman"/>
          <w:szCs w:val="24"/>
        </w:rPr>
        <w:t xml:space="preserve">  </w:t>
      </w:r>
    </w:p>
    <w:p w14:paraId="3C6018F9" w14:textId="77777777" w:rsidR="00FC174E" w:rsidRPr="00AA4677" w:rsidRDefault="00FC174E" w:rsidP="00C129F1">
      <w:pPr>
        <w:numPr>
          <w:ilvl w:val="0"/>
          <w:numId w:val="1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spouse, if not legally separated from the patient,  or  the domestic </w:t>
      </w:r>
      <w:proofErr w:type="gramStart"/>
      <w:r w:rsidRPr="00AA4677">
        <w:rPr>
          <w:rFonts w:eastAsia="Times New Roman" w:cs="Times New Roman"/>
          <w:szCs w:val="24"/>
        </w:rPr>
        <w:t>partner;</w:t>
      </w:r>
      <w:proofErr w:type="gramEnd"/>
    </w:p>
    <w:p w14:paraId="4DAAE238" w14:textId="77777777" w:rsidR="00FC174E" w:rsidRPr="00AA4677" w:rsidRDefault="00FC174E" w:rsidP="00C129F1">
      <w:pPr>
        <w:numPr>
          <w:ilvl w:val="0"/>
          <w:numId w:val="1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 son or daughter eighteen years of age or </w:t>
      </w:r>
      <w:proofErr w:type="gramStart"/>
      <w:r w:rsidRPr="00AA4677">
        <w:rPr>
          <w:rFonts w:eastAsia="Times New Roman" w:cs="Times New Roman"/>
          <w:szCs w:val="24"/>
        </w:rPr>
        <w:t>older;</w:t>
      </w:r>
      <w:proofErr w:type="gramEnd"/>
    </w:p>
    <w:p w14:paraId="2FB56F69" w14:textId="77777777" w:rsidR="00FC174E" w:rsidRPr="00AA4677" w:rsidRDefault="00FC174E" w:rsidP="00C129F1">
      <w:pPr>
        <w:numPr>
          <w:ilvl w:val="0"/>
          <w:numId w:val="1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A </w:t>
      </w:r>
      <w:proofErr w:type="gramStart"/>
      <w:r w:rsidRPr="00AA4677">
        <w:rPr>
          <w:rFonts w:eastAsia="Times New Roman" w:cs="Times New Roman"/>
          <w:szCs w:val="24"/>
        </w:rPr>
        <w:t>parent;</w:t>
      </w:r>
      <w:proofErr w:type="gramEnd"/>
    </w:p>
    <w:p w14:paraId="5E7FECA7" w14:textId="1DC1A9A2" w:rsidR="00FC174E" w:rsidRPr="00AA4677" w:rsidRDefault="00FC174E" w:rsidP="00C129F1">
      <w:pPr>
        <w:numPr>
          <w:ilvl w:val="0"/>
          <w:numId w:val="1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 brother or sister eighteen years of age or older;</w:t>
      </w:r>
      <w:r w:rsidR="00A70126" w:rsidRPr="00AA4677">
        <w:rPr>
          <w:rFonts w:eastAsia="Times New Roman" w:cs="Times New Roman"/>
          <w:szCs w:val="24"/>
        </w:rPr>
        <w:t xml:space="preserve"> or </w:t>
      </w:r>
    </w:p>
    <w:p w14:paraId="6CA6B6E1" w14:textId="77777777" w:rsidR="00FC174E" w:rsidRPr="00AA4677" w:rsidRDefault="00FC174E" w:rsidP="00C129F1">
      <w:pPr>
        <w:numPr>
          <w:ilvl w:val="0"/>
          <w:numId w:val="1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 close friend (meaning a person eighteen (18) years of age or older who has maintained such regular contact with the subject as to be familiar with the subject’s activities, health and beliefs).</w:t>
      </w:r>
    </w:p>
    <w:p w14:paraId="52C2CB60" w14:textId="7676484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Legal guardian</w:t>
      </w:r>
      <w:r w:rsidR="0072480F" w:rsidRPr="00AA4677">
        <w:rPr>
          <w:rFonts w:eastAsia="Times New Roman" w:cs="Times New Roman"/>
          <w:b/>
          <w:bCs/>
          <w:szCs w:val="24"/>
        </w:rPr>
        <w:t>:</w:t>
      </w:r>
      <w:r w:rsidRPr="00AA4677">
        <w:rPr>
          <w:rFonts w:eastAsia="Times New Roman" w:cs="Times New Roman"/>
          <w:szCs w:val="24"/>
        </w:rPr>
        <w:t xml:space="preserve"> A person appointed by a court of appropriate jurisdiction.</w:t>
      </w:r>
    </w:p>
    <w:p w14:paraId="1601029C" w14:textId="21D2E80D" w:rsidR="00FC174E" w:rsidRPr="00AA4677" w:rsidRDefault="00FC174E" w:rsidP="00696B35">
      <w:pPr>
        <w:pStyle w:val="Heading2"/>
      </w:pPr>
      <w:bookmarkStart w:id="91" w:name="_Toc192678198"/>
      <w:r w:rsidRPr="00AA4677">
        <w:t xml:space="preserve">5.3 </w:t>
      </w:r>
      <w:r w:rsidR="00CD6A93" w:rsidRPr="00AA4677">
        <w:t>General</w:t>
      </w:r>
      <w:r w:rsidRPr="00AA4677">
        <w:t xml:space="preserve"> Requirements</w:t>
      </w:r>
      <w:bookmarkEnd w:id="91"/>
    </w:p>
    <w:p w14:paraId="5847587F" w14:textId="489904C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Investigators must obtain consent prior to entering a subject into a study and/or conducting any procedures required by the protocol, unless consent is waived by </w:t>
      </w:r>
      <w:r w:rsidR="00A70126"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w:t>
      </w:r>
    </w:p>
    <w:p w14:paraId="441AF0D4" w14:textId="49AE41F8" w:rsidR="00FC174E" w:rsidRPr="00AA4677" w:rsidRDefault="00886AC0"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It is the PI’s responsibility to ensure that any team member who conducts a consent process and obtains </w:t>
      </w:r>
      <w:r w:rsidR="00FC174E" w:rsidRPr="00AA4677">
        <w:rPr>
          <w:rFonts w:eastAsia="Times New Roman" w:cs="Times New Roman"/>
          <w:szCs w:val="24"/>
        </w:rPr>
        <w:t>consent from a potential subject</w:t>
      </w:r>
      <w:r w:rsidRPr="00AA4677">
        <w:rPr>
          <w:rFonts w:eastAsia="Times New Roman" w:cs="Times New Roman"/>
          <w:szCs w:val="24"/>
        </w:rPr>
        <w:t xml:space="preserve"> is</w:t>
      </w:r>
      <w:r w:rsidR="00FC174E" w:rsidRPr="00AA4677">
        <w:rPr>
          <w:rFonts w:eastAsia="Times New Roman" w:cs="Times New Roman"/>
          <w:szCs w:val="24"/>
        </w:rPr>
        <w:t xml:space="preserve"> appropriate</w:t>
      </w:r>
      <w:r w:rsidRPr="00AA4677">
        <w:rPr>
          <w:rFonts w:eastAsia="Times New Roman" w:cs="Times New Roman"/>
          <w:szCs w:val="24"/>
        </w:rPr>
        <w:t>ly</w:t>
      </w:r>
      <w:r w:rsidR="00FC174E" w:rsidRPr="00AA4677">
        <w:rPr>
          <w:rFonts w:eastAsia="Times New Roman" w:cs="Times New Roman"/>
          <w:szCs w:val="24"/>
        </w:rPr>
        <w:t xml:space="preserve"> train</w:t>
      </w:r>
      <w:r w:rsidRPr="00AA4677">
        <w:rPr>
          <w:rFonts w:eastAsia="Times New Roman" w:cs="Times New Roman"/>
          <w:szCs w:val="24"/>
        </w:rPr>
        <w:t>ed</w:t>
      </w:r>
      <w:r w:rsidR="00FC174E" w:rsidRPr="00AA4677">
        <w:rPr>
          <w:rFonts w:eastAsia="Times New Roman" w:cs="Times New Roman"/>
          <w:szCs w:val="24"/>
        </w:rPr>
        <w:t xml:space="preserve"> to perform this activity. The person so delegated must be knowledgeable about the research to be conducted and the consenting </w:t>
      </w:r>
      <w:proofErr w:type="gramStart"/>
      <w:r w:rsidR="00FC174E" w:rsidRPr="00AA4677">
        <w:rPr>
          <w:rFonts w:eastAsia="Times New Roman" w:cs="Times New Roman"/>
          <w:szCs w:val="24"/>
        </w:rPr>
        <w:t>process, and</w:t>
      </w:r>
      <w:proofErr w:type="gramEnd"/>
      <w:r w:rsidR="00FC174E" w:rsidRPr="00AA4677">
        <w:rPr>
          <w:rFonts w:eastAsia="Times New Roman" w:cs="Times New Roman"/>
          <w:szCs w:val="24"/>
        </w:rPr>
        <w:t xml:space="preserve"> must be able to answer questions about the study.</w:t>
      </w:r>
    </w:p>
    <w:p w14:paraId="396FD775" w14:textId="77777777" w:rsidR="00CD6A93" w:rsidRPr="00AA4677" w:rsidRDefault="00CD6A93" w:rsidP="00CD6A93">
      <w:pPr>
        <w:rPr>
          <w:rFonts w:cs="Calibri"/>
        </w:rPr>
      </w:pPr>
      <w:r w:rsidRPr="00AA4677">
        <w:rPr>
          <w:rFonts w:cs="Calibri"/>
        </w:rPr>
        <w:t>Except as provided elsewhere in these Standard Operating Procedures:</w:t>
      </w:r>
    </w:p>
    <w:p w14:paraId="12A97D59" w14:textId="77777777" w:rsidR="00CD6A93" w:rsidRPr="00AA4677" w:rsidRDefault="00CD6A93">
      <w:pPr>
        <w:pStyle w:val="ListParagraph"/>
        <w:numPr>
          <w:ilvl w:val="0"/>
          <w:numId w:val="150"/>
        </w:numPr>
        <w:spacing w:after="120" w:line="240" w:lineRule="auto"/>
        <w:ind w:left="360"/>
        <w:rPr>
          <w:rFonts w:cs="Calibri"/>
        </w:rPr>
      </w:pPr>
      <w:r w:rsidRPr="00AA4677">
        <w:rPr>
          <w:rFonts w:cs="Calibri"/>
        </w:rPr>
        <w:t>Before involving a human subject in research, an investigator shall obtain the legally effective informed consent of the subject or the subject’s LAR</w:t>
      </w:r>
    </w:p>
    <w:p w14:paraId="0B3A6AA5" w14:textId="77777777" w:rsidR="00CD6A93" w:rsidRPr="00AA4677" w:rsidRDefault="00CD6A93">
      <w:pPr>
        <w:pStyle w:val="ListParagraph"/>
        <w:numPr>
          <w:ilvl w:val="0"/>
          <w:numId w:val="150"/>
        </w:numPr>
        <w:spacing w:after="120" w:line="240" w:lineRule="auto"/>
        <w:ind w:left="360"/>
        <w:contextualSpacing w:val="0"/>
        <w:rPr>
          <w:rFonts w:cs="Calibri"/>
        </w:rPr>
      </w:pPr>
      <w:r w:rsidRPr="00AA4677">
        <w:rPr>
          <w:rFonts w:cs="Calibri"/>
        </w:rPr>
        <w:t xml:space="preserve">An investigator shall seek informed consent only under circumstances that provide the prospective subject or the LAR sufficient opportunity to discuss and consider </w:t>
      </w:r>
      <w:proofErr w:type="gramStart"/>
      <w:r w:rsidRPr="00AA4677">
        <w:rPr>
          <w:rFonts w:cs="Calibri"/>
        </w:rPr>
        <w:t>whether or not</w:t>
      </w:r>
      <w:proofErr w:type="gramEnd"/>
      <w:r w:rsidRPr="00AA4677">
        <w:rPr>
          <w:rFonts w:cs="Calibri"/>
        </w:rPr>
        <w:t xml:space="preserve"> to participate and that minimize the possibility of coercion or undue influence </w:t>
      </w:r>
    </w:p>
    <w:p w14:paraId="5B19EEF7" w14:textId="77777777" w:rsidR="00CD6A93" w:rsidRPr="00AA4677" w:rsidRDefault="00CD6A93">
      <w:pPr>
        <w:pStyle w:val="ListParagraph"/>
        <w:numPr>
          <w:ilvl w:val="0"/>
          <w:numId w:val="150"/>
        </w:numPr>
        <w:spacing w:after="120" w:line="240" w:lineRule="auto"/>
        <w:ind w:left="360"/>
        <w:contextualSpacing w:val="0"/>
        <w:rPr>
          <w:rFonts w:cs="Calibri"/>
        </w:rPr>
      </w:pPr>
      <w:r w:rsidRPr="00AA4677">
        <w:rPr>
          <w:rFonts w:cs="Calibri"/>
        </w:rPr>
        <w:t xml:space="preserve">The information that is given to the subject or the LAR shall be in language understandable to the subject or the LAR </w:t>
      </w:r>
    </w:p>
    <w:p w14:paraId="35A5BBE8" w14:textId="575C7B22" w:rsidR="00A0731F" w:rsidRPr="00AA4677" w:rsidRDefault="00CD6A93">
      <w:pPr>
        <w:pStyle w:val="ListParagraph"/>
        <w:numPr>
          <w:ilvl w:val="0"/>
          <w:numId w:val="150"/>
        </w:numPr>
        <w:spacing w:after="120" w:line="240" w:lineRule="auto"/>
        <w:ind w:left="360"/>
        <w:contextualSpacing w:val="0"/>
        <w:rPr>
          <w:rFonts w:cs="Calibri"/>
        </w:rPr>
      </w:pPr>
      <w:r w:rsidRPr="00AA4677">
        <w:rPr>
          <w:rFonts w:cs="Calibri"/>
        </w:rPr>
        <w:t xml:space="preserve">The prospective subject or the LAR must be provided with the information that a reasonable person would want to have </w:t>
      </w:r>
      <w:proofErr w:type="gramStart"/>
      <w:r w:rsidRPr="00AA4677">
        <w:rPr>
          <w:rFonts w:cs="Calibri"/>
        </w:rPr>
        <w:t>in order to</w:t>
      </w:r>
      <w:proofErr w:type="gramEnd"/>
      <w:r w:rsidRPr="00AA4677">
        <w:rPr>
          <w:rFonts w:cs="Calibri"/>
        </w:rPr>
        <w:t xml:space="preserve"> make an informed decision about whether to participate, and an opportunity to discuss that information</w:t>
      </w:r>
    </w:p>
    <w:p w14:paraId="373AFAED" w14:textId="2AE7783F" w:rsidR="00A0731F" w:rsidRPr="00AA4677" w:rsidRDefault="00CD6A93">
      <w:pPr>
        <w:pStyle w:val="ListParagraph"/>
        <w:numPr>
          <w:ilvl w:val="0"/>
          <w:numId w:val="150"/>
        </w:numPr>
        <w:spacing w:after="120" w:line="240" w:lineRule="auto"/>
        <w:ind w:left="360"/>
        <w:contextualSpacing w:val="0"/>
        <w:rPr>
          <w:rFonts w:cs="Calibri"/>
        </w:rPr>
      </w:pPr>
      <w:r w:rsidRPr="00AA4677">
        <w:rPr>
          <w:rFonts w:cs="Calibri"/>
        </w:rPr>
        <w:t>Informed consent must begin with a concise</w:t>
      </w:r>
      <w:r w:rsidR="00D17E1E" w:rsidRPr="00AA4677">
        <w:rPr>
          <w:rFonts w:cs="Calibri"/>
        </w:rPr>
        <w:t xml:space="preserve"> (e.g., brief but comprehensive)</w:t>
      </w:r>
      <w:r w:rsidRPr="00AA4677">
        <w:rPr>
          <w:rFonts w:cs="Calibri"/>
        </w:rPr>
        <w:t xml:space="preserve"> and focused presentation of the key information that is most likely to assist a prospective subject or LAR in understanding the reasons why one might or might not want to participate in the research. This part of the informed consent must be organized and presented in a way that facilitates comprehensio</w:t>
      </w:r>
      <w:r w:rsidR="00A0731F" w:rsidRPr="00AA4677">
        <w:rPr>
          <w:rFonts w:cs="Calibri"/>
        </w:rPr>
        <w:t>n</w:t>
      </w:r>
      <w:r w:rsidR="00D17E1E" w:rsidRPr="00AA4677">
        <w:rPr>
          <w:rFonts w:cs="Calibri"/>
        </w:rPr>
        <w:t>. Key is defined as:</w:t>
      </w:r>
    </w:p>
    <w:p w14:paraId="7CB3973D" w14:textId="0E91EC9D" w:rsidR="00D17E1E" w:rsidRPr="00AA4677" w:rsidRDefault="00D17E1E">
      <w:pPr>
        <w:pStyle w:val="ListParagraph"/>
        <w:numPr>
          <w:ilvl w:val="0"/>
          <w:numId w:val="312"/>
        </w:numPr>
        <w:spacing w:after="120" w:line="240" w:lineRule="auto"/>
        <w:ind w:left="360"/>
        <w:rPr>
          <w:rFonts w:cs="Calibri"/>
        </w:rPr>
      </w:pPr>
      <w:r w:rsidRPr="00AA4677">
        <w:rPr>
          <w:rFonts w:cs="Calibri"/>
        </w:rPr>
        <w:t xml:space="preserve">Consent is being sought for research </w:t>
      </w:r>
      <w:proofErr w:type="gramStart"/>
      <w:r w:rsidRPr="00AA4677">
        <w:rPr>
          <w:rFonts w:cs="Calibri"/>
        </w:rPr>
        <w:t>an</w:t>
      </w:r>
      <w:proofErr w:type="gramEnd"/>
      <w:r w:rsidRPr="00AA4677">
        <w:rPr>
          <w:rFonts w:cs="Calibri"/>
        </w:rPr>
        <w:t xml:space="preserve"> participation is voluntary</w:t>
      </w:r>
    </w:p>
    <w:p w14:paraId="0F2EEE7F" w14:textId="40E7826D" w:rsidR="00D17E1E" w:rsidRPr="00AA4677" w:rsidRDefault="00D17E1E">
      <w:pPr>
        <w:pStyle w:val="ListParagraph"/>
        <w:numPr>
          <w:ilvl w:val="0"/>
          <w:numId w:val="312"/>
        </w:numPr>
        <w:spacing w:after="120" w:line="240" w:lineRule="auto"/>
        <w:ind w:left="360"/>
        <w:rPr>
          <w:rFonts w:cs="Calibri"/>
        </w:rPr>
      </w:pPr>
      <w:r w:rsidRPr="00AA4677">
        <w:rPr>
          <w:rFonts w:cs="Calibri"/>
        </w:rPr>
        <w:t xml:space="preserve">The purpose of the </w:t>
      </w:r>
      <w:r w:rsidR="00717203" w:rsidRPr="00AA4677">
        <w:rPr>
          <w:rFonts w:cs="Calibri"/>
        </w:rPr>
        <w:t>research</w:t>
      </w:r>
      <w:r w:rsidRPr="00AA4677">
        <w:rPr>
          <w:rFonts w:cs="Calibri"/>
        </w:rPr>
        <w:t>, duration and procedures</w:t>
      </w:r>
    </w:p>
    <w:p w14:paraId="1BE2EAB6" w14:textId="31F393CF" w:rsidR="00D17E1E" w:rsidRPr="00AA4677" w:rsidRDefault="00D17E1E">
      <w:pPr>
        <w:pStyle w:val="ListParagraph"/>
        <w:numPr>
          <w:ilvl w:val="0"/>
          <w:numId w:val="312"/>
        </w:numPr>
        <w:spacing w:after="120" w:line="240" w:lineRule="auto"/>
        <w:ind w:left="360"/>
        <w:rPr>
          <w:rFonts w:cs="Calibri"/>
        </w:rPr>
      </w:pPr>
      <w:r w:rsidRPr="00AA4677">
        <w:rPr>
          <w:rFonts w:cs="Calibri"/>
        </w:rPr>
        <w:t>Re</w:t>
      </w:r>
      <w:r w:rsidR="00164DE8" w:rsidRPr="00AA4677">
        <w:rPr>
          <w:rFonts w:cs="Calibri"/>
        </w:rPr>
        <w:t>a</w:t>
      </w:r>
      <w:r w:rsidRPr="00AA4677">
        <w:rPr>
          <w:rFonts w:cs="Calibri"/>
        </w:rPr>
        <w:t>sonably foreseeable risks/discomforts</w:t>
      </w:r>
    </w:p>
    <w:p w14:paraId="1FE31BCB" w14:textId="73D170D9" w:rsidR="00D17E1E" w:rsidRPr="00AA4677" w:rsidRDefault="00D17E1E">
      <w:pPr>
        <w:pStyle w:val="ListParagraph"/>
        <w:numPr>
          <w:ilvl w:val="0"/>
          <w:numId w:val="312"/>
        </w:numPr>
        <w:spacing w:after="120" w:line="240" w:lineRule="auto"/>
        <w:ind w:left="360"/>
        <w:rPr>
          <w:rFonts w:cs="Calibri"/>
        </w:rPr>
      </w:pPr>
      <w:r w:rsidRPr="00AA4677">
        <w:rPr>
          <w:rFonts w:cs="Calibri"/>
        </w:rPr>
        <w:lastRenderedPageBreak/>
        <w:t>Re</w:t>
      </w:r>
      <w:r w:rsidR="00164DE8" w:rsidRPr="00AA4677">
        <w:rPr>
          <w:rFonts w:cs="Calibri"/>
        </w:rPr>
        <w:t>a</w:t>
      </w:r>
      <w:r w:rsidRPr="00AA4677">
        <w:rPr>
          <w:rFonts w:cs="Calibri"/>
        </w:rPr>
        <w:t>sonably expected benefits</w:t>
      </w:r>
    </w:p>
    <w:p w14:paraId="76B22422" w14:textId="67E1DB48" w:rsidR="00E56B5B" w:rsidRPr="00AA4677" w:rsidRDefault="00D17E1E">
      <w:pPr>
        <w:pStyle w:val="ListParagraph"/>
        <w:numPr>
          <w:ilvl w:val="0"/>
          <w:numId w:val="312"/>
        </w:numPr>
        <w:spacing w:after="120" w:line="240" w:lineRule="auto"/>
        <w:ind w:left="360"/>
        <w:rPr>
          <w:rFonts w:cs="Calibri"/>
        </w:rPr>
      </w:pPr>
      <w:r w:rsidRPr="00AA4677">
        <w:rPr>
          <w:rFonts w:cs="Calibri"/>
        </w:rPr>
        <w:t>Appropriate alternative course of treatment</w:t>
      </w:r>
    </w:p>
    <w:p w14:paraId="72EFC5D6" w14:textId="4A2CE431" w:rsidR="00CD6A93" w:rsidRPr="00AA4677" w:rsidRDefault="00CD6A93">
      <w:pPr>
        <w:pStyle w:val="ListParagraph"/>
        <w:numPr>
          <w:ilvl w:val="0"/>
          <w:numId w:val="150"/>
        </w:numPr>
        <w:spacing w:after="120" w:line="240" w:lineRule="auto"/>
        <w:ind w:left="360"/>
        <w:contextualSpacing w:val="0"/>
        <w:rPr>
          <w:rFonts w:cs="Calibri"/>
        </w:rPr>
      </w:pPr>
      <w:r w:rsidRPr="00AA4677">
        <w:rPr>
          <w:rFonts w:cs="Calibri"/>
        </w:rPr>
        <w:t xml:space="preserve">Informed consent </w:t>
      </w:r>
      <w:proofErr w:type="gramStart"/>
      <w:r w:rsidRPr="00AA4677">
        <w:rPr>
          <w:rFonts w:cs="Calibri"/>
        </w:rPr>
        <w:t>as a whole must</w:t>
      </w:r>
      <w:proofErr w:type="gramEnd"/>
      <w:r w:rsidRPr="00AA4677">
        <w:rPr>
          <w:rFonts w:cs="Calibri"/>
        </w:rPr>
        <w:t xml:space="preserve"> present information in sufficient detail relating to the research, and must be organized and presented in a way that does not merely provide lists of isolated facts, but rather </w:t>
      </w:r>
      <w:proofErr w:type="gramStart"/>
      <w:r w:rsidRPr="00AA4677">
        <w:rPr>
          <w:rFonts w:cs="Calibri"/>
        </w:rPr>
        <w:t>facilitates</w:t>
      </w:r>
      <w:proofErr w:type="gramEnd"/>
      <w:r w:rsidRPr="00AA4677">
        <w:rPr>
          <w:rFonts w:cs="Calibri"/>
        </w:rPr>
        <w:t xml:space="preserve"> the prospective subject’s or LAR’s understanding of the reasons why one might or might not want to participate </w:t>
      </w:r>
    </w:p>
    <w:p w14:paraId="73859D9F" w14:textId="77777777" w:rsidR="00CD6A93" w:rsidRPr="00AA4677" w:rsidRDefault="00CD6A93">
      <w:pPr>
        <w:pStyle w:val="ListParagraph"/>
        <w:numPr>
          <w:ilvl w:val="0"/>
          <w:numId w:val="150"/>
        </w:numPr>
        <w:spacing w:after="120" w:line="240" w:lineRule="auto"/>
        <w:ind w:left="360"/>
        <w:contextualSpacing w:val="0"/>
        <w:rPr>
          <w:rFonts w:cs="Calibri"/>
        </w:rPr>
      </w:pPr>
      <w:r w:rsidRPr="00AA4677">
        <w:rPr>
          <w:rFonts w:cs="Calibri"/>
        </w:rPr>
        <w:t xml:space="preserve">No informed consent may include any exculpatory language through which the subject or the LAR is made to waive or appear to waive any of the subject’s legal rights, or releases or appears to release the investigator, the sponsor, the institution, or its agents from liability for negligence.  </w:t>
      </w:r>
    </w:p>
    <w:p w14:paraId="67FCD8C4" w14:textId="77777777" w:rsidR="00CD6A93" w:rsidRPr="00AA4677" w:rsidRDefault="00CD6A93" w:rsidP="00CD6A93">
      <w:r w:rsidRPr="00AA4677">
        <w:t xml:space="preserve">These informed consent requirements are not intended to preempt any applicable federal, state, or local laws (including tribal laws passed by the official governing body of an American Indian or Alaska Native tribe) that have additional requirements for informed consent to be legally effective. </w:t>
      </w:r>
    </w:p>
    <w:p w14:paraId="07416CD2" w14:textId="77777777" w:rsidR="00FC174E" w:rsidRPr="00AA4677" w:rsidRDefault="00FC174E" w:rsidP="00696B35">
      <w:pPr>
        <w:pStyle w:val="Heading2"/>
      </w:pPr>
      <w:bookmarkStart w:id="92" w:name="_Toc192678199"/>
      <w:r w:rsidRPr="00AA4677">
        <w:t>5.4 Informed Consent Process</w:t>
      </w:r>
      <w:bookmarkEnd w:id="92"/>
    </w:p>
    <w:p w14:paraId="6AA9A537" w14:textId="77777777" w:rsidR="00B13DA6" w:rsidRPr="00AA4677" w:rsidRDefault="00FC174E" w:rsidP="00B13DA6">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Informed consent must be obtained under the following circumstances: </w:t>
      </w:r>
    </w:p>
    <w:p w14:paraId="19D47159" w14:textId="09341077" w:rsidR="00FC174E" w:rsidRPr="00AA4677" w:rsidRDefault="00FC174E" w:rsidP="00C129F1">
      <w:pPr>
        <w:numPr>
          <w:ilvl w:val="0"/>
          <w:numId w:val="1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Informed consent may only be obtained from subjects who have the legal and mental capacity to give consent.  For subjects without that capacity, consent must be obtained from a legal guardian or a legally authorized representative.</w:t>
      </w:r>
    </w:p>
    <w:p w14:paraId="060D0FEB" w14:textId="77777777" w:rsidR="00FC174E" w:rsidRPr="00AA4677" w:rsidRDefault="00FC174E" w:rsidP="00C129F1">
      <w:pPr>
        <w:numPr>
          <w:ilvl w:val="0"/>
          <w:numId w:val="1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The informed consent process shall be sought under circumstances that provide the subject (or legally authorized representative) with sufficient opportunity to consider </w:t>
      </w:r>
      <w:proofErr w:type="gramStart"/>
      <w:r w:rsidRPr="00AA4677">
        <w:rPr>
          <w:rFonts w:eastAsia="Times New Roman" w:cs="Times New Roman"/>
          <w:szCs w:val="24"/>
        </w:rPr>
        <w:t>whether or not</w:t>
      </w:r>
      <w:proofErr w:type="gramEnd"/>
      <w:r w:rsidRPr="00AA4677">
        <w:rPr>
          <w:rFonts w:eastAsia="Times New Roman" w:cs="Times New Roman"/>
          <w:szCs w:val="24"/>
        </w:rPr>
        <w:t xml:space="preserve"> to participate.</w:t>
      </w:r>
    </w:p>
    <w:p w14:paraId="3E2860C5" w14:textId="77777777" w:rsidR="00FC174E" w:rsidRPr="00AA4677" w:rsidRDefault="00FC174E" w:rsidP="00C129F1">
      <w:pPr>
        <w:numPr>
          <w:ilvl w:val="0"/>
          <w:numId w:val="1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The informed consent process shall be sought under circumstances that minimize the possibility of coercion or undue influence.</w:t>
      </w:r>
    </w:p>
    <w:p w14:paraId="2E153A76" w14:textId="77777777" w:rsidR="00FC174E" w:rsidRPr="00AA4677" w:rsidRDefault="00FC174E" w:rsidP="00C129F1">
      <w:pPr>
        <w:numPr>
          <w:ilvl w:val="0"/>
          <w:numId w:val="1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The informed consent information must be presented in language that is understandable to the subject (or legally authorized representative).  To the extent possible, the language should be understandable by a person who is educated to 8th grade level and layman’s terms shall be used in the description of the research.</w:t>
      </w:r>
    </w:p>
    <w:p w14:paraId="7F7092FC" w14:textId="70139595" w:rsidR="00FC174E" w:rsidRPr="00AA4677" w:rsidRDefault="00FC174E" w:rsidP="00C129F1">
      <w:pPr>
        <w:numPr>
          <w:ilvl w:val="0"/>
          <w:numId w:val="1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For subjects whose native language is not English, informed consent must be obtained in a language that is understandable to the subject (or </w:t>
      </w:r>
      <w:r w:rsidR="00495B90" w:rsidRPr="00AA4677">
        <w:rPr>
          <w:rFonts w:eastAsia="Times New Roman" w:cs="Times New Roman"/>
          <w:szCs w:val="24"/>
        </w:rPr>
        <w:t xml:space="preserve">to </w:t>
      </w:r>
      <w:r w:rsidRPr="00AA4677">
        <w:rPr>
          <w:rFonts w:eastAsia="Times New Roman" w:cs="Times New Roman"/>
          <w:szCs w:val="24"/>
        </w:rPr>
        <w:t xml:space="preserve">the subject’s legally authorized representative). In accordance with this policy, </w:t>
      </w:r>
      <w:r w:rsidR="00B13DA6"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requires that informed consent conferenc</w:t>
      </w:r>
      <w:r w:rsidR="000042C4" w:rsidRPr="00AA4677">
        <w:rPr>
          <w:rFonts w:eastAsia="Times New Roman" w:cs="Times New Roman"/>
          <w:szCs w:val="24"/>
        </w:rPr>
        <w:t xml:space="preserve">es include a </w:t>
      </w:r>
      <w:r w:rsidR="00D83438" w:rsidRPr="00AA4677">
        <w:rPr>
          <w:rFonts w:eastAsia="Times New Roman" w:cs="Times New Roman"/>
          <w:szCs w:val="24"/>
        </w:rPr>
        <w:t>qualified</w:t>
      </w:r>
      <w:r w:rsidR="000042C4" w:rsidRPr="00AA4677">
        <w:rPr>
          <w:rFonts w:eastAsia="Times New Roman" w:cs="Times New Roman"/>
          <w:szCs w:val="24"/>
        </w:rPr>
        <w:t xml:space="preserve"> interpreter</w:t>
      </w:r>
      <w:r w:rsidRPr="00AA4677">
        <w:rPr>
          <w:rFonts w:eastAsia="Times New Roman" w:cs="Times New Roman"/>
          <w:szCs w:val="24"/>
        </w:rPr>
        <w:t xml:space="preserve"> when the prospective subject does not understand the language of the person who is obtaining consent.</w:t>
      </w:r>
      <w:r w:rsidR="00EE269B" w:rsidRPr="00AA4677">
        <w:rPr>
          <w:rFonts w:eastAsia="Times New Roman" w:cs="Times New Roman"/>
          <w:szCs w:val="24"/>
        </w:rPr>
        <w:t xml:space="preserve"> </w:t>
      </w:r>
      <w:bookmarkStart w:id="93" w:name="_Hlk194660035"/>
      <w:r w:rsidR="00EE269B" w:rsidRPr="00AA4677">
        <w:rPr>
          <w:rFonts w:eastAsia="Times New Roman" w:cs="Times New Roman"/>
          <w:szCs w:val="24"/>
        </w:rPr>
        <w:t>This can include someone affiliated with the study.</w:t>
      </w:r>
    </w:p>
    <w:bookmarkEnd w:id="93"/>
    <w:p w14:paraId="1CC3D0C0" w14:textId="4348014F" w:rsidR="00FC174E" w:rsidRPr="00AA4677" w:rsidRDefault="00FC174E" w:rsidP="00C129F1">
      <w:pPr>
        <w:numPr>
          <w:ilvl w:val="1"/>
          <w:numId w:val="18"/>
        </w:numPr>
        <w:shd w:val="clear" w:color="auto" w:fill="FFFFFF"/>
        <w:spacing w:before="100" w:beforeAutospacing="1" w:after="100" w:afterAutospacing="1" w:line="240" w:lineRule="auto"/>
        <w:ind w:left="720"/>
        <w:rPr>
          <w:rFonts w:eastAsia="Times New Roman" w:cs="Times New Roman"/>
          <w:b/>
          <w:i/>
          <w:szCs w:val="24"/>
        </w:rPr>
      </w:pPr>
      <w:r w:rsidRPr="00AA4677">
        <w:rPr>
          <w:rFonts w:eastAsia="Times New Roman" w:cs="Times New Roman"/>
          <w:b/>
          <w:i/>
          <w:szCs w:val="24"/>
        </w:rPr>
        <w:t>See section 17.8 for additional policy governing inclusion of non-English speakers.</w:t>
      </w:r>
    </w:p>
    <w:p w14:paraId="1F2C0B53" w14:textId="162BBB53" w:rsidR="00FC174E" w:rsidRPr="00AA4677" w:rsidRDefault="00FC174E" w:rsidP="00C129F1">
      <w:pPr>
        <w:numPr>
          <w:ilvl w:val="0"/>
          <w:numId w:val="18"/>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The informed consent process may not include any exculpatory language through which the subject is made to </w:t>
      </w:r>
      <w:proofErr w:type="gramStart"/>
      <w:r w:rsidRPr="00AA4677">
        <w:rPr>
          <w:rFonts w:eastAsia="Times New Roman" w:cs="Times New Roman"/>
          <w:szCs w:val="24"/>
        </w:rPr>
        <w:t>waive, or</w:t>
      </w:r>
      <w:proofErr w:type="gramEnd"/>
      <w:r w:rsidRPr="00AA4677">
        <w:rPr>
          <w:rFonts w:eastAsia="Times New Roman" w:cs="Times New Roman"/>
          <w:szCs w:val="24"/>
        </w:rPr>
        <w:t xml:space="preserve"> appear to waive any of the subject’s legal rights or through which </w:t>
      </w:r>
      <w:r w:rsidRPr="00AA4677">
        <w:rPr>
          <w:rFonts w:eastAsia="Times New Roman" w:cs="Times New Roman"/>
          <w:szCs w:val="24"/>
        </w:rPr>
        <w:lastRenderedPageBreak/>
        <w:t>the investigator, the sponsor, the University employees or agents are released from liability for negligence, or appear to be so released.</w:t>
      </w:r>
    </w:p>
    <w:p w14:paraId="77BB441E" w14:textId="3C670393" w:rsidR="00FC174E" w:rsidRPr="00AA4677" w:rsidRDefault="00FC174E" w:rsidP="00C129F1">
      <w:pPr>
        <w:numPr>
          <w:ilvl w:val="0"/>
          <w:numId w:val="18"/>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Although the PI may delegate the responsibility of obtaining consent from subjects to other members of his/her research team, the PI retains ultimate responsibility for insuring that each prospective subject is adequately informed about all aspects of the research and understands the information provided.  It is the PI's responsibility to train and supervise the study personnel who are obtaining consent</w:t>
      </w:r>
    </w:p>
    <w:p w14:paraId="66313259" w14:textId="52371B98" w:rsidR="00FC174E" w:rsidRPr="00AA4677" w:rsidRDefault="00FC174E" w:rsidP="00C129F1">
      <w:pPr>
        <w:numPr>
          <w:ilvl w:val="0"/>
          <w:numId w:val="18"/>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The individual who signs the consent form as the '</w:t>
      </w:r>
      <w:r w:rsidR="00B13DA6" w:rsidRPr="00AA4677">
        <w:rPr>
          <w:rFonts w:eastAsia="Times New Roman" w:cs="Times New Roman"/>
          <w:szCs w:val="24"/>
        </w:rPr>
        <w:t>p</w:t>
      </w:r>
      <w:r w:rsidRPr="00AA4677">
        <w:rPr>
          <w:rFonts w:eastAsia="Times New Roman" w:cs="Times New Roman"/>
          <w:szCs w:val="24"/>
        </w:rPr>
        <w:t>erson obtaining consent' is responsible for leading the potential subject through the entire consent process. This means:</w:t>
      </w:r>
    </w:p>
    <w:p w14:paraId="08657F7D" w14:textId="220E41A4" w:rsidR="00FC174E" w:rsidRPr="00AA4677" w:rsidRDefault="00FC174E">
      <w:pPr>
        <w:numPr>
          <w:ilvl w:val="1"/>
          <w:numId w:val="282"/>
        </w:numPr>
        <w:shd w:val="clear" w:color="auto" w:fill="FFFFFF"/>
        <w:tabs>
          <w:tab w:val="clear" w:pos="144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All aspects of the study, as described in the consent form, are first discu</w:t>
      </w:r>
      <w:r w:rsidR="00B13DA6" w:rsidRPr="00AA4677">
        <w:rPr>
          <w:rFonts w:eastAsia="Times New Roman" w:cs="Times New Roman"/>
          <w:szCs w:val="24"/>
        </w:rPr>
        <w:t xml:space="preserve">ssed with the potential </w:t>
      </w:r>
      <w:proofErr w:type="gramStart"/>
      <w:r w:rsidR="00B13DA6" w:rsidRPr="00AA4677">
        <w:rPr>
          <w:rFonts w:eastAsia="Times New Roman" w:cs="Times New Roman"/>
          <w:szCs w:val="24"/>
        </w:rPr>
        <w:t>subject;</w:t>
      </w:r>
      <w:proofErr w:type="gramEnd"/>
    </w:p>
    <w:p w14:paraId="38D89B41" w14:textId="44B8E315" w:rsidR="00FC174E" w:rsidRPr="00AA4677" w:rsidRDefault="00FC174E">
      <w:pPr>
        <w:numPr>
          <w:ilvl w:val="1"/>
          <w:numId w:val="282"/>
        </w:numPr>
        <w:shd w:val="clear" w:color="auto" w:fill="FFFFFF"/>
        <w:tabs>
          <w:tab w:val="clear" w:pos="144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 xml:space="preserve">The consent form is thoroughly reviewed with the potential subject and answers to the potential subject's questions are </w:t>
      </w:r>
      <w:proofErr w:type="gramStart"/>
      <w:r w:rsidRPr="00AA4677">
        <w:rPr>
          <w:rFonts w:eastAsia="Times New Roman" w:cs="Times New Roman"/>
          <w:szCs w:val="24"/>
        </w:rPr>
        <w:t>provided</w:t>
      </w:r>
      <w:r w:rsidR="00B13DA6" w:rsidRPr="00AA4677">
        <w:rPr>
          <w:rFonts w:eastAsia="Times New Roman" w:cs="Times New Roman"/>
          <w:szCs w:val="24"/>
        </w:rPr>
        <w:t>;</w:t>
      </w:r>
      <w:proofErr w:type="gramEnd"/>
    </w:p>
    <w:p w14:paraId="68C8D2F8" w14:textId="2189AB45" w:rsidR="00FC174E" w:rsidRPr="00AA4677" w:rsidRDefault="00FC174E">
      <w:pPr>
        <w:numPr>
          <w:ilvl w:val="1"/>
          <w:numId w:val="282"/>
        </w:numPr>
        <w:shd w:val="clear" w:color="auto" w:fill="FFFFFF"/>
        <w:tabs>
          <w:tab w:val="clear" w:pos="144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While reviewing the consent form, the person obtaining consent asks questions designed to assess the potential subject's understanding of the material. The person will specifically state this intent</w:t>
      </w:r>
      <w:r w:rsidR="00B13DA6" w:rsidRPr="00AA4677">
        <w:rPr>
          <w:rFonts w:eastAsia="Times New Roman" w:cs="Times New Roman"/>
          <w:szCs w:val="24"/>
        </w:rPr>
        <w:t xml:space="preserve"> </w:t>
      </w:r>
      <w:proofErr w:type="gramStart"/>
      <w:r w:rsidR="00B13DA6" w:rsidRPr="00AA4677">
        <w:rPr>
          <w:rFonts w:eastAsia="Times New Roman" w:cs="Times New Roman"/>
          <w:szCs w:val="24"/>
        </w:rPr>
        <w:t>to</w:t>
      </w:r>
      <w:proofErr w:type="gramEnd"/>
      <w:r w:rsidR="00B13DA6" w:rsidRPr="00AA4677">
        <w:rPr>
          <w:rFonts w:eastAsia="Times New Roman" w:cs="Times New Roman"/>
          <w:szCs w:val="24"/>
        </w:rPr>
        <w:t xml:space="preserve"> the potential subject (i.e.</w:t>
      </w:r>
      <w:r w:rsidRPr="00AA4677">
        <w:rPr>
          <w:rFonts w:eastAsia="Times New Roman" w:cs="Times New Roman"/>
          <w:szCs w:val="24"/>
        </w:rPr>
        <w:t xml:space="preserve"> the person is making sure the potential subject appreciates what s/he</w:t>
      </w:r>
      <w:r w:rsidR="00B13DA6" w:rsidRPr="00AA4677">
        <w:rPr>
          <w:rFonts w:eastAsia="Times New Roman" w:cs="Times New Roman"/>
          <w:szCs w:val="24"/>
        </w:rPr>
        <w:t xml:space="preserve"> is being asked to do, and why</w:t>
      </w:r>
      <w:proofErr w:type="gramStart"/>
      <w:r w:rsidR="00B13DA6" w:rsidRPr="00AA4677">
        <w:rPr>
          <w:rFonts w:eastAsia="Times New Roman" w:cs="Times New Roman"/>
          <w:szCs w:val="24"/>
        </w:rPr>
        <w:t>);</w:t>
      </w:r>
      <w:proofErr w:type="gramEnd"/>
    </w:p>
    <w:p w14:paraId="7B52636F" w14:textId="6B414BF1" w:rsidR="00FC174E" w:rsidRPr="00AA4677" w:rsidRDefault="00FC174E">
      <w:pPr>
        <w:numPr>
          <w:ilvl w:val="1"/>
          <w:numId w:val="282"/>
        </w:numPr>
        <w:shd w:val="clear" w:color="auto" w:fill="FFFFFF"/>
        <w:tabs>
          <w:tab w:val="clear" w:pos="144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 xml:space="preserve">The potential subject is given ample opportunity to decide, without coercion or undue influence, </w:t>
      </w:r>
      <w:proofErr w:type="gramStart"/>
      <w:r w:rsidRPr="00AA4677">
        <w:rPr>
          <w:rFonts w:eastAsia="Times New Roman" w:cs="Times New Roman"/>
          <w:szCs w:val="24"/>
        </w:rPr>
        <w:t xml:space="preserve">whether </w:t>
      </w:r>
      <w:r w:rsidR="00B13DA6" w:rsidRPr="00AA4677">
        <w:rPr>
          <w:rFonts w:eastAsia="Times New Roman" w:cs="Times New Roman"/>
          <w:szCs w:val="24"/>
        </w:rPr>
        <w:t>or not</w:t>
      </w:r>
      <w:proofErr w:type="gramEnd"/>
      <w:r w:rsidR="00B13DA6" w:rsidRPr="00AA4677">
        <w:rPr>
          <w:rFonts w:eastAsia="Times New Roman" w:cs="Times New Roman"/>
          <w:szCs w:val="24"/>
        </w:rPr>
        <w:t xml:space="preserve"> to be in the study; and</w:t>
      </w:r>
    </w:p>
    <w:p w14:paraId="22BD9662" w14:textId="77777777" w:rsidR="00FC174E" w:rsidRPr="00AA4677" w:rsidRDefault="00FC174E">
      <w:pPr>
        <w:numPr>
          <w:ilvl w:val="1"/>
          <w:numId w:val="282"/>
        </w:numPr>
        <w:shd w:val="clear" w:color="auto" w:fill="FFFFFF"/>
        <w:tabs>
          <w:tab w:val="clear" w:pos="144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The consent process does not end with the formal signing of the consent document. Rather, it is an ongoing process that continues throughout the subject's participation in the study. The person obtaining consent remains responsible for continued assessments of the subject's understanding of what is happening to him/her, his/her willingness to participate and for providing the subject with any new information that may affect their willingness to participate.</w:t>
      </w:r>
    </w:p>
    <w:p w14:paraId="5E3EE738" w14:textId="77777777" w:rsidR="00FC174E" w:rsidRPr="00AA4677" w:rsidRDefault="00FC174E" w:rsidP="00696B35">
      <w:pPr>
        <w:pStyle w:val="Heading2"/>
      </w:pPr>
      <w:bookmarkStart w:id="94" w:name="_Toc192678200"/>
      <w:r w:rsidRPr="00AA4677">
        <w:t>5.5 Determining a potential adult subject's ability to consent to research</w:t>
      </w:r>
      <w:bookmarkEnd w:id="94"/>
    </w:p>
    <w:p w14:paraId="65D8F49C" w14:textId="2D58ECF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For the purpose of</w:t>
      </w:r>
      <w:proofErr w:type="gramEnd"/>
      <w:r w:rsidRPr="00AA4677">
        <w:rPr>
          <w:rFonts w:eastAsia="Times New Roman" w:cs="Times New Roman"/>
          <w:szCs w:val="24"/>
        </w:rPr>
        <w:t xml:space="preserve"> this section, a subject has the capacity to consent to his or her own participation in a research activity if s</w:t>
      </w:r>
      <w:r w:rsidR="000042C4" w:rsidRPr="00AA4677">
        <w:rPr>
          <w:rFonts w:eastAsia="Times New Roman" w:cs="Times New Roman"/>
          <w:szCs w:val="24"/>
        </w:rPr>
        <w:t>/he demonstrates the following</w:t>
      </w:r>
      <w:r w:rsidRPr="00AA4677">
        <w:rPr>
          <w:rFonts w:eastAsia="Times New Roman" w:cs="Times New Roman"/>
          <w:szCs w:val="24"/>
        </w:rPr>
        <w:t>:</w:t>
      </w:r>
    </w:p>
    <w:p w14:paraId="4F2CF19E" w14:textId="16854D28" w:rsidR="00FC174E" w:rsidRPr="00AA4677" w:rsidRDefault="00B13DA6" w:rsidP="00C129F1">
      <w:pPr>
        <w:numPr>
          <w:ilvl w:val="0"/>
          <w:numId w:val="1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hat the activity is research, not standard </w:t>
      </w:r>
      <w:proofErr w:type="gramStart"/>
      <w:r w:rsidR="00FC174E" w:rsidRPr="00AA4677">
        <w:rPr>
          <w:rFonts w:eastAsia="Times New Roman" w:cs="Times New Roman"/>
          <w:szCs w:val="24"/>
        </w:rPr>
        <w:t>treatment</w:t>
      </w:r>
      <w:r w:rsidRPr="00AA4677">
        <w:rPr>
          <w:rFonts w:eastAsia="Times New Roman" w:cs="Times New Roman"/>
          <w:szCs w:val="24"/>
        </w:rPr>
        <w:t>;</w:t>
      </w:r>
      <w:proofErr w:type="gramEnd"/>
    </w:p>
    <w:p w14:paraId="0A3E184A" w14:textId="7E301DC0" w:rsidR="00FC174E" w:rsidRPr="00AA4677" w:rsidRDefault="000042C4" w:rsidP="00C129F1">
      <w:pPr>
        <w:numPr>
          <w:ilvl w:val="0"/>
          <w:numId w:val="1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risks and benefits of a </w:t>
      </w:r>
      <w:proofErr w:type="gramStart"/>
      <w:r w:rsidR="00FC174E" w:rsidRPr="00AA4677">
        <w:rPr>
          <w:rFonts w:eastAsia="Times New Roman" w:cs="Times New Roman"/>
          <w:szCs w:val="24"/>
        </w:rPr>
        <w:t>study</w:t>
      </w:r>
      <w:r w:rsidR="00B13DA6" w:rsidRPr="00AA4677">
        <w:rPr>
          <w:rFonts w:eastAsia="Times New Roman" w:cs="Times New Roman"/>
          <w:szCs w:val="24"/>
        </w:rPr>
        <w:t>;</w:t>
      </w:r>
      <w:proofErr w:type="gramEnd"/>
    </w:p>
    <w:p w14:paraId="0B3672DA" w14:textId="4941B5FA" w:rsidR="00FC174E" w:rsidRPr="00AA4677" w:rsidRDefault="000042C4" w:rsidP="00C129F1">
      <w:pPr>
        <w:numPr>
          <w:ilvl w:val="0"/>
          <w:numId w:val="1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 alternatives that are available if s/he does not participate</w:t>
      </w:r>
      <w:r w:rsidR="00B13DA6" w:rsidRPr="00AA4677">
        <w:rPr>
          <w:rFonts w:eastAsia="Times New Roman" w:cs="Times New Roman"/>
          <w:szCs w:val="24"/>
        </w:rPr>
        <w:t>; and</w:t>
      </w:r>
    </w:p>
    <w:p w14:paraId="42E0CFDD" w14:textId="3B569C0E" w:rsidR="00FC174E" w:rsidRPr="00AA4677" w:rsidRDefault="000042C4" w:rsidP="00C129F1">
      <w:pPr>
        <w:numPr>
          <w:ilvl w:val="0"/>
          <w:numId w:val="1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w:t>
      </w:r>
      <w:r w:rsidR="00FC174E" w:rsidRPr="00AA4677">
        <w:rPr>
          <w:rFonts w:eastAsia="Times New Roman" w:cs="Times New Roman"/>
          <w:szCs w:val="24"/>
        </w:rPr>
        <w:t xml:space="preserve"> decision</w:t>
      </w:r>
      <w:r w:rsidRPr="00AA4677">
        <w:rPr>
          <w:rFonts w:eastAsia="Times New Roman" w:cs="Times New Roman"/>
          <w:szCs w:val="24"/>
        </w:rPr>
        <w:t xml:space="preserve"> not to participate</w:t>
      </w:r>
      <w:r w:rsidR="00FC174E" w:rsidRPr="00AA4677">
        <w:rPr>
          <w:rFonts w:eastAsia="Times New Roman" w:cs="Times New Roman"/>
          <w:szCs w:val="24"/>
        </w:rPr>
        <w:t xml:space="preserve"> will be accepted without penalty, i.e. without jeopardizing clinical care</w:t>
      </w:r>
      <w:r w:rsidR="00B13DA6" w:rsidRPr="00AA4677">
        <w:rPr>
          <w:rFonts w:eastAsia="Times New Roman" w:cs="Times New Roman"/>
          <w:szCs w:val="24"/>
        </w:rPr>
        <w:t>.</w:t>
      </w:r>
    </w:p>
    <w:p w14:paraId="459333BE" w14:textId="5700EA0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In reaching a decision about participation, it is essential for the potential subject to demonstrate an ability to use this information in a rational manner. Thus, in considering risks, benefits, and available alternatives, subjects must show they understand the aspects of these factors that are unique to them as individuals. To highlight this distinction, a person who is suffering with severe depression may be able to demonstrate an appreciation of 1, 2, 3 and 4 above, but may not care, or may </w:t>
      </w:r>
      <w:proofErr w:type="gramStart"/>
      <w:r w:rsidRPr="00AA4677">
        <w:rPr>
          <w:rFonts w:eastAsia="Times New Roman" w:cs="Times New Roman"/>
          <w:szCs w:val="24"/>
        </w:rPr>
        <w:t>actually want</w:t>
      </w:r>
      <w:proofErr w:type="gramEnd"/>
      <w:r w:rsidRPr="00AA4677">
        <w:rPr>
          <w:rFonts w:eastAsia="Times New Roman" w:cs="Times New Roman"/>
          <w:szCs w:val="24"/>
        </w:rPr>
        <w:t xml:space="preserve"> to take risks. Such individuals should not be considered able to provide consent for themselves.</w:t>
      </w:r>
    </w:p>
    <w:p w14:paraId="3B34CD6D"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b/>
          <w:i/>
          <w:szCs w:val="24"/>
        </w:rPr>
      </w:pPr>
      <w:r w:rsidRPr="00AA4677">
        <w:rPr>
          <w:rFonts w:eastAsia="Times New Roman" w:cs="Times New Roman"/>
          <w:b/>
          <w:i/>
          <w:szCs w:val="24"/>
        </w:rPr>
        <w:t>See Section 6.9 for further discussion regarding adults who cannot consent for themselves.</w:t>
      </w:r>
    </w:p>
    <w:p w14:paraId="73B99A6C" w14:textId="77777777" w:rsidR="00FC174E" w:rsidRPr="00AA4677" w:rsidRDefault="00FC174E" w:rsidP="00696B35">
      <w:pPr>
        <w:pStyle w:val="Heading2"/>
      </w:pPr>
      <w:bookmarkStart w:id="95" w:name="_Toc192678201"/>
      <w:r w:rsidRPr="00AA4677">
        <w:t>5.6 Basic Elements of Informed Consent</w:t>
      </w:r>
      <w:bookmarkEnd w:id="95"/>
    </w:p>
    <w:p w14:paraId="12152356" w14:textId="7D4F08AD" w:rsidR="00FC174E" w:rsidRPr="00AA4677" w:rsidRDefault="00FC174E">
      <w:pPr>
        <w:numPr>
          <w:ilvl w:val="0"/>
          <w:numId w:val="81"/>
        </w:numPr>
        <w:shd w:val="clear" w:color="auto" w:fill="FFFFFF"/>
        <w:spacing w:after="0" w:line="240" w:lineRule="auto"/>
        <w:rPr>
          <w:rFonts w:eastAsia="Times New Roman" w:cs="Times New Roman"/>
          <w:szCs w:val="24"/>
        </w:rPr>
      </w:pPr>
      <w:r w:rsidRPr="00AA4677">
        <w:rPr>
          <w:rFonts w:eastAsia="Times New Roman" w:cs="Times New Roman"/>
          <w:szCs w:val="24"/>
        </w:rPr>
        <w:t>A statement that the </w:t>
      </w:r>
      <w:r w:rsidRPr="00AA4677">
        <w:rPr>
          <w:rFonts w:eastAsia="Times New Roman" w:cs="Times New Roman"/>
          <w:b/>
          <w:szCs w:val="24"/>
        </w:rPr>
        <w:t>study involves research</w:t>
      </w:r>
      <w:r w:rsidRPr="00AA4677">
        <w:rPr>
          <w:rFonts w:eastAsia="Times New Roman" w:cs="Times New Roman"/>
          <w:szCs w:val="24"/>
        </w:rPr>
        <w:t>, an explanation of the </w:t>
      </w:r>
      <w:r w:rsidRPr="00AA4677">
        <w:rPr>
          <w:rFonts w:eastAsia="Times New Roman" w:cs="Times New Roman"/>
          <w:b/>
          <w:szCs w:val="24"/>
        </w:rPr>
        <w:t>purposes</w:t>
      </w:r>
      <w:r w:rsidRPr="00AA4677">
        <w:rPr>
          <w:rFonts w:eastAsia="Times New Roman" w:cs="Times New Roman"/>
          <w:szCs w:val="24"/>
        </w:rPr>
        <w:t xml:space="preserve"> of the </w:t>
      </w:r>
      <w:r w:rsidRPr="00AA4677">
        <w:rPr>
          <w:rFonts w:eastAsia="Times New Roman" w:cs="Times New Roman"/>
          <w:b/>
          <w:szCs w:val="24"/>
        </w:rPr>
        <w:t>research</w:t>
      </w:r>
      <w:r w:rsidRPr="00AA4677">
        <w:rPr>
          <w:rFonts w:eastAsia="Times New Roman" w:cs="Times New Roman"/>
          <w:szCs w:val="24"/>
        </w:rPr>
        <w:t xml:space="preserve"> and the expected duration of the subject's participation, a description of the procedures to be followed, and identification of any procedures which are experimental; a description of any reasonably foreseeable </w:t>
      </w:r>
      <w:r w:rsidRPr="00AA4677">
        <w:rPr>
          <w:rFonts w:eastAsia="Times New Roman" w:cs="Times New Roman"/>
          <w:b/>
          <w:szCs w:val="24"/>
        </w:rPr>
        <w:t>risks</w:t>
      </w:r>
      <w:r w:rsidRPr="00AA4677">
        <w:rPr>
          <w:rFonts w:eastAsia="Times New Roman" w:cs="Times New Roman"/>
          <w:szCs w:val="24"/>
        </w:rPr>
        <w:t xml:space="preserve"> or discomforts to the </w:t>
      </w:r>
      <w:proofErr w:type="gramStart"/>
      <w:r w:rsidRPr="00AA4677">
        <w:rPr>
          <w:rFonts w:eastAsia="Times New Roman" w:cs="Times New Roman"/>
          <w:szCs w:val="24"/>
        </w:rPr>
        <w:t>subject;</w:t>
      </w:r>
      <w:proofErr w:type="gramEnd"/>
    </w:p>
    <w:p w14:paraId="4FF94FBE" w14:textId="3402C1AC" w:rsidR="00FC174E" w:rsidRPr="00AA4677" w:rsidRDefault="00FC174E">
      <w:pPr>
        <w:numPr>
          <w:ilvl w:val="0"/>
          <w:numId w:val="8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 description of any </w:t>
      </w:r>
      <w:r w:rsidRPr="00AA4677">
        <w:rPr>
          <w:rFonts w:eastAsia="Times New Roman" w:cs="Times New Roman"/>
          <w:b/>
          <w:szCs w:val="24"/>
        </w:rPr>
        <w:t>benefits</w:t>
      </w:r>
      <w:r w:rsidRPr="00AA4677">
        <w:rPr>
          <w:rFonts w:eastAsia="Times New Roman" w:cs="Times New Roman"/>
          <w:szCs w:val="24"/>
        </w:rPr>
        <w:t xml:space="preserve"> to the subject or to others which may reasonably be expected from the </w:t>
      </w:r>
      <w:proofErr w:type="gramStart"/>
      <w:r w:rsidRPr="00AA4677">
        <w:rPr>
          <w:rFonts w:eastAsia="Times New Roman" w:cs="Times New Roman"/>
          <w:szCs w:val="24"/>
        </w:rPr>
        <w:t>research;</w:t>
      </w:r>
      <w:proofErr w:type="gramEnd"/>
    </w:p>
    <w:p w14:paraId="2A74FA07" w14:textId="65934239" w:rsidR="00FC174E" w:rsidRPr="00AA4677" w:rsidRDefault="00FC174E">
      <w:pPr>
        <w:numPr>
          <w:ilvl w:val="0"/>
          <w:numId w:val="8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 disclosure of appropriate </w:t>
      </w:r>
      <w:r w:rsidRPr="00AA4677">
        <w:rPr>
          <w:rFonts w:eastAsia="Times New Roman" w:cs="Times New Roman"/>
          <w:b/>
          <w:szCs w:val="24"/>
        </w:rPr>
        <w:t>alternative procedures</w:t>
      </w:r>
      <w:r w:rsidRPr="00AA4677">
        <w:rPr>
          <w:rFonts w:eastAsia="Times New Roman" w:cs="Times New Roman"/>
          <w:szCs w:val="24"/>
        </w:rPr>
        <w:t xml:space="preserve"> or courses of treatment, if any, that might be advantageous to the </w:t>
      </w:r>
      <w:proofErr w:type="gramStart"/>
      <w:r w:rsidRPr="00AA4677">
        <w:rPr>
          <w:rFonts w:eastAsia="Times New Roman" w:cs="Times New Roman"/>
          <w:szCs w:val="24"/>
        </w:rPr>
        <w:t>subject;</w:t>
      </w:r>
      <w:proofErr w:type="gramEnd"/>
    </w:p>
    <w:p w14:paraId="64A89563" w14:textId="243B80B1" w:rsidR="00FC174E" w:rsidRPr="00AA4677" w:rsidRDefault="00FC174E">
      <w:pPr>
        <w:numPr>
          <w:ilvl w:val="0"/>
          <w:numId w:val="8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 statement describing the extent, if </w:t>
      </w:r>
      <w:proofErr w:type="gramStart"/>
      <w:r w:rsidRPr="00AA4677">
        <w:rPr>
          <w:rFonts w:eastAsia="Times New Roman" w:cs="Times New Roman"/>
          <w:szCs w:val="24"/>
        </w:rPr>
        <w:t>any</w:t>
      </w:r>
      <w:proofErr w:type="gramEnd"/>
      <w:r w:rsidRPr="00AA4677">
        <w:rPr>
          <w:rFonts w:eastAsia="Times New Roman" w:cs="Times New Roman"/>
          <w:szCs w:val="24"/>
        </w:rPr>
        <w:t xml:space="preserve">, to which confidentiality of records identifying the subject must be </w:t>
      </w:r>
      <w:proofErr w:type="gramStart"/>
      <w:r w:rsidRPr="00AA4677">
        <w:rPr>
          <w:rFonts w:eastAsia="Times New Roman" w:cs="Times New Roman"/>
          <w:szCs w:val="24"/>
        </w:rPr>
        <w:t>maintained;</w:t>
      </w:r>
      <w:proofErr w:type="gramEnd"/>
    </w:p>
    <w:p w14:paraId="04E5D856" w14:textId="77777777" w:rsidR="00DF5A8D" w:rsidRPr="00AA4677" w:rsidRDefault="00FC174E">
      <w:pPr>
        <w:numPr>
          <w:ilvl w:val="0"/>
          <w:numId w:val="81"/>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 xml:space="preserve">For research involving more than minimal risk, an explanation as to the availability of medical treatment in the case of </w:t>
      </w:r>
      <w:r w:rsidRPr="00AA4677">
        <w:rPr>
          <w:rFonts w:eastAsia="Times New Roman" w:cs="Times New Roman"/>
          <w:b/>
          <w:szCs w:val="24"/>
        </w:rPr>
        <w:t>research-related injury</w:t>
      </w:r>
      <w:r w:rsidRPr="00AA4677">
        <w:rPr>
          <w:rFonts w:eastAsia="Times New Roman" w:cs="Times New Roman"/>
          <w:szCs w:val="24"/>
        </w:rPr>
        <w:t>, including who will pay for the treatment and whether other financial compensation is available (see section 17.6 for SBU policy on Industry-funded clinical trials</w:t>
      </w:r>
      <w:proofErr w:type="gramStart"/>
      <w:r w:rsidRPr="00AA4677">
        <w:rPr>
          <w:rFonts w:eastAsia="Times New Roman" w:cs="Times New Roman"/>
          <w:szCs w:val="24"/>
        </w:rPr>
        <w:t>);</w:t>
      </w:r>
      <w:proofErr w:type="gramEnd"/>
    </w:p>
    <w:p w14:paraId="3BA37C02" w14:textId="0DEFBE7A" w:rsidR="00DF5A8D" w:rsidRPr="00AA4677" w:rsidRDefault="00FC174E">
      <w:pPr>
        <w:numPr>
          <w:ilvl w:val="0"/>
          <w:numId w:val="81"/>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 xml:space="preserve">An explanation of whom to contact on the research team for answers to pertinent </w:t>
      </w:r>
      <w:r w:rsidRPr="00AA4677">
        <w:rPr>
          <w:rFonts w:eastAsia="Times New Roman" w:cs="Times New Roman"/>
          <w:b/>
          <w:szCs w:val="24"/>
        </w:rPr>
        <w:t>questions about the research</w:t>
      </w:r>
      <w:r w:rsidR="00B3381C" w:rsidRPr="00AA4677">
        <w:rPr>
          <w:rFonts w:eastAsia="Times New Roman" w:cs="Times New Roman"/>
          <w:b/>
          <w:szCs w:val="24"/>
        </w:rPr>
        <w:t>,</w:t>
      </w:r>
      <w:r w:rsidRPr="00AA4677">
        <w:rPr>
          <w:rFonts w:eastAsia="Times New Roman" w:cs="Times New Roman"/>
          <w:szCs w:val="24"/>
        </w:rPr>
        <w:t xml:space="preserve"> or to voice concerns or complaints about the research, and whom to contact in the event of a research-related injury to the subject</w:t>
      </w:r>
      <w:r w:rsidR="002F0721" w:rsidRPr="00AA4677">
        <w:rPr>
          <w:rFonts w:eastAsia="Times New Roman" w:cs="Times New Roman"/>
          <w:szCs w:val="24"/>
        </w:rPr>
        <w:t xml:space="preserve"> and whether any medical treatment is available if injury occurs, what it consists of and where further information may be obtained</w:t>
      </w:r>
      <w:r w:rsidR="00223807" w:rsidRPr="00AA4677">
        <w:rPr>
          <w:rFonts w:eastAsia="Times New Roman" w:cs="Times New Roman"/>
          <w:szCs w:val="24"/>
        </w:rPr>
        <w:t xml:space="preserve"> (if applicable)</w:t>
      </w:r>
      <w:r w:rsidRPr="00AA4677">
        <w:rPr>
          <w:rFonts w:eastAsia="Times New Roman" w:cs="Times New Roman"/>
          <w:szCs w:val="24"/>
        </w:rPr>
        <w:t>;</w:t>
      </w:r>
    </w:p>
    <w:p w14:paraId="6A5A1220" w14:textId="56AFD146" w:rsidR="00DF5A8D" w:rsidRPr="00AA4677" w:rsidRDefault="00FC174E">
      <w:pPr>
        <w:numPr>
          <w:ilvl w:val="0"/>
          <w:numId w:val="81"/>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 xml:space="preserve">Contact information for </w:t>
      </w:r>
      <w:r w:rsidR="005B5ABE"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to obtain answers to questions about the research; to voice concerns or complaints about the research; to obtain answers to </w:t>
      </w:r>
      <w:r w:rsidRPr="00AA4677">
        <w:rPr>
          <w:rFonts w:eastAsia="Times New Roman" w:cs="Times New Roman"/>
          <w:b/>
          <w:szCs w:val="24"/>
        </w:rPr>
        <w:t xml:space="preserve">questions about their rights as a </w:t>
      </w:r>
      <w:r w:rsidR="008D2222" w:rsidRPr="00AA4677">
        <w:rPr>
          <w:rFonts w:eastAsia="Times New Roman" w:cs="Times New Roman"/>
          <w:b/>
          <w:szCs w:val="24"/>
        </w:rPr>
        <w:t xml:space="preserve">current, former or prospective </w:t>
      </w:r>
      <w:r w:rsidRPr="00AA4677">
        <w:rPr>
          <w:rFonts w:eastAsia="Times New Roman" w:cs="Times New Roman"/>
          <w:b/>
          <w:szCs w:val="24"/>
        </w:rPr>
        <w:t xml:space="preserve">research </w:t>
      </w:r>
      <w:r w:rsidR="00BF7470" w:rsidRPr="00AA4677">
        <w:rPr>
          <w:rFonts w:eastAsia="Times New Roman" w:cs="Times New Roman"/>
          <w:b/>
          <w:szCs w:val="24"/>
        </w:rPr>
        <w:t>subject</w:t>
      </w:r>
      <w:r w:rsidRPr="00AA4677">
        <w:rPr>
          <w:rFonts w:eastAsia="Times New Roman" w:cs="Times New Roman"/>
          <w:szCs w:val="24"/>
        </w:rPr>
        <w:t>; in the event the research staff could not be reached; and in the event the subject wishes to talk to someone other than the research staff</w:t>
      </w:r>
      <w:r w:rsidR="002F0721" w:rsidRPr="00AA4677">
        <w:rPr>
          <w:rFonts w:eastAsia="Times New Roman" w:cs="Times New Roman"/>
          <w:szCs w:val="24"/>
        </w:rPr>
        <w:t xml:space="preserve"> for problems, concerns, information or input</w:t>
      </w:r>
      <w:r w:rsidRPr="00AA4677">
        <w:rPr>
          <w:rFonts w:eastAsia="Times New Roman" w:cs="Times New Roman"/>
          <w:szCs w:val="24"/>
        </w:rPr>
        <w:t>.</w:t>
      </w:r>
    </w:p>
    <w:p w14:paraId="023600A5" w14:textId="3AFFEE69" w:rsidR="00DF5A8D" w:rsidRPr="00AA4677" w:rsidRDefault="00FC174E">
      <w:pPr>
        <w:numPr>
          <w:ilvl w:val="0"/>
          <w:numId w:val="81"/>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 xml:space="preserve">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w:t>
      </w:r>
      <w:proofErr w:type="gramStart"/>
      <w:r w:rsidRPr="00AA4677">
        <w:rPr>
          <w:rFonts w:eastAsia="Times New Roman" w:cs="Times New Roman"/>
          <w:szCs w:val="24"/>
        </w:rPr>
        <w:t>entitled;</w:t>
      </w:r>
      <w:proofErr w:type="gramEnd"/>
    </w:p>
    <w:p w14:paraId="0A51F49C" w14:textId="77777777" w:rsidR="005B6D38" w:rsidRPr="00AA4677" w:rsidRDefault="005B6D38">
      <w:pPr>
        <w:numPr>
          <w:ilvl w:val="0"/>
          <w:numId w:val="81"/>
        </w:numPr>
        <w:spacing w:after="120" w:line="240" w:lineRule="auto"/>
        <w:rPr>
          <w:rFonts w:eastAsia="Arial Unicode MS"/>
        </w:rPr>
      </w:pPr>
      <w:r w:rsidRPr="00AA4677">
        <w:lastRenderedPageBreak/>
        <w:t xml:space="preserve">One of the following statements about any research that involves the </w:t>
      </w:r>
      <w:r w:rsidRPr="00AA4677">
        <w:rPr>
          <w:b/>
        </w:rPr>
        <w:t>collection of identifiable private information or identifiable biospecimens</w:t>
      </w:r>
      <w:r w:rsidRPr="00AA4677">
        <w:t>:</w:t>
      </w:r>
    </w:p>
    <w:p w14:paraId="563EFDB9" w14:textId="13091BAA" w:rsidR="006037AE" w:rsidRPr="00AA4677" w:rsidRDefault="005B6D38">
      <w:pPr>
        <w:pStyle w:val="ListParagraph"/>
        <w:numPr>
          <w:ilvl w:val="1"/>
          <w:numId w:val="81"/>
        </w:numPr>
        <w:tabs>
          <w:tab w:val="clear" w:pos="1080"/>
          <w:tab w:val="left" w:pos="720"/>
        </w:tabs>
        <w:spacing w:after="120" w:line="240" w:lineRule="auto"/>
        <w:ind w:left="720"/>
        <w:rPr>
          <w:rFonts w:eastAsia="Arial Unicode MS"/>
        </w:rPr>
      </w:pPr>
      <w:r w:rsidRPr="00AA4677">
        <w:t xml:space="preserve">A statement that </w:t>
      </w:r>
      <w:r w:rsidRPr="00AA4677">
        <w:rPr>
          <w:b/>
        </w:rPr>
        <w:t>identifiers might be removed</w:t>
      </w:r>
      <w:r w:rsidRPr="00AA4677">
        <w:t xml:space="preserve"> from the identifiable private information or identifiable biospecimens </w:t>
      </w:r>
      <w:r w:rsidRPr="00AA4677">
        <w:rPr>
          <w:b/>
        </w:rPr>
        <w:t>and that</w:t>
      </w:r>
      <w:r w:rsidRPr="00AA4677">
        <w:t xml:space="preserve">, after such removal, the information or biospecimens </w:t>
      </w:r>
      <w:r w:rsidRPr="00AA4677">
        <w:rPr>
          <w:b/>
        </w:rPr>
        <w:t>could be used</w:t>
      </w:r>
      <w:r w:rsidRPr="00AA4677">
        <w:t xml:space="preserve"> for future research studies or distributed to another investigator for future research studies </w:t>
      </w:r>
      <w:r w:rsidRPr="00AA4677">
        <w:rPr>
          <w:b/>
        </w:rPr>
        <w:t>without additional informed consent</w:t>
      </w:r>
      <w:r w:rsidRPr="00AA4677">
        <w:t xml:space="preserve"> from the subject or the legally authorized representative, if this might be a possibility; or </w:t>
      </w:r>
    </w:p>
    <w:p w14:paraId="076A0BC3" w14:textId="150466B6" w:rsidR="005B6D38" w:rsidRPr="00AA4677" w:rsidRDefault="005B6D38">
      <w:pPr>
        <w:numPr>
          <w:ilvl w:val="1"/>
          <w:numId w:val="81"/>
        </w:numPr>
        <w:tabs>
          <w:tab w:val="clear" w:pos="1080"/>
          <w:tab w:val="left" w:pos="720"/>
        </w:tabs>
        <w:spacing w:after="120" w:line="240" w:lineRule="auto"/>
        <w:ind w:left="720"/>
        <w:rPr>
          <w:rFonts w:eastAsia="Arial Unicode MS"/>
        </w:rPr>
      </w:pPr>
      <w:r w:rsidRPr="00AA4677">
        <w:t xml:space="preserve">A statement that the subject’s information or biospecimens collected as part of the research, even if identifiers are removed, </w:t>
      </w:r>
      <w:r w:rsidRPr="00AA4677">
        <w:rPr>
          <w:b/>
        </w:rPr>
        <w:t xml:space="preserve">will not be used or distributed </w:t>
      </w:r>
      <w:r w:rsidRPr="00AA4677">
        <w:t>for future research studies.</w:t>
      </w:r>
    </w:p>
    <w:p w14:paraId="1706926D" w14:textId="4186D86B" w:rsidR="00FC174E" w:rsidRPr="00AA4677" w:rsidRDefault="00FC174E" w:rsidP="00440F66">
      <w:p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b/>
          <w:szCs w:val="24"/>
        </w:rPr>
        <w:t>For FDA-regulated studies</w:t>
      </w:r>
      <w:r w:rsidRPr="00AA4677">
        <w:rPr>
          <w:rFonts w:eastAsia="Times New Roman" w:cs="Times New Roman"/>
          <w:szCs w:val="24"/>
        </w:rPr>
        <w:t xml:space="preserve">, </w:t>
      </w:r>
      <w:r w:rsidR="006037AE" w:rsidRPr="00AA4677">
        <w:rPr>
          <w:rFonts w:eastAsia="Times New Roman" w:cs="Times New Roman"/>
          <w:szCs w:val="24"/>
        </w:rPr>
        <w:t xml:space="preserve">add </w:t>
      </w:r>
      <w:r w:rsidRPr="00AA4677">
        <w:rPr>
          <w:rFonts w:eastAsia="Times New Roman" w:cs="Times New Roman"/>
          <w:szCs w:val="24"/>
        </w:rPr>
        <w:t>the possibility that the Food and Drug Administration may inspect the records needs to be included in the statement regarding subject confidentiality.</w:t>
      </w:r>
    </w:p>
    <w:p w14:paraId="3C04463E" w14:textId="26AC8F99" w:rsidR="005B6D38" w:rsidRPr="00AA4677" w:rsidRDefault="005B6D38" w:rsidP="00440F66">
      <w:pPr>
        <w:spacing w:after="120" w:line="240" w:lineRule="auto"/>
        <w:rPr>
          <w:rStyle w:val="li-content"/>
          <w:rFonts w:eastAsia="Arial Unicode MS"/>
          <w:color w:val="auto"/>
        </w:rPr>
      </w:pPr>
      <w:r w:rsidRPr="00AA4677">
        <w:rPr>
          <w:rStyle w:val="BodyTextChar"/>
          <w:rFonts w:ascii="Calibri" w:eastAsia="Arial Unicode MS" w:hAnsi="Calibri"/>
          <w:b/>
        </w:rPr>
        <w:t xml:space="preserve">For </w:t>
      </w:r>
      <w:hyperlink r:id="rId19" w:history="1">
        <w:r w:rsidRPr="00AA4677">
          <w:rPr>
            <w:rStyle w:val="Hyperlink"/>
            <w:rFonts w:eastAsia="Arial Unicode MS"/>
            <w:b/>
            <w:color w:val="auto"/>
            <w:u w:val="none"/>
          </w:rPr>
          <w:t>applicable</w:t>
        </w:r>
      </w:hyperlink>
      <w:r w:rsidRPr="00AA4677">
        <w:rPr>
          <w:rStyle w:val="BodyTextChar"/>
          <w:rFonts w:ascii="Calibri" w:eastAsia="Arial Unicode MS" w:hAnsi="Calibri"/>
          <w:b/>
        </w:rPr>
        <w:t xml:space="preserve"> clinical trials (see Section 17.4), </w:t>
      </w:r>
      <w:r w:rsidRPr="00AA4677">
        <w:rPr>
          <w:rStyle w:val="li-content"/>
          <w:color w:val="auto"/>
        </w:rPr>
        <w:t xml:space="preserve">the following statement must </w:t>
      </w:r>
      <w:proofErr w:type="gramStart"/>
      <w:r w:rsidRPr="00AA4677">
        <w:rPr>
          <w:rStyle w:val="li-content"/>
          <w:color w:val="auto"/>
        </w:rPr>
        <w:t>be included</w:t>
      </w:r>
      <w:proofErr w:type="gramEnd"/>
      <w:r w:rsidRPr="00AA4677">
        <w:rPr>
          <w:rStyle w:val="li-content"/>
          <w:color w:val="auto"/>
        </w:rPr>
        <w:t xml:space="preserve"> verbatim:</w:t>
      </w:r>
      <w:r w:rsidRPr="00AA4677">
        <w:rPr>
          <w:rStyle w:val="li-content"/>
          <w:color w:val="auto"/>
          <w:sz w:val="21"/>
          <w:szCs w:val="21"/>
        </w:rPr>
        <w:t xml:space="preserve"> </w:t>
      </w:r>
    </w:p>
    <w:p w14:paraId="54D4013E" w14:textId="43A81B88" w:rsidR="006A24AE" w:rsidRPr="00AA4677" w:rsidRDefault="005B6D38" w:rsidP="00440F66">
      <w:pPr>
        <w:shd w:val="clear" w:color="auto" w:fill="FFFFFF"/>
        <w:spacing w:before="100" w:beforeAutospacing="1" w:after="0" w:afterAutospacing="1" w:line="240" w:lineRule="auto"/>
        <w:rPr>
          <w:rFonts w:eastAsia="Times New Roman" w:cs="Times New Roman"/>
          <w:szCs w:val="24"/>
        </w:rPr>
      </w:pPr>
      <w:r w:rsidRPr="00AA4677">
        <w:t xml:space="preserve">“A description of this clinical trial will be available on </w:t>
      </w:r>
      <w:hyperlink r:id="rId20" w:history="1">
        <w:r w:rsidRPr="00696B35">
          <w:rPr>
            <w:rStyle w:val="Hyperlink"/>
            <w:iCs/>
          </w:rPr>
          <w:t>http://www.ClinicalTrials.gov</w:t>
        </w:r>
      </w:hyperlink>
      <w:r w:rsidRPr="00AA4677">
        <w:t>, as required by U.S. Law. This Web site will not include information that can identify you. At most, the Web site will include a summary of the results. You can search this Web site at any time.”</w:t>
      </w:r>
    </w:p>
    <w:p w14:paraId="2215185C" w14:textId="21FB8005" w:rsidR="00FC174E" w:rsidRPr="00AA4677" w:rsidRDefault="00FC174E" w:rsidP="00DF5A8D">
      <w:pPr>
        <w:shd w:val="clear" w:color="auto" w:fill="FFFFFF"/>
        <w:spacing w:after="0" w:line="240" w:lineRule="auto"/>
        <w:rPr>
          <w:rFonts w:eastAsia="Times New Roman" w:cs="Times New Roman"/>
          <w:b/>
          <w:szCs w:val="24"/>
        </w:rPr>
      </w:pPr>
      <w:r w:rsidRPr="00AA4677">
        <w:rPr>
          <w:rFonts w:eastAsia="Times New Roman" w:cs="Times New Roman"/>
          <w:b/>
          <w:szCs w:val="24"/>
        </w:rPr>
        <w:t>Additional elements of informed consent to be applied, as appropriate:</w:t>
      </w:r>
    </w:p>
    <w:p w14:paraId="50D926BA" w14:textId="77777777" w:rsidR="00DF5A8D" w:rsidRPr="00AA4677" w:rsidRDefault="00FC174E">
      <w:pPr>
        <w:numPr>
          <w:ilvl w:val="0"/>
          <w:numId w:val="82"/>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 xml:space="preserve">A statement that the </w:t>
      </w:r>
      <w:proofErr w:type="gramStart"/>
      <w:r w:rsidRPr="00AA4677">
        <w:rPr>
          <w:rFonts w:eastAsia="Times New Roman" w:cs="Times New Roman"/>
          <w:szCs w:val="24"/>
        </w:rPr>
        <w:t>particular treatment</w:t>
      </w:r>
      <w:proofErr w:type="gramEnd"/>
      <w:r w:rsidRPr="00AA4677">
        <w:rPr>
          <w:rFonts w:eastAsia="Times New Roman" w:cs="Times New Roman"/>
          <w:szCs w:val="24"/>
        </w:rPr>
        <w:t xml:space="preserve"> or procedure may involve risks to the subject, which are currently unforeseeable. (</w:t>
      </w:r>
      <w:r w:rsidR="00DF5A8D" w:rsidRPr="00AA4677">
        <w:rPr>
          <w:rFonts w:eastAsia="Times New Roman" w:cs="Times New Roman"/>
          <w:szCs w:val="24"/>
        </w:rPr>
        <w:t>e.g. i</w:t>
      </w:r>
      <w:r w:rsidRPr="00AA4677">
        <w:rPr>
          <w:rFonts w:eastAsia="Times New Roman" w:cs="Times New Roman"/>
          <w:szCs w:val="24"/>
        </w:rPr>
        <w:t xml:space="preserve">nclude when the research involves investigational test articles or other procedures in which the </w:t>
      </w:r>
      <w:proofErr w:type="gramStart"/>
      <w:r w:rsidRPr="00AA4677">
        <w:rPr>
          <w:rFonts w:eastAsia="Times New Roman" w:cs="Times New Roman"/>
          <w:szCs w:val="24"/>
        </w:rPr>
        <w:t>risks</w:t>
      </w:r>
      <w:proofErr w:type="gramEnd"/>
      <w:r w:rsidRPr="00AA4677">
        <w:rPr>
          <w:rFonts w:eastAsia="Times New Roman" w:cs="Times New Roman"/>
          <w:szCs w:val="24"/>
        </w:rPr>
        <w:t xml:space="preserve"> to subjects </w:t>
      </w:r>
      <w:proofErr w:type="gramStart"/>
      <w:r w:rsidRPr="00AA4677">
        <w:rPr>
          <w:rFonts w:eastAsia="Times New Roman" w:cs="Times New Roman"/>
          <w:szCs w:val="24"/>
        </w:rPr>
        <w:t>is</w:t>
      </w:r>
      <w:proofErr w:type="gramEnd"/>
      <w:r w:rsidRPr="00AA4677">
        <w:rPr>
          <w:rFonts w:eastAsia="Times New Roman" w:cs="Times New Roman"/>
          <w:szCs w:val="24"/>
        </w:rPr>
        <w:t xml:space="preserve"> not well known)</w:t>
      </w:r>
    </w:p>
    <w:p w14:paraId="53B3DE2C" w14:textId="77777777" w:rsidR="00DF5A8D" w:rsidRPr="00AA4677" w:rsidRDefault="00FC174E">
      <w:pPr>
        <w:numPr>
          <w:ilvl w:val="0"/>
          <w:numId w:val="82"/>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 xml:space="preserve">A statement that if the subject is or becomes pregnant, the </w:t>
      </w:r>
      <w:proofErr w:type="gramStart"/>
      <w:r w:rsidRPr="00AA4677">
        <w:rPr>
          <w:rFonts w:eastAsia="Times New Roman" w:cs="Times New Roman"/>
          <w:szCs w:val="24"/>
        </w:rPr>
        <w:t>particular treatment</w:t>
      </w:r>
      <w:proofErr w:type="gramEnd"/>
      <w:r w:rsidRPr="00AA4677">
        <w:rPr>
          <w:rFonts w:eastAsia="Times New Roman" w:cs="Times New Roman"/>
          <w:szCs w:val="24"/>
        </w:rPr>
        <w:t xml:space="preserve"> or procedure may involve risks to the embryo or fetus, which are currently unforeseeable. (For example: Include when the research involves pregnant women or women of childbearing potential and the risk to fetuses of the drugs, devices, or other procedures involved in the research is not well known)</w:t>
      </w:r>
    </w:p>
    <w:p w14:paraId="100C2FE9" w14:textId="77777777" w:rsidR="00DF5A8D" w:rsidRPr="00AA4677" w:rsidRDefault="00FC174E">
      <w:pPr>
        <w:numPr>
          <w:ilvl w:val="0"/>
          <w:numId w:val="82"/>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 Anticipated circumstances under which the subject’s participation may be terminated by the investigator without regard to the subject’s consent. (</w:t>
      </w:r>
      <w:r w:rsidR="00DF5A8D" w:rsidRPr="00AA4677">
        <w:rPr>
          <w:rFonts w:eastAsia="Times New Roman" w:cs="Times New Roman"/>
          <w:szCs w:val="24"/>
        </w:rPr>
        <w:t>e.g. i</w:t>
      </w:r>
      <w:r w:rsidRPr="00AA4677">
        <w:rPr>
          <w:rFonts w:eastAsia="Times New Roman" w:cs="Times New Roman"/>
          <w:szCs w:val="24"/>
        </w:rPr>
        <w:t>nclude when there are anticipated circumstances under which the investigator may terminate participation of a subject)</w:t>
      </w:r>
    </w:p>
    <w:p w14:paraId="344146A1" w14:textId="77777777" w:rsidR="00DF5A8D" w:rsidRPr="00AA4677" w:rsidRDefault="00FC174E">
      <w:pPr>
        <w:numPr>
          <w:ilvl w:val="0"/>
          <w:numId w:val="82"/>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 xml:space="preserve">Any additional costs to the </w:t>
      </w:r>
      <w:proofErr w:type="gramStart"/>
      <w:r w:rsidRPr="00AA4677">
        <w:rPr>
          <w:rFonts w:eastAsia="Times New Roman" w:cs="Times New Roman"/>
          <w:szCs w:val="24"/>
        </w:rPr>
        <w:t>subject that</w:t>
      </w:r>
      <w:proofErr w:type="gramEnd"/>
      <w:r w:rsidRPr="00AA4677">
        <w:rPr>
          <w:rFonts w:eastAsia="Times New Roman" w:cs="Times New Roman"/>
          <w:szCs w:val="24"/>
        </w:rPr>
        <w:t xml:space="preserve"> may result from participation in the research. (</w:t>
      </w:r>
      <w:r w:rsidR="00DF5A8D" w:rsidRPr="00AA4677">
        <w:rPr>
          <w:rFonts w:eastAsia="Times New Roman" w:cs="Times New Roman"/>
          <w:szCs w:val="24"/>
        </w:rPr>
        <w:t>e.g. i</w:t>
      </w:r>
      <w:r w:rsidRPr="00AA4677">
        <w:rPr>
          <w:rFonts w:eastAsia="Times New Roman" w:cs="Times New Roman"/>
          <w:szCs w:val="24"/>
        </w:rPr>
        <w:t>nclude when it is anticipated that subjects may have additional costs)</w:t>
      </w:r>
    </w:p>
    <w:p w14:paraId="1CFCE2C5" w14:textId="77777777" w:rsidR="00DF5A8D" w:rsidRPr="00AA4677" w:rsidRDefault="00FC174E">
      <w:pPr>
        <w:numPr>
          <w:ilvl w:val="0"/>
          <w:numId w:val="82"/>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The consequences of a subject’s decision to withdraw from the research. (</w:t>
      </w:r>
      <w:r w:rsidR="00DF5A8D" w:rsidRPr="00AA4677">
        <w:rPr>
          <w:rFonts w:eastAsia="Times New Roman" w:cs="Times New Roman"/>
          <w:szCs w:val="24"/>
        </w:rPr>
        <w:t>e.g. i</w:t>
      </w:r>
      <w:r w:rsidRPr="00AA4677">
        <w:rPr>
          <w:rFonts w:eastAsia="Times New Roman" w:cs="Times New Roman"/>
          <w:szCs w:val="24"/>
        </w:rPr>
        <w:t>nclude when withdrawal from the research is associated with adverse consequences</w:t>
      </w:r>
      <w:r w:rsidR="00DF5A8D" w:rsidRPr="00AA4677">
        <w:rPr>
          <w:rFonts w:eastAsia="Times New Roman" w:cs="Times New Roman"/>
          <w:szCs w:val="24"/>
        </w:rPr>
        <w:t>)</w:t>
      </w:r>
    </w:p>
    <w:p w14:paraId="0FAA1843" w14:textId="77777777" w:rsidR="00DF5A8D" w:rsidRPr="00AA4677" w:rsidRDefault="00FC174E">
      <w:pPr>
        <w:numPr>
          <w:ilvl w:val="0"/>
          <w:numId w:val="82"/>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lastRenderedPageBreak/>
        <w:t>Procedures for orderly termination of participation by the subject. (</w:t>
      </w:r>
      <w:r w:rsidR="00DF5A8D" w:rsidRPr="00AA4677">
        <w:rPr>
          <w:rFonts w:eastAsia="Times New Roman" w:cs="Times New Roman"/>
          <w:szCs w:val="24"/>
        </w:rPr>
        <w:t>e.g. i</w:t>
      </w:r>
      <w:r w:rsidRPr="00AA4677">
        <w:rPr>
          <w:rFonts w:eastAsia="Times New Roman" w:cs="Times New Roman"/>
          <w:szCs w:val="24"/>
        </w:rPr>
        <w:t>nclude when the pro</w:t>
      </w:r>
      <w:r w:rsidR="00DF5A8D" w:rsidRPr="00AA4677">
        <w:rPr>
          <w:rFonts w:eastAsia="Times New Roman" w:cs="Times New Roman"/>
          <w:szCs w:val="24"/>
        </w:rPr>
        <w:t>tocol describes such procedures</w:t>
      </w:r>
      <w:r w:rsidRPr="00AA4677">
        <w:rPr>
          <w:rFonts w:eastAsia="Times New Roman" w:cs="Times New Roman"/>
          <w:szCs w:val="24"/>
        </w:rPr>
        <w:t>)</w:t>
      </w:r>
    </w:p>
    <w:p w14:paraId="0787B9D3" w14:textId="77777777" w:rsidR="00DF5A8D" w:rsidRPr="00AA4677" w:rsidRDefault="00FC174E">
      <w:pPr>
        <w:numPr>
          <w:ilvl w:val="0"/>
          <w:numId w:val="82"/>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 xml:space="preserve">A statement that significant new findings developed </w:t>
      </w:r>
      <w:proofErr w:type="gramStart"/>
      <w:r w:rsidRPr="00AA4677">
        <w:rPr>
          <w:rFonts w:eastAsia="Times New Roman" w:cs="Times New Roman"/>
          <w:szCs w:val="24"/>
        </w:rPr>
        <w:t>during the course of</w:t>
      </w:r>
      <w:proofErr w:type="gramEnd"/>
      <w:r w:rsidRPr="00AA4677">
        <w:rPr>
          <w:rFonts w:eastAsia="Times New Roman" w:cs="Times New Roman"/>
          <w:szCs w:val="24"/>
        </w:rPr>
        <w:t xml:space="preserve"> the research which may relate to the subject’s willingness to continue participation will be provided </w:t>
      </w:r>
      <w:proofErr w:type="gramStart"/>
      <w:r w:rsidRPr="00AA4677">
        <w:rPr>
          <w:rFonts w:eastAsia="Times New Roman" w:cs="Times New Roman"/>
          <w:szCs w:val="24"/>
        </w:rPr>
        <w:t>to</w:t>
      </w:r>
      <w:proofErr w:type="gramEnd"/>
      <w:r w:rsidRPr="00AA4677">
        <w:rPr>
          <w:rFonts w:eastAsia="Times New Roman" w:cs="Times New Roman"/>
          <w:szCs w:val="24"/>
        </w:rPr>
        <w:t xml:space="preserve"> the subject. (</w:t>
      </w:r>
      <w:r w:rsidR="00DF5A8D" w:rsidRPr="00AA4677">
        <w:rPr>
          <w:rFonts w:eastAsia="Times New Roman" w:cs="Times New Roman"/>
          <w:szCs w:val="24"/>
        </w:rPr>
        <w:t>e.g. i</w:t>
      </w:r>
      <w:r w:rsidRPr="00AA4677">
        <w:rPr>
          <w:rFonts w:eastAsia="Times New Roman" w:cs="Times New Roman"/>
          <w:szCs w:val="24"/>
        </w:rPr>
        <w:t>nclude when the research is long term and interim information is likely to be developed during the conduct of the research)</w:t>
      </w:r>
    </w:p>
    <w:p w14:paraId="2702361D" w14:textId="56E5A419" w:rsidR="00185AF5" w:rsidRPr="00AA4677" w:rsidRDefault="00DF5A8D">
      <w:pPr>
        <w:numPr>
          <w:ilvl w:val="0"/>
          <w:numId w:val="82"/>
        </w:numPr>
        <w:shd w:val="clear" w:color="auto" w:fill="FFFFFF"/>
        <w:spacing w:before="100" w:beforeAutospacing="1" w:after="0" w:afterAutospacing="1"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 approximate number of subjects involved in the study. (</w:t>
      </w:r>
      <w:r w:rsidRPr="00AA4677">
        <w:rPr>
          <w:rFonts w:eastAsia="Times New Roman" w:cs="Times New Roman"/>
          <w:szCs w:val="24"/>
        </w:rPr>
        <w:t>e.g. i</w:t>
      </w:r>
      <w:r w:rsidR="00FC174E" w:rsidRPr="00AA4677">
        <w:rPr>
          <w:rFonts w:eastAsia="Times New Roman" w:cs="Times New Roman"/>
          <w:szCs w:val="24"/>
        </w:rPr>
        <w:t>nclude when the research involves more than minimal risk)</w:t>
      </w:r>
    </w:p>
    <w:p w14:paraId="6A343DF5" w14:textId="77777777" w:rsidR="006037AE" w:rsidRPr="00AA4677" w:rsidRDefault="006037AE">
      <w:pPr>
        <w:numPr>
          <w:ilvl w:val="0"/>
          <w:numId w:val="82"/>
        </w:numPr>
        <w:spacing w:after="120" w:line="240" w:lineRule="auto"/>
      </w:pPr>
      <w:r w:rsidRPr="00AA4677">
        <w:t xml:space="preserve">A statement that the subject’s biospecimens (even if identifiers are removed) may be used for commercial profit and whether the subject will or will not share in this commercial </w:t>
      </w:r>
      <w:proofErr w:type="gramStart"/>
      <w:r w:rsidRPr="00AA4677">
        <w:t>profit;</w:t>
      </w:r>
      <w:proofErr w:type="gramEnd"/>
    </w:p>
    <w:p w14:paraId="7139D38A" w14:textId="77777777" w:rsidR="006037AE" w:rsidRPr="00AA4677" w:rsidRDefault="006037AE">
      <w:pPr>
        <w:numPr>
          <w:ilvl w:val="0"/>
          <w:numId w:val="82"/>
        </w:numPr>
        <w:spacing w:after="120" w:line="240" w:lineRule="auto"/>
      </w:pPr>
      <w:r w:rsidRPr="00AA4677">
        <w:t xml:space="preserve">A statement regarding whether clinically relevant research results, including individual research results, will be disclosed to subjects, and if so, under what </w:t>
      </w:r>
      <w:proofErr w:type="gramStart"/>
      <w:r w:rsidRPr="00AA4677">
        <w:t>conditions;</w:t>
      </w:r>
      <w:proofErr w:type="gramEnd"/>
    </w:p>
    <w:p w14:paraId="03016A4C" w14:textId="23465BD1" w:rsidR="000042C4" w:rsidRPr="00AA4677" w:rsidRDefault="006037AE">
      <w:pPr>
        <w:numPr>
          <w:ilvl w:val="0"/>
          <w:numId w:val="82"/>
        </w:numPr>
        <w:spacing w:after="120" w:line="240" w:lineRule="auto"/>
      </w:pPr>
      <w:r w:rsidRPr="00AA4677">
        <w:t>For research involving biospecimens, whether the research will (if known) or might include whole genome sequencing (i.e., sequencing of a human germline or somatic specimen with the intent to generate the genome or exome sequence of that specimen).</w:t>
      </w:r>
    </w:p>
    <w:p w14:paraId="5D3D38D1" w14:textId="576BA7E3" w:rsidR="006B6A87" w:rsidRPr="00AA4677" w:rsidRDefault="006B6A87">
      <w:pPr>
        <w:numPr>
          <w:ilvl w:val="0"/>
          <w:numId w:val="82"/>
        </w:numPr>
        <w:spacing w:after="120" w:line="240" w:lineRule="auto"/>
      </w:pPr>
      <w:r w:rsidRPr="00AA4677">
        <w:t>The amount and schedule of all payments.</w:t>
      </w:r>
    </w:p>
    <w:p w14:paraId="5814996A" w14:textId="42646B97" w:rsidR="006B6A87" w:rsidRDefault="006B6A87" w:rsidP="006B6A87">
      <w:pPr>
        <w:spacing w:after="120" w:line="240" w:lineRule="auto"/>
      </w:pPr>
      <w:r w:rsidRPr="00666DF0">
        <w:t>The consent process will be documented according to legal and regulatory requirements.</w:t>
      </w:r>
    </w:p>
    <w:p w14:paraId="64D56C1E" w14:textId="77777777" w:rsidR="00546134" w:rsidRPr="00666DF0" w:rsidRDefault="00546134" w:rsidP="006B6A87">
      <w:pPr>
        <w:spacing w:after="120" w:line="240" w:lineRule="auto"/>
      </w:pPr>
    </w:p>
    <w:p w14:paraId="6393D8A0" w14:textId="77777777" w:rsidR="00FC174E" w:rsidRPr="00666DF0" w:rsidRDefault="00FC174E" w:rsidP="00696B35">
      <w:pPr>
        <w:pStyle w:val="Heading2"/>
      </w:pPr>
      <w:bookmarkStart w:id="96" w:name="_Toc192678202"/>
      <w:r w:rsidRPr="00666DF0">
        <w:t>5.7 Documentation of Informed Consent</w:t>
      </w:r>
      <w:bookmarkEnd w:id="96"/>
    </w:p>
    <w:p w14:paraId="6C5CF54E" w14:textId="648271E8" w:rsidR="00FC174E" w:rsidRPr="00666DF0" w:rsidRDefault="00FC174E" w:rsidP="00FC174E">
      <w:pPr>
        <w:shd w:val="clear" w:color="auto" w:fill="FFFFFF"/>
        <w:spacing w:before="100" w:beforeAutospacing="1" w:after="100" w:afterAutospacing="1" w:line="240" w:lineRule="auto"/>
        <w:rPr>
          <w:rFonts w:eastAsia="Times New Roman" w:cs="Times New Roman"/>
          <w:szCs w:val="24"/>
        </w:rPr>
      </w:pPr>
      <w:r w:rsidRPr="00666DF0">
        <w:rPr>
          <w:rFonts w:eastAsia="Times New Roman" w:cs="Times New Roman"/>
          <w:szCs w:val="24"/>
        </w:rPr>
        <w:t>E</w:t>
      </w:r>
      <w:r w:rsidR="0083058D" w:rsidRPr="00666DF0">
        <w:rPr>
          <w:rFonts w:eastAsia="Times New Roman" w:cs="Times New Roman"/>
          <w:szCs w:val="24"/>
        </w:rPr>
        <w:t>xcept as provided in Section 5.12</w:t>
      </w:r>
      <w:r w:rsidRPr="00666DF0">
        <w:rPr>
          <w:rFonts w:eastAsia="Times New Roman" w:cs="Times New Roman"/>
          <w:szCs w:val="24"/>
        </w:rPr>
        <w:t xml:space="preserve"> of this document, informed consent must be documented </w:t>
      </w:r>
      <w:proofErr w:type="gramStart"/>
      <w:r w:rsidRPr="00666DF0">
        <w:rPr>
          <w:rFonts w:eastAsia="Times New Roman" w:cs="Times New Roman"/>
          <w:szCs w:val="24"/>
        </w:rPr>
        <w:t>by the use of</w:t>
      </w:r>
      <w:proofErr w:type="gramEnd"/>
      <w:r w:rsidRPr="00666DF0">
        <w:rPr>
          <w:rFonts w:eastAsia="Times New Roman" w:cs="Times New Roman"/>
          <w:szCs w:val="24"/>
        </w:rPr>
        <w:t xml:space="preserve"> a written consent form approved by </w:t>
      </w:r>
      <w:r w:rsidR="003704D4" w:rsidRPr="00666DF0">
        <w:rPr>
          <w:rFonts w:eastAsia="Times New Roman" w:cs="Times New Roman"/>
          <w:szCs w:val="24"/>
        </w:rPr>
        <w:t xml:space="preserve">the </w:t>
      </w:r>
      <w:r w:rsidR="00EE7207" w:rsidRPr="00666DF0">
        <w:rPr>
          <w:rFonts w:eastAsia="Times New Roman" w:cs="Times New Roman"/>
          <w:szCs w:val="24"/>
        </w:rPr>
        <w:t>IRB</w:t>
      </w:r>
      <w:r w:rsidRPr="00666DF0">
        <w:rPr>
          <w:rFonts w:eastAsia="Times New Roman" w:cs="Times New Roman"/>
          <w:szCs w:val="24"/>
        </w:rPr>
        <w:t>.</w:t>
      </w:r>
      <w:r w:rsidR="00840E39" w:rsidRPr="00666DF0">
        <w:rPr>
          <w:rFonts w:eastAsia="Times New Roman" w:cs="Times New Roman"/>
          <w:szCs w:val="24"/>
        </w:rPr>
        <w:t xml:space="preserve"> </w:t>
      </w:r>
    </w:p>
    <w:p w14:paraId="453BA793" w14:textId="6AA1B002" w:rsidR="00FC174E" w:rsidRPr="00666DF0" w:rsidRDefault="00FC174E" w:rsidP="00666DF0">
      <w:pPr>
        <w:shd w:val="clear" w:color="auto" w:fill="FFFFFF"/>
        <w:tabs>
          <w:tab w:val="num" w:pos="0"/>
        </w:tabs>
        <w:spacing w:before="100" w:beforeAutospacing="1" w:after="100" w:afterAutospacing="1" w:line="240" w:lineRule="auto"/>
        <w:rPr>
          <w:rFonts w:eastAsia="Times New Roman" w:cs="Times New Roman"/>
          <w:szCs w:val="24"/>
        </w:rPr>
      </w:pPr>
      <w:r w:rsidRPr="00666DF0">
        <w:rPr>
          <w:rFonts w:eastAsia="Times New Roman" w:cs="Times New Roman"/>
          <w:szCs w:val="24"/>
        </w:rPr>
        <w:t xml:space="preserve">Informed consent is documented </w:t>
      </w:r>
      <w:proofErr w:type="gramStart"/>
      <w:r w:rsidRPr="00666DF0">
        <w:rPr>
          <w:rFonts w:eastAsia="Times New Roman" w:cs="Times New Roman"/>
          <w:szCs w:val="24"/>
        </w:rPr>
        <w:t>by the use of</w:t>
      </w:r>
      <w:proofErr w:type="gramEnd"/>
      <w:r w:rsidRPr="00666DF0">
        <w:rPr>
          <w:rFonts w:eastAsia="Times New Roman" w:cs="Times New Roman"/>
          <w:szCs w:val="24"/>
        </w:rPr>
        <w:t xml:space="preserve"> a written consent form approved by </w:t>
      </w:r>
      <w:r w:rsidR="003704D4" w:rsidRPr="00666DF0">
        <w:rPr>
          <w:rFonts w:eastAsia="Times New Roman" w:cs="Times New Roman"/>
          <w:szCs w:val="24"/>
        </w:rPr>
        <w:t xml:space="preserve">the </w:t>
      </w:r>
      <w:r w:rsidR="00EE7207" w:rsidRPr="00666DF0">
        <w:rPr>
          <w:rFonts w:eastAsia="Times New Roman" w:cs="Times New Roman"/>
          <w:szCs w:val="24"/>
        </w:rPr>
        <w:t>IRB</w:t>
      </w:r>
      <w:r w:rsidRPr="00666DF0">
        <w:rPr>
          <w:rFonts w:eastAsia="Times New Roman" w:cs="Times New Roman"/>
          <w:szCs w:val="24"/>
        </w:rPr>
        <w:t xml:space="preserve"> and signed </w:t>
      </w:r>
      <w:r w:rsidR="006037AE" w:rsidRPr="00666DF0">
        <w:rPr>
          <w:rFonts w:eastAsia="Times New Roman" w:cs="Times New Roman"/>
          <w:szCs w:val="24"/>
        </w:rPr>
        <w:t xml:space="preserve">(including in an electronic format) </w:t>
      </w:r>
      <w:r w:rsidRPr="00666DF0">
        <w:rPr>
          <w:rFonts w:eastAsia="Times New Roman" w:cs="Times New Roman"/>
          <w:szCs w:val="24"/>
        </w:rPr>
        <w:t xml:space="preserve">and dated by the subject or the subject's legally authorized representative at the time of consent. For those consent forms that must be translated into a foreign language, an affidavit of accurate translation from the </w:t>
      </w:r>
      <w:r w:rsidR="00EE7207" w:rsidRPr="00666DF0">
        <w:rPr>
          <w:rFonts w:eastAsia="Times New Roman" w:cs="Times New Roman"/>
          <w:szCs w:val="24"/>
        </w:rPr>
        <w:t>IRB</w:t>
      </w:r>
      <w:r w:rsidR="003704D4" w:rsidRPr="00666DF0">
        <w:rPr>
          <w:rFonts w:eastAsia="Times New Roman" w:cs="Times New Roman"/>
          <w:szCs w:val="24"/>
        </w:rPr>
        <w:t xml:space="preserve"> </w:t>
      </w:r>
      <w:r w:rsidRPr="00666DF0">
        <w:rPr>
          <w:rFonts w:eastAsia="Times New Roman" w:cs="Times New Roman"/>
          <w:szCs w:val="24"/>
        </w:rPr>
        <w:t>approved English version must be provided from a</w:t>
      </w:r>
      <w:r w:rsidR="001449AA" w:rsidRPr="00666DF0">
        <w:rPr>
          <w:rFonts w:eastAsia="Times New Roman" w:cs="Times New Roman"/>
          <w:szCs w:val="24"/>
        </w:rPr>
        <w:t xml:space="preserve"> qualified</w:t>
      </w:r>
      <w:r w:rsidRPr="00666DF0">
        <w:rPr>
          <w:rFonts w:eastAsia="Times New Roman" w:cs="Times New Roman"/>
          <w:szCs w:val="24"/>
        </w:rPr>
        <w:t xml:space="preserve"> translator who is unaffiliated with the study. </w:t>
      </w:r>
      <w:r w:rsidR="00C91A75" w:rsidRPr="00666DF0">
        <w:rPr>
          <w:rFonts w:eastAsia="Times New Roman" w:cs="Times New Roman"/>
          <w:szCs w:val="24"/>
        </w:rPr>
        <w:t>The PI is responsible for choosing a</w:t>
      </w:r>
      <w:r w:rsidR="001E2231" w:rsidRPr="00666DF0">
        <w:rPr>
          <w:rFonts w:eastAsia="Times New Roman" w:cs="Times New Roman"/>
          <w:szCs w:val="24"/>
        </w:rPr>
        <w:t xml:space="preserve"> qualified translator</w:t>
      </w:r>
      <w:r w:rsidR="00C91A75" w:rsidRPr="00666DF0">
        <w:rPr>
          <w:rFonts w:eastAsia="Times New Roman" w:cs="Times New Roman"/>
          <w:szCs w:val="24"/>
        </w:rPr>
        <w:t xml:space="preserve"> and is attesting to the fact that this individual is</w:t>
      </w:r>
      <w:r w:rsidR="001E2231" w:rsidRPr="00666DF0">
        <w:rPr>
          <w:rFonts w:eastAsia="Times New Roman" w:cs="Times New Roman"/>
          <w:szCs w:val="24"/>
        </w:rPr>
        <w:t xml:space="preserve"> proficient in both the source and target language including grammar and vocabulary.  If possible, the translator should be certified and have expertise in the subject matter. </w:t>
      </w:r>
      <w:r w:rsidRPr="00AA4677">
        <w:rPr>
          <w:rFonts w:eastAsia="Times New Roman" w:cs="Times New Roman"/>
          <w:szCs w:val="24"/>
        </w:rPr>
        <w:t xml:space="preserve">The </w:t>
      </w:r>
      <w:proofErr w:type="gramStart"/>
      <w:r w:rsidRPr="00AA4677">
        <w:rPr>
          <w:rFonts w:eastAsia="Times New Roman" w:cs="Times New Roman"/>
          <w:szCs w:val="24"/>
        </w:rPr>
        <w:t>translated consent</w:t>
      </w:r>
      <w:proofErr w:type="gramEnd"/>
      <w:r w:rsidRPr="00AA4677">
        <w:rPr>
          <w:rFonts w:eastAsia="Times New Roman" w:cs="Times New Roman"/>
          <w:szCs w:val="24"/>
        </w:rPr>
        <w:t xml:space="preserve"> form and affidavit must be submitted and approved by </w:t>
      </w:r>
      <w:r w:rsidR="003704D4"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before its use. </w:t>
      </w:r>
      <w:bookmarkStart w:id="97" w:name="_Hlk192160498"/>
      <w:r w:rsidRPr="00AA4677">
        <w:rPr>
          <w:rFonts w:eastAsia="Times New Roman" w:cs="Times New Roman"/>
          <w:szCs w:val="24"/>
        </w:rPr>
        <w:t>The individual obtaining a non-English speaking subject's consent should either be a study investigator</w:t>
      </w:r>
      <w:r w:rsidR="00B01ED6" w:rsidRPr="00AA4677">
        <w:rPr>
          <w:rFonts w:eastAsia="Times New Roman" w:cs="Times New Roman"/>
          <w:szCs w:val="24"/>
        </w:rPr>
        <w:t>/individual designated to obtain informed consent</w:t>
      </w:r>
      <w:r w:rsidRPr="00AA4677">
        <w:rPr>
          <w:rFonts w:eastAsia="Times New Roman" w:cs="Times New Roman"/>
          <w:szCs w:val="24"/>
        </w:rPr>
        <w:t xml:space="preserve"> who is fluent in both languages, or a study investigator</w:t>
      </w:r>
      <w:r w:rsidR="00B01ED6" w:rsidRPr="00AA4677">
        <w:rPr>
          <w:rFonts w:eastAsia="Times New Roman" w:cs="Times New Roman"/>
          <w:szCs w:val="24"/>
        </w:rPr>
        <w:t>/individual designated to obtain informed consent</w:t>
      </w:r>
      <w:r w:rsidRPr="00AA4677">
        <w:rPr>
          <w:rFonts w:eastAsia="Times New Roman" w:cs="Times New Roman"/>
          <w:szCs w:val="24"/>
        </w:rPr>
        <w:t xml:space="preserve"> who is assisted by either a qualified </w:t>
      </w:r>
      <w:r w:rsidR="000042C4" w:rsidRPr="00AA4677">
        <w:rPr>
          <w:rFonts w:eastAsia="Times New Roman" w:cs="Times New Roman"/>
          <w:szCs w:val="24"/>
        </w:rPr>
        <w:t>interpreter</w:t>
      </w:r>
      <w:r w:rsidRPr="00AA4677">
        <w:rPr>
          <w:rFonts w:eastAsia="Times New Roman" w:cs="Times New Roman"/>
          <w:szCs w:val="24"/>
        </w:rPr>
        <w:t xml:space="preserve"> or a recognized</w:t>
      </w:r>
      <w:r w:rsidR="00185AF5" w:rsidRPr="00AA4677">
        <w:rPr>
          <w:rFonts w:eastAsia="Times New Roman" w:cs="Times New Roman"/>
          <w:szCs w:val="24"/>
        </w:rPr>
        <w:t xml:space="preserve"> </w:t>
      </w:r>
      <w:r w:rsidR="000042C4" w:rsidRPr="00AA4677">
        <w:rPr>
          <w:rFonts w:eastAsia="Times New Roman" w:cs="Times New Roman"/>
          <w:szCs w:val="24"/>
        </w:rPr>
        <w:t>interpreter</w:t>
      </w:r>
      <w:r w:rsidRPr="00AA4677">
        <w:rPr>
          <w:rFonts w:eastAsia="Times New Roman" w:cs="Times New Roman"/>
          <w:szCs w:val="24"/>
        </w:rPr>
        <w:t xml:space="preserve"> service. See section 17.8 for additional policy governing inclusion of non-English speakers.</w:t>
      </w:r>
      <w:r w:rsidR="00A2364C" w:rsidRPr="00AA4677">
        <w:rPr>
          <w:rFonts w:eastAsia="Times New Roman" w:cs="Times New Roman"/>
          <w:szCs w:val="24"/>
        </w:rPr>
        <w:t xml:space="preserve"> The translated </w:t>
      </w:r>
      <w:r w:rsidR="0090737C" w:rsidRPr="00AA4677">
        <w:rPr>
          <w:rFonts w:eastAsia="Times New Roman" w:cs="Times New Roman"/>
          <w:szCs w:val="24"/>
        </w:rPr>
        <w:t xml:space="preserve">consent </w:t>
      </w:r>
      <w:r w:rsidR="00A2364C" w:rsidRPr="00AA4677">
        <w:rPr>
          <w:rFonts w:eastAsia="Times New Roman" w:cs="Times New Roman"/>
          <w:szCs w:val="24"/>
        </w:rPr>
        <w:t xml:space="preserve">form should be signed by the individual </w:t>
      </w:r>
      <w:r w:rsidR="00A2364C" w:rsidRPr="00AA4677">
        <w:rPr>
          <w:rFonts w:eastAsia="Times New Roman" w:cs="Times New Roman"/>
          <w:szCs w:val="24"/>
        </w:rPr>
        <w:lastRenderedPageBreak/>
        <w:t>obtaining consent. The unsigned English version can then be attached/stap</w:t>
      </w:r>
      <w:r w:rsidR="00927F2B" w:rsidRPr="00AA4677">
        <w:rPr>
          <w:rFonts w:eastAsia="Times New Roman" w:cs="Times New Roman"/>
          <w:szCs w:val="24"/>
        </w:rPr>
        <w:t>l</w:t>
      </w:r>
      <w:r w:rsidR="00A2364C" w:rsidRPr="00AA4677">
        <w:rPr>
          <w:rFonts w:eastAsia="Times New Roman" w:cs="Times New Roman"/>
          <w:szCs w:val="24"/>
        </w:rPr>
        <w:t>ed to the translated version</w:t>
      </w:r>
      <w:r w:rsidR="00927F2B" w:rsidRPr="00AA4677">
        <w:rPr>
          <w:rFonts w:eastAsia="Times New Roman" w:cs="Times New Roman"/>
          <w:szCs w:val="24"/>
        </w:rPr>
        <w:t xml:space="preserve"> (if needed)</w:t>
      </w:r>
      <w:r w:rsidR="00A2364C" w:rsidRPr="00AA4677">
        <w:rPr>
          <w:rFonts w:eastAsia="Times New Roman" w:cs="Times New Roman"/>
          <w:szCs w:val="24"/>
        </w:rPr>
        <w:t>.</w:t>
      </w:r>
      <w:bookmarkEnd w:id="97"/>
      <w:r w:rsidR="0076498A" w:rsidRPr="00AA4677">
        <w:rPr>
          <w:rFonts w:eastAsia="Times New Roman" w:cs="Times New Roman"/>
          <w:szCs w:val="24"/>
        </w:rPr>
        <w:t xml:space="preserve"> </w:t>
      </w:r>
      <w:bookmarkStart w:id="98" w:name="_Hlk192231415"/>
      <w:r w:rsidR="0076498A" w:rsidRPr="00AA4677">
        <w:rPr>
          <w:rFonts w:eastAsia="Times New Roman" w:cs="Times New Roman"/>
          <w:szCs w:val="24"/>
        </w:rPr>
        <w:t xml:space="preserve">The interpreter does not need to sign the consent form. </w:t>
      </w:r>
      <w:r w:rsidR="0076498A" w:rsidRPr="00666DF0">
        <w:rPr>
          <w:rFonts w:eastAsia="Times New Roman" w:cs="Times New Roman"/>
          <w:szCs w:val="24"/>
        </w:rPr>
        <w:t xml:space="preserve">The study team </w:t>
      </w:r>
      <w:r w:rsidR="00B24738" w:rsidRPr="00666DF0">
        <w:rPr>
          <w:rFonts w:eastAsia="Times New Roman" w:cs="Times New Roman"/>
          <w:szCs w:val="24"/>
        </w:rPr>
        <w:t>must</w:t>
      </w:r>
      <w:r w:rsidR="0076498A" w:rsidRPr="00666DF0">
        <w:rPr>
          <w:rFonts w:eastAsia="Times New Roman" w:cs="Times New Roman"/>
          <w:szCs w:val="24"/>
        </w:rPr>
        <w:t xml:space="preserve"> document that an interpreter was in the room or on the phone in a note to file</w:t>
      </w:r>
      <w:r w:rsidR="00B24738" w:rsidRPr="00666DF0">
        <w:rPr>
          <w:rFonts w:eastAsia="Times New Roman" w:cs="Times New Roman"/>
          <w:szCs w:val="24"/>
        </w:rPr>
        <w:t xml:space="preserve"> (which includes the interpreter’s name and/or identification number (if applicable))</w:t>
      </w:r>
      <w:r w:rsidR="0076498A" w:rsidRPr="00666DF0">
        <w:rPr>
          <w:rFonts w:eastAsia="Times New Roman" w:cs="Times New Roman"/>
          <w:szCs w:val="24"/>
        </w:rPr>
        <w:t>.</w:t>
      </w:r>
    </w:p>
    <w:bookmarkEnd w:id="98"/>
    <w:p w14:paraId="4BCD2E2D" w14:textId="2C9784AD" w:rsidR="006037AE" w:rsidRPr="00AA4677" w:rsidRDefault="006037AE" w:rsidP="00C129F1">
      <w:pPr>
        <w:numPr>
          <w:ilvl w:val="0"/>
          <w:numId w:val="20"/>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t xml:space="preserve">For research conducted in accordance with ICH-GCP E6 or in facilities subject to Joint Commission requirements, the name of the person who obtained consent and the date they did so is documented on the written consent </w:t>
      </w:r>
      <w:proofErr w:type="gramStart"/>
      <w:r w:rsidRPr="00AA4677">
        <w:t>form;</w:t>
      </w:r>
      <w:proofErr w:type="gramEnd"/>
    </w:p>
    <w:p w14:paraId="1C987E28" w14:textId="29965822" w:rsidR="00FC174E" w:rsidRPr="00AA4677" w:rsidRDefault="00FC174E" w:rsidP="00C129F1">
      <w:pPr>
        <w:numPr>
          <w:ilvl w:val="0"/>
          <w:numId w:val="20"/>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A </w:t>
      </w:r>
      <w:r w:rsidR="006037AE" w:rsidRPr="00AA4677">
        <w:rPr>
          <w:rFonts w:eastAsia="Times New Roman" w:cs="Times New Roman"/>
          <w:szCs w:val="24"/>
        </w:rPr>
        <w:t xml:space="preserve">written </w:t>
      </w:r>
      <w:r w:rsidRPr="00AA4677">
        <w:rPr>
          <w:rFonts w:eastAsia="Times New Roman" w:cs="Times New Roman"/>
          <w:szCs w:val="24"/>
        </w:rPr>
        <w:t>copy of the signed and dated consent form must be given to the person signing the form.</w:t>
      </w:r>
      <w:r w:rsidR="004378C9" w:rsidRPr="00AA4677">
        <w:rPr>
          <w:rFonts w:eastAsia="Times New Roman" w:cs="Times New Roman"/>
          <w:szCs w:val="24"/>
        </w:rPr>
        <w:t xml:space="preserve"> </w:t>
      </w:r>
      <w:r w:rsidR="004378C9" w:rsidRPr="00AA4677">
        <w:t xml:space="preserve">The investigator should retain the signed original in the research records.  When appropriate, a copy of the consent form is uploaded into the electronic health </w:t>
      </w:r>
      <w:proofErr w:type="gramStart"/>
      <w:r w:rsidR="004378C9" w:rsidRPr="00AA4677">
        <w:t>record;</w:t>
      </w:r>
      <w:proofErr w:type="gramEnd"/>
    </w:p>
    <w:p w14:paraId="45B0AC1C" w14:textId="4F5CE788" w:rsidR="00FC174E" w:rsidRPr="00AA4677" w:rsidRDefault="00FC174E" w:rsidP="00C129F1">
      <w:pPr>
        <w:numPr>
          <w:ilvl w:val="0"/>
          <w:numId w:val="20"/>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Documentation of consent must be either via: </w:t>
      </w:r>
    </w:p>
    <w:p w14:paraId="60E65AC4" w14:textId="26DE7D58" w:rsidR="004378C9" w:rsidRPr="00AA4677" w:rsidRDefault="00E17B50" w:rsidP="00317664">
      <w:pPr>
        <w:pStyle w:val="ListParagraph"/>
        <w:spacing w:after="0" w:line="240" w:lineRule="auto"/>
        <w:ind w:left="360"/>
      </w:pPr>
      <w:r w:rsidRPr="00AA4677">
        <w:t xml:space="preserve">A written consent document </w:t>
      </w:r>
      <w:proofErr w:type="gramStart"/>
      <w:r w:rsidR="004378C9" w:rsidRPr="00AA4677">
        <w:t>embod</w:t>
      </w:r>
      <w:r w:rsidR="00EA1808" w:rsidRPr="00AA4677">
        <w:t>ying</w:t>
      </w:r>
      <w:proofErr w:type="gramEnd"/>
      <w:r w:rsidR="004378C9" w:rsidRPr="00AA4677">
        <w:t xml:space="preserve"> the basic and required addition</w:t>
      </w:r>
      <w:r w:rsidR="006B6A87" w:rsidRPr="00AA4677">
        <w:t>al elements of informed consent including required disclosures when the research involves private identifiable information or identifiable biospecimens.</w:t>
      </w:r>
      <w:r w:rsidR="004378C9" w:rsidRPr="00AA4677">
        <w:t xml:space="preserve"> The investigator shall give either the subject or the subject’s LAR adequate opportunity to read the informed consent form before it is signed; alternatively, this form may be read to the subject or the subject’s legally authorized </w:t>
      </w:r>
      <w:proofErr w:type="gramStart"/>
      <w:r w:rsidR="004378C9" w:rsidRPr="00AA4677">
        <w:t>representative;</w:t>
      </w:r>
      <w:proofErr w:type="gramEnd"/>
    </w:p>
    <w:p w14:paraId="0BD03827" w14:textId="7741690B" w:rsidR="004378C9" w:rsidRPr="00AA4677" w:rsidRDefault="004378C9" w:rsidP="00317664">
      <w:pPr>
        <w:pStyle w:val="ListParagraph"/>
        <w:spacing w:after="0" w:line="240" w:lineRule="auto"/>
        <w:ind w:left="360"/>
      </w:pPr>
      <w:r w:rsidRPr="00AA4677">
        <w:t>or</w:t>
      </w:r>
    </w:p>
    <w:p w14:paraId="71ED95F1" w14:textId="0F4C4F23" w:rsidR="00FC174E" w:rsidRPr="00AA4677" w:rsidRDefault="00FC174E" w:rsidP="00317664">
      <w:p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A short form written consent document which states that the </w:t>
      </w:r>
      <w:r w:rsidR="004254B6" w:rsidRPr="00AA4677">
        <w:rPr>
          <w:rFonts w:eastAsia="Times New Roman" w:cs="Times New Roman"/>
          <w:szCs w:val="24"/>
        </w:rPr>
        <w:t xml:space="preserve">basic and additional </w:t>
      </w:r>
      <w:r w:rsidRPr="00AA4677">
        <w:rPr>
          <w:rFonts w:eastAsia="Times New Roman" w:cs="Times New Roman"/>
          <w:szCs w:val="24"/>
        </w:rPr>
        <w:t>elements of informed consent have been presented orally to the subject or the subject's legally authorized representative</w:t>
      </w:r>
      <w:r w:rsidR="004378C9" w:rsidRPr="00AA4677">
        <w:rPr>
          <w:rFonts w:eastAsia="Times New Roman" w:cs="Times New Roman"/>
          <w:szCs w:val="24"/>
        </w:rPr>
        <w:t xml:space="preserve"> and the key information required above was presented first to the subject,</w:t>
      </w:r>
      <w:r w:rsidR="006B6A87" w:rsidRPr="00AA4677">
        <w:rPr>
          <w:rFonts w:eastAsia="Times New Roman" w:cs="Times New Roman"/>
          <w:szCs w:val="24"/>
        </w:rPr>
        <w:t xml:space="preserve"> </w:t>
      </w:r>
      <w:r w:rsidR="006B6A87" w:rsidRPr="00AA4677">
        <w:t xml:space="preserve">including required disclosures when the research involves private identifiable information or identifiable biospecimens </w:t>
      </w:r>
      <w:r w:rsidR="004378C9" w:rsidRPr="00AA4677">
        <w:rPr>
          <w:rFonts w:eastAsia="Times New Roman" w:cs="Times New Roman"/>
          <w:szCs w:val="24"/>
        </w:rPr>
        <w:t>before other information, if any, was provided</w:t>
      </w:r>
      <w:r w:rsidRPr="00AA4677">
        <w:rPr>
          <w:rFonts w:eastAsia="Times New Roman" w:cs="Times New Roman"/>
          <w:szCs w:val="24"/>
        </w:rPr>
        <w:t>.</w:t>
      </w:r>
      <w:r w:rsidR="003704D4" w:rsidRPr="00AA4677">
        <w:rPr>
          <w:rFonts w:eastAsia="Times New Roman" w:cs="Times New Roman"/>
          <w:szCs w:val="24"/>
        </w:rPr>
        <w:t xml:space="preserve"> </w:t>
      </w:r>
      <w:r w:rsidRPr="00AA4677">
        <w:rPr>
          <w:rFonts w:eastAsia="Times New Roman" w:cs="Times New Roman"/>
          <w:szCs w:val="24"/>
        </w:rPr>
        <w:t>When this method is used:</w:t>
      </w:r>
    </w:p>
    <w:p w14:paraId="429E2FFE" w14:textId="55B35810" w:rsidR="00FC174E" w:rsidRPr="00AA4677" w:rsidRDefault="003704D4">
      <w:pPr>
        <w:numPr>
          <w:ilvl w:val="3"/>
          <w:numId w:val="90"/>
        </w:numPr>
        <w:shd w:val="clear" w:color="auto" w:fill="FFFFFF"/>
        <w:spacing w:after="0" w:line="240" w:lineRule="auto"/>
        <w:ind w:left="360"/>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here must be a witness to the oral presentation; and</w:t>
      </w:r>
    </w:p>
    <w:p w14:paraId="49A3FD69" w14:textId="098056A9" w:rsidR="00FC174E" w:rsidRPr="00AA4677" w:rsidRDefault="003704D4">
      <w:pPr>
        <w:numPr>
          <w:ilvl w:val="3"/>
          <w:numId w:val="90"/>
        </w:num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must approve a written summary </w:t>
      </w:r>
      <w:r w:rsidR="004254B6" w:rsidRPr="00AA4677">
        <w:rPr>
          <w:rFonts w:eastAsia="Times New Roman" w:cs="Times New Roman"/>
          <w:szCs w:val="24"/>
        </w:rPr>
        <w:t xml:space="preserve">(including basic and additional elements of informed consent) </w:t>
      </w:r>
      <w:r w:rsidR="00FC174E" w:rsidRPr="00AA4677">
        <w:rPr>
          <w:rFonts w:eastAsia="Times New Roman" w:cs="Times New Roman"/>
          <w:szCs w:val="24"/>
        </w:rPr>
        <w:t>of what is to be signed by the subject or representative; and</w:t>
      </w:r>
    </w:p>
    <w:p w14:paraId="333D92B1" w14:textId="248FA7C4" w:rsidR="00FC174E" w:rsidRPr="00AA4677" w:rsidRDefault="003704D4">
      <w:pPr>
        <w:numPr>
          <w:ilvl w:val="3"/>
          <w:numId w:val="90"/>
        </w:numPr>
        <w:shd w:val="clear" w:color="auto" w:fill="FFFFFF"/>
        <w:spacing w:after="0" w:line="240" w:lineRule="auto"/>
        <w:ind w:left="360"/>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 witness must sign both the short form and a copy of the summary; and</w:t>
      </w:r>
    </w:p>
    <w:p w14:paraId="5C315934" w14:textId="1918B55F" w:rsidR="00FC174E" w:rsidRPr="00AA4677" w:rsidRDefault="003704D4">
      <w:pPr>
        <w:numPr>
          <w:ilvl w:val="3"/>
          <w:numId w:val="90"/>
        </w:numPr>
        <w:shd w:val="clear" w:color="auto" w:fill="FFFFFF"/>
        <w:spacing w:after="0" w:line="240" w:lineRule="auto"/>
        <w:ind w:left="360"/>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person </w:t>
      </w:r>
      <w:proofErr w:type="gramStart"/>
      <w:r w:rsidR="00FC174E" w:rsidRPr="00AA4677">
        <w:rPr>
          <w:rFonts w:eastAsia="Times New Roman" w:cs="Times New Roman"/>
          <w:szCs w:val="24"/>
        </w:rPr>
        <w:t>actually obtaining</w:t>
      </w:r>
      <w:proofErr w:type="gramEnd"/>
      <w:r w:rsidR="00FC174E" w:rsidRPr="00AA4677">
        <w:rPr>
          <w:rFonts w:eastAsia="Times New Roman" w:cs="Times New Roman"/>
          <w:szCs w:val="24"/>
        </w:rPr>
        <w:t xml:space="preserve"> consent must sign a copy of the summary; and</w:t>
      </w:r>
    </w:p>
    <w:p w14:paraId="6C3815FA" w14:textId="585514D3" w:rsidR="00FC174E" w:rsidRPr="00AA4677" w:rsidRDefault="003704D4">
      <w:pPr>
        <w:numPr>
          <w:ilvl w:val="3"/>
          <w:numId w:val="90"/>
        </w:numPr>
        <w:shd w:val="clear" w:color="auto" w:fill="FFFFFF"/>
        <w:spacing w:after="0" w:line="240" w:lineRule="auto"/>
        <w:ind w:left="360"/>
        <w:rPr>
          <w:rFonts w:eastAsia="Times New Roman" w:cs="Times New Roman"/>
          <w:szCs w:val="24"/>
        </w:rPr>
      </w:pPr>
      <w:r w:rsidRPr="00AA4677">
        <w:rPr>
          <w:rFonts w:eastAsia="Times New Roman" w:cs="Times New Roman"/>
          <w:szCs w:val="24"/>
        </w:rPr>
        <w:t>A</w:t>
      </w:r>
      <w:r w:rsidR="00FC174E" w:rsidRPr="00AA4677">
        <w:rPr>
          <w:rFonts w:eastAsia="Times New Roman" w:cs="Times New Roman"/>
          <w:szCs w:val="24"/>
        </w:rPr>
        <w:t xml:space="preserve"> copy of the </w:t>
      </w:r>
      <w:r w:rsidR="007F11DB" w:rsidRPr="00AA4677">
        <w:rPr>
          <w:rFonts w:eastAsia="Times New Roman" w:cs="Times New Roman"/>
          <w:szCs w:val="24"/>
        </w:rPr>
        <w:t xml:space="preserve">signed </w:t>
      </w:r>
      <w:r w:rsidR="00FC174E" w:rsidRPr="00AA4677">
        <w:rPr>
          <w:rFonts w:eastAsia="Times New Roman" w:cs="Times New Roman"/>
          <w:szCs w:val="24"/>
        </w:rPr>
        <w:t xml:space="preserve">summary must be given to the subject or representative, in addition to a copy of the </w:t>
      </w:r>
      <w:r w:rsidR="00863BC3" w:rsidRPr="00AA4677">
        <w:rPr>
          <w:rFonts w:eastAsia="Times New Roman" w:cs="Times New Roman"/>
          <w:szCs w:val="24"/>
        </w:rPr>
        <w:t xml:space="preserve">signed </w:t>
      </w:r>
      <w:r w:rsidR="00FC174E" w:rsidRPr="00AA4677">
        <w:rPr>
          <w:rFonts w:eastAsia="Times New Roman" w:cs="Times New Roman"/>
          <w:szCs w:val="24"/>
        </w:rPr>
        <w:t>short form.</w:t>
      </w:r>
    </w:p>
    <w:p w14:paraId="6730DF6F" w14:textId="77777777" w:rsidR="00476EB9" w:rsidRPr="00AA4677" w:rsidRDefault="00FC174E" w:rsidP="00FC174E">
      <w:pPr>
        <w:shd w:val="clear" w:color="auto" w:fill="FFFFFF"/>
        <w:spacing w:before="100" w:beforeAutospacing="1" w:after="100" w:afterAutospacing="1" w:line="240" w:lineRule="auto"/>
        <w:rPr>
          <w:rFonts w:eastAsia="Times New Roman" w:cs="Times New Roman"/>
          <w:b/>
          <w:bCs/>
          <w:szCs w:val="24"/>
        </w:rPr>
      </w:pPr>
      <w:r w:rsidRPr="00AA4677">
        <w:rPr>
          <w:rFonts w:eastAsia="Times New Roman" w:cs="Times New Roman"/>
          <w:b/>
          <w:bCs/>
          <w:szCs w:val="24"/>
        </w:rPr>
        <w:t>When this 'short form' procedure is used with subjects who do not speak English</w:t>
      </w:r>
      <w:r w:rsidR="00476EB9" w:rsidRPr="00AA4677">
        <w:rPr>
          <w:rFonts w:eastAsia="Times New Roman" w:cs="Times New Roman"/>
          <w:b/>
          <w:bCs/>
          <w:szCs w:val="24"/>
        </w:rPr>
        <w:t xml:space="preserve">: </w:t>
      </w:r>
    </w:p>
    <w:p w14:paraId="371FAA45" w14:textId="09C1D605" w:rsidR="00476EB9" w:rsidRPr="00AA4677" w:rsidRDefault="00476EB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oral presentation and the short form written document should be in a language understandable to the </w:t>
      </w:r>
      <w:proofErr w:type="gramStart"/>
      <w:r w:rsidR="00FC174E" w:rsidRPr="00AA4677">
        <w:rPr>
          <w:rFonts w:eastAsia="Times New Roman" w:cs="Times New Roman"/>
          <w:szCs w:val="24"/>
        </w:rPr>
        <w:t>subject;</w:t>
      </w:r>
      <w:proofErr w:type="gramEnd"/>
      <w:r w:rsidR="00FC174E" w:rsidRPr="00AA4677">
        <w:rPr>
          <w:rFonts w:eastAsia="Times New Roman" w:cs="Times New Roman"/>
          <w:szCs w:val="24"/>
        </w:rPr>
        <w:t xml:space="preserve"> </w:t>
      </w:r>
    </w:p>
    <w:p w14:paraId="0587D872" w14:textId="155B46F3" w:rsidR="00476EB9" w:rsidRPr="00AA4677" w:rsidRDefault="00476EB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w:t>
      </w:r>
      <w:r w:rsidR="00EE7207" w:rsidRPr="00AA4677">
        <w:rPr>
          <w:rFonts w:eastAsia="Times New Roman" w:cs="Times New Roman"/>
          <w:szCs w:val="24"/>
        </w:rPr>
        <w:t>IRB</w:t>
      </w:r>
      <w:r w:rsidRPr="00AA4677">
        <w:rPr>
          <w:rFonts w:eastAsia="Times New Roman" w:cs="Times New Roman"/>
          <w:szCs w:val="24"/>
        </w:rPr>
        <w:t xml:space="preserve"> </w:t>
      </w:r>
      <w:r w:rsidR="00FC174E" w:rsidRPr="00AA4677">
        <w:rPr>
          <w:rFonts w:eastAsia="Times New Roman" w:cs="Times New Roman"/>
          <w:szCs w:val="24"/>
        </w:rPr>
        <w:t xml:space="preserve">approved English language informed consent document may serve as the summary; and </w:t>
      </w:r>
    </w:p>
    <w:p w14:paraId="00530CBB" w14:textId="37C86C91" w:rsidR="00476EB9" w:rsidRPr="00AA4677" w:rsidRDefault="00476EB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lastRenderedPageBreak/>
        <w:t>T</w:t>
      </w:r>
      <w:r w:rsidR="00FC174E" w:rsidRPr="00AA4677">
        <w:rPr>
          <w:rFonts w:eastAsia="Times New Roman" w:cs="Times New Roman"/>
          <w:szCs w:val="24"/>
        </w:rPr>
        <w:t xml:space="preserve">he witness should be fluent in both English and the language of the subject.  When the person obtaining consent </w:t>
      </w:r>
      <w:r w:rsidR="000042C4" w:rsidRPr="00AA4677">
        <w:rPr>
          <w:rFonts w:eastAsia="Times New Roman" w:cs="Times New Roman"/>
          <w:szCs w:val="24"/>
        </w:rPr>
        <w:t>is assisted by an interpreter</w:t>
      </w:r>
      <w:r w:rsidR="00FC174E" w:rsidRPr="00AA4677">
        <w:rPr>
          <w:rFonts w:eastAsia="Times New Roman" w:cs="Times New Roman"/>
          <w:szCs w:val="24"/>
        </w:rPr>
        <w:t xml:space="preserve">, the </w:t>
      </w:r>
      <w:r w:rsidR="000042C4" w:rsidRPr="00AA4677">
        <w:rPr>
          <w:rFonts w:eastAsia="Times New Roman" w:cs="Times New Roman"/>
          <w:szCs w:val="24"/>
        </w:rPr>
        <w:t xml:space="preserve">interpreter </w:t>
      </w:r>
      <w:r w:rsidR="00FC174E" w:rsidRPr="00AA4677">
        <w:rPr>
          <w:rFonts w:eastAsia="Times New Roman" w:cs="Times New Roman"/>
          <w:szCs w:val="24"/>
        </w:rPr>
        <w:t xml:space="preserve">may serve as the witness.  </w:t>
      </w: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must receive and approve all foreign language versions of the short form document (along with</w:t>
      </w:r>
      <w:r w:rsidR="00EE269B" w:rsidRPr="00AA4677">
        <w:rPr>
          <w:rFonts w:eastAsia="Times New Roman" w:cs="Times New Roman"/>
          <w:szCs w:val="24"/>
        </w:rPr>
        <w:t xml:space="preserve"> a</w:t>
      </w:r>
      <w:r w:rsidR="00FC174E" w:rsidRPr="00AA4677">
        <w:rPr>
          <w:rFonts w:eastAsia="Times New Roman" w:cs="Times New Roman"/>
          <w:szCs w:val="24"/>
        </w:rPr>
        <w:t xml:space="preserve"> translator affidavit) prior to use. </w:t>
      </w:r>
    </w:p>
    <w:p w14:paraId="140E87A8" w14:textId="4A5A4FB6" w:rsidR="00DC5C3D" w:rsidRPr="00AA4677" w:rsidRDefault="00DC5C3D">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In addition to receiving a copy of the</w:t>
      </w:r>
      <w:r w:rsidR="0058195D" w:rsidRPr="00AA4677">
        <w:rPr>
          <w:rFonts w:eastAsia="Times New Roman" w:cs="Times New Roman"/>
          <w:szCs w:val="24"/>
        </w:rPr>
        <w:t xml:space="preserve"> (English) </w:t>
      </w:r>
      <w:r w:rsidRPr="00AA4677">
        <w:rPr>
          <w:rFonts w:eastAsia="Times New Roman" w:cs="Times New Roman"/>
          <w:szCs w:val="24"/>
        </w:rPr>
        <w:t>summary and a copy of the short form at the time of consenting, the subject must receive a copy of the summary, translated into their native language, as soon as possible</w:t>
      </w:r>
      <w:r w:rsidR="0058195D" w:rsidRPr="00AA4677">
        <w:rPr>
          <w:rFonts w:eastAsia="Times New Roman" w:cs="Times New Roman"/>
          <w:szCs w:val="24"/>
        </w:rPr>
        <w:t xml:space="preserve"> after their enrollment into the study.</w:t>
      </w:r>
    </w:p>
    <w:p w14:paraId="3EAFFBDA" w14:textId="67BD183B" w:rsidR="00FC174E" w:rsidRPr="00AA4677" w:rsidRDefault="00FC174E" w:rsidP="00440F66">
      <w:pPr>
        <w:shd w:val="clear" w:color="auto" w:fill="FFFFFF"/>
        <w:spacing w:before="100" w:beforeAutospacing="1" w:after="100" w:afterAutospacing="1" w:line="240" w:lineRule="auto"/>
        <w:rPr>
          <w:rFonts w:eastAsia="Times New Roman" w:cs="Times New Roman"/>
          <w:b/>
          <w:bCs/>
          <w:szCs w:val="24"/>
        </w:rPr>
      </w:pPr>
      <w:r w:rsidRPr="00AA4677">
        <w:rPr>
          <w:rFonts w:eastAsia="Times New Roman" w:cs="Times New Roman"/>
          <w:b/>
          <w:i/>
          <w:iCs/>
          <w:szCs w:val="24"/>
        </w:rPr>
        <w:t>N</w:t>
      </w:r>
      <w:r w:rsidR="007D2E3C" w:rsidRPr="00AA4677">
        <w:rPr>
          <w:rFonts w:eastAsia="Times New Roman" w:cs="Times New Roman"/>
          <w:b/>
          <w:i/>
          <w:iCs/>
          <w:szCs w:val="24"/>
        </w:rPr>
        <w:t>OTE</w:t>
      </w:r>
      <w:r w:rsidR="00476EB9" w:rsidRPr="00AA4677">
        <w:rPr>
          <w:rFonts w:eastAsia="Times New Roman" w:cs="Times New Roman"/>
          <w:b/>
          <w:i/>
          <w:iCs/>
          <w:szCs w:val="24"/>
        </w:rPr>
        <w:t>:</w:t>
      </w:r>
      <w:r w:rsidRPr="00AA4677">
        <w:rPr>
          <w:rFonts w:eastAsia="Times New Roman" w:cs="Times New Roman"/>
          <w:i/>
          <w:iCs/>
          <w:szCs w:val="24"/>
        </w:rPr>
        <w:t xml:space="preserve"> </w:t>
      </w:r>
      <w:r w:rsidRPr="00AA4677">
        <w:rPr>
          <w:rFonts w:eastAsia="Times New Roman" w:cs="Times New Roman"/>
          <w:iCs/>
          <w:szCs w:val="24"/>
        </w:rPr>
        <w:t>that English and Spanish versions of a</w:t>
      </w:r>
      <w:r w:rsidR="0079573F" w:rsidRPr="00AA4677">
        <w:rPr>
          <w:rFonts w:eastAsia="Times New Roman" w:cs="Times New Roman"/>
          <w:iCs/>
          <w:szCs w:val="24"/>
        </w:rPr>
        <w:t>n</w:t>
      </w:r>
      <w:r w:rsidRPr="00AA4677">
        <w:rPr>
          <w:rFonts w:eastAsia="Times New Roman" w:cs="Times New Roman"/>
          <w:iCs/>
          <w:szCs w:val="24"/>
        </w:rPr>
        <w:t xml:space="preserve"> </w:t>
      </w:r>
      <w:r w:rsidR="00EE7207" w:rsidRPr="00AA4677">
        <w:rPr>
          <w:rFonts w:eastAsia="Times New Roman" w:cs="Times New Roman"/>
          <w:iCs/>
          <w:szCs w:val="24"/>
        </w:rPr>
        <w:t>IRB</w:t>
      </w:r>
      <w:r w:rsidR="00476EB9" w:rsidRPr="00AA4677">
        <w:rPr>
          <w:rFonts w:eastAsia="Times New Roman" w:cs="Times New Roman"/>
          <w:iCs/>
          <w:szCs w:val="24"/>
        </w:rPr>
        <w:t xml:space="preserve"> </w:t>
      </w:r>
      <w:r w:rsidRPr="00AA4677">
        <w:rPr>
          <w:rFonts w:eastAsia="Times New Roman" w:cs="Times New Roman"/>
          <w:iCs/>
          <w:szCs w:val="24"/>
        </w:rPr>
        <w:t xml:space="preserve">acceptable 'short form' document are available in the Forms </w:t>
      </w:r>
      <w:r w:rsidR="00DC5138" w:rsidRPr="00AA4677">
        <w:rPr>
          <w:rFonts w:eastAsia="Times New Roman" w:cs="Times New Roman"/>
          <w:iCs/>
          <w:szCs w:val="24"/>
        </w:rPr>
        <w:t>Library</w:t>
      </w:r>
      <w:r w:rsidRPr="00AA4677">
        <w:rPr>
          <w:rFonts w:eastAsia="Times New Roman" w:cs="Times New Roman"/>
          <w:iCs/>
          <w:szCs w:val="24"/>
        </w:rPr>
        <w:t xml:space="preserve"> within</w:t>
      </w:r>
      <w:r w:rsidR="00BB5E38" w:rsidRPr="00AA4677">
        <w:rPr>
          <w:rFonts w:eastAsia="Times New Roman" w:cs="Times New Roman"/>
          <w:iCs/>
          <w:szCs w:val="24"/>
        </w:rPr>
        <w:t xml:space="preserve"> </w:t>
      </w:r>
      <w:r w:rsidRPr="00AA4677">
        <w:rPr>
          <w:rFonts w:eastAsia="Times New Roman" w:cs="Times New Roman"/>
          <w:iCs/>
          <w:szCs w:val="24"/>
        </w:rPr>
        <w:t xml:space="preserve">the </w:t>
      </w:r>
      <w:r w:rsidR="00DC5138" w:rsidRPr="00AA4677">
        <w:rPr>
          <w:rFonts w:eastAsia="Times New Roman" w:cs="Times New Roman"/>
          <w:iCs/>
          <w:szCs w:val="24"/>
        </w:rPr>
        <w:t>electronic management system</w:t>
      </w:r>
      <w:r w:rsidRPr="00AA4677">
        <w:rPr>
          <w:rFonts w:eastAsia="Times New Roman" w:cs="Times New Roman"/>
          <w:iCs/>
          <w:szCs w:val="24"/>
        </w:rPr>
        <w:t>.</w:t>
      </w:r>
      <w:r w:rsidRPr="00AA4677">
        <w:rPr>
          <w:rFonts w:eastAsia="Times New Roman" w:cs="Times New Roman"/>
          <w:szCs w:val="24"/>
        </w:rPr>
        <w:t xml:space="preserve">  Expedited review of these versions is acceptable if the protocol, the full English language informed consent document, and the English version of the short form document have already been approved by the convened </w:t>
      </w:r>
      <w:r w:rsidR="00EE7207" w:rsidRPr="00AA4677">
        <w:rPr>
          <w:rFonts w:eastAsia="Times New Roman" w:cs="Times New Roman"/>
          <w:szCs w:val="24"/>
        </w:rPr>
        <w:t>IRB</w:t>
      </w:r>
      <w:r w:rsidRPr="00AA4677">
        <w:rPr>
          <w:rFonts w:eastAsia="Times New Roman" w:cs="Times New Roman"/>
          <w:szCs w:val="24"/>
        </w:rPr>
        <w:t>.  </w:t>
      </w:r>
      <w:r w:rsidRPr="00AA4677">
        <w:rPr>
          <w:rFonts w:eastAsia="Times New Roman" w:cs="Times New Roman"/>
          <w:b/>
          <w:bCs/>
          <w:szCs w:val="24"/>
        </w:rPr>
        <w:t>See section 17.8 for additional policy governing inclusion of non-English speakers.</w:t>
      </w:r>
    </w:p>
    <w:p w14:paraId="005DA08F" w14:textId="77777777" w:rsidR="00FC174E" w:rsidRPr="00AA4677" w:rsidRDefault="00FC174E" w:rsidP="00696B35">
      <w:pPr>
        <w:pStyle w:val="Heading2"/>
      </w:pPr>
      <w:bookmarkStart w:id="99" w:name="_Toc192678203"/>
      <w:r w:rsidRPr="00AA4677">
        <w:t>5.8 Special Consent Circumstances</w:t>
      </w:r>
      <w:bookmarkEnd w:id="99"/>
    </w:p>
    <w:p w14:paraId="4D85015E" w14:textId="024FB943" w:rsidR="00FC174E" w:rsidRPr="00AA4677" w:rsidRDefault="00FC174E" w:rsidP="00C57C98">
      <w:pPr>
        <w:pStyle w:val="Heading3"/>
      </w:pPr>
      <w:r w:rsidRPr="00AA4677">
        <w:t>5.8.1  Non-</w:t>
      </w:r>
      <w:proofErr w:type="gramStart"/>
      <w:r w:rsidRPr="00AA4677">
        <w:t>English Speaking</w:t>
      </w:r>
      <w:proofErr w:type="gramEnd"/>
      <w:r w:rsidRPr="00AA4677">
        <w:t xml:space="preserve"> Subjects</w:t>
      </w:r>
    </w:p>
    <w:p w14:paraId="02926172" w14:textId="57F9DCBC" w:rsidR="00FC174E" w:rsidRPr="00AA4677" w:rsidRDefault="00FC174E" w:rsidP="00FC174E">
      <w:pPr>
        <w:shd w:val="clear" w:color="auto" w:fill="FFFFFF"/>
        <w:spacing w:before="100" w:beforeAutospacing="1" w:after="100" w:afterAutospacing="1" w:line="240" w:lineRule="auto"/>
        <w:rPr>
          <w:rFonts w:eastAsia="Times New Roman" w:cs="Times New Roman"/>
          <w:b/>
          <w:szCs w:val="24"/>
        </w:rPr>
      </w:pPr>
      <w:r w:rsidRPr="00AA4677">
        <w:rPr>
          <w:rFonts w:eastAsia="Times New Roman" w:cs="Times New Roman"/>
          <w:b/>
          <w:i/>
          <w:iCs/>
          <w:szCs w:val="24"/>
        </w:rPr>
        <w:t>See section 17.8 for SBU policy on non-English speaking subjects</w:t>
      </w:r>
    </w:p>
    <w:p w14:paraId="44B11447" w14:textId="6848B692" w:rsidR="00FC174E" w:rsidRPr="00AA4677" w:rsidRDefault="00FC174E" w:rsidP="00C57C98">
      <w:pPr>
        <w:pStyle w:val="Heading3"/>
      </w:pPr>
      <w:r w:rsidRPr="00AA4677">
        <w:t>5.8.2  </w:t>
      </w:r>
      <w:r w:rsidR="00F43B11" w:rsidRPr="00AA4677">
        <w:t xml:space="preserve">Consenting Subjects Who Read </w:t>
      </w:r>
      <w:r w:rsidRPr="00AA4677">
        <w:t xml:space="preserve">Braille </w:t>
      </w:r>
    </w:p>
    <w:p w14:paraId="5863B4AC" w14:textId="4890E8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blind subjects who read Braille, </w:t>
      </w:r>
      <w:r w:rsidR="003810BF"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may approve a consent document prepared in Braille. </w:t>
      </w:r>
      <w:proofErr w:type="gramStart"/>
      <w:r w:rsidRPr="00AA4677">
        <w:rPr>
          <w:rFonts w:eastAsia="Times New Roman" w:cs="Times New Roman"/>
          <w:szCs w:val="24"/>
        </w:rPr>
        <w:t>In order to</w:t>
      </w:r>
      <w:proofErr w:type="gramEnd"/>
      <w:r w:rsidRPr="00AA4677">
        <w:rPr>
          <w:rFonts w:eastAsia="Times New Roman" w:cs="Times New Roman"/>
          <w:szCs w:val="24"/>
        </w:rPr>
        <w:t xml:space="preserve"> assure itself that a Braille consent document is accurate, </w:t>
      </w:r>
      <w:r w:rsidR="003810BF"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may require a transcription into print text or review of the document by a</w:t>
      </w:r>
      <w:r w:rsidR="0079573F" w:rsidRPr="00AA4677">
        <w:rPr>
          <w:rFonts w:eastAsia="Times New Roman" w:cs="Times New Roman"/>
          <w:szCs w:val="24"/>
        </w:rPr>
        <w:t>n</w:t>
      </w:r>
      <w:r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member or other person who reads Braille. If possible, the subject will sign the Braille consent; </w:t>
      </w:r>
      <w:proofErr w:type="gramStart"/>
      <w:r w:rsidRPr="00AA4677">
        <w:rPr>
          <w:rFonts w:eastAsia="Times New Roman" w:cs="Times New Roman"/>
          <w:szCs w:val="24"/>
        </w:rPr>
        <w:t>otherwise</w:t>
      </w:r>
      <w:proofErr w:type="gramEnd"/>
      <w:r w:rsidR="00D2313B" w:rsidRPr="00AA4677">
        <w:rPr>
          <w:rFonts w:eastAsia="Times New Roman" w:cs="Times New Roman"/>
          <w:szCs w:val="24"/>
        </w:rPr>
        <w:t xml:space="preserve"> </w:t>
      </w:r>
      <w:r w:rsidRPr="00AA4677">
        <w:rPr>
          <w:rFonts w:eastAsia="Times New Roman" w:cs="Times New Roman"/>
          <w:szCs w:val="24"/>
        </w:rPr>
        <w:t>consent will be obtained, witnessed and documented as described below in section 5.8.4.</w:t>
      </w:r>
    </w:p>
    <w:p w14:paraId="041702E7" w14:textId="3BB20416" w:rsidR="00FC174E" w:rsidRPr="00AA4677" w:rsidRDefault="00FC174E" w:rsidP="00C57C98">
      <w:pPr>
        <w:pStyle w:val="Heading3"/>
      </w:pPr>
      <w:r w:rsidRPr="00AA4677">
        <w:t>5.8.3  Consenting</w:t>
      </w:r>
      <w:r w:rsidR="00F43B11" w:rsidRPr="00AA4677">
        <w:t xml:space="preserve"> Subjects</w:t>
      </w:r>
      <w:r w:rsidRPr="00AA4677">
        <w:t xml:space="preserve"> in American Sign Language (ASL)</w:t>
      </w:r>
    </w:p>
    <w:p w14:paraId="01D71849" w14:textId="3400471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deaf subjects who are fluent in ASL, </w:t>
      </w:r>
      <w:r w:rsidR="003810BF" w:rsidRPr="00AA4677">
        <w:rPr>
          <w:rFonts w:eastAsia="Times New Roman" w:cs="Times New Roman"/>
          <w:szCs w:val="24"/>
        </w:rPr>
        <w:t xml:space="preserve">the </w:t>
      </w:r>
      <w:r w:rsidR="00EE7207" w:rsidRPr="00AA4677">
        <w:rPr>
          <w:rFonts w:eastAsia="Times New Roman" w:cs="Times New Roman"/>
          <w:szCs w:val="24"/>
        </w:rPr>
        <w:t>IRB</w:t>
      </w:r>
      <w:r w:rsidR="003810BF" w:rsidRPr="00AA4677">
        <w:rPr>
          <w:rFonts w:eastAsia="Times New Roman" w:cs="Times New Roman"/>
          <w:szCs w:val="24"/>
        </w:rPr>
        <w:t xml:space="preserve"> </w:t>
      </w:r>
      <w:r w:rsidRPr="00AA4677">
        <w:rPr>
          <w:rFonts w:eastAsia="Times New Roman" w:cs="Times New Roman"/>
          <w:szCs w:val="24"/>
        </w:rPr>
        <w:t xml:space="preserve">may approve a consent process using ASL and </w:t>
      </w:r>
      <w:r w:rsidR="003810BF" w:rsidRPr="00AA4677">
        <w:rPr>
          <w:rFonts w:eastAsia="Times New Roman" w:cs="Times New Roman"/>
          <w:szCs w:val="24"/>
        </w:rPr>
        <w:t xml:space="preserve">the </w:t>
      </w:r>
      <w:r w:rsidR="00EE7207" w:rsidRPr="00AA4677">
        <w:rPr>
          <w:rFonts w:eastAsia="Times New Roman" w:cs="Times New Roman"/>
          <w:szCs w:val="24"/>
        </w:rPr>
        <w:t>IRB</w:t>
      </w:r>
      <w:r w:rsidR="003810BF" w:rsidRPr="00AA4677">
        <w:rPr>
          <w:rFonts w:eastAsia="Times New Roman" w:cs="Times New Roman"/>
          <w:szCs w:val="24"/>
        </w:rPr>
        <w:t xml:space="preserve"> </w:t>
      </w:r>
      <w:r w:rsidRPr="00AA4677">
        <w:rPr>
          <w:rFonts w:eastAsia="Times New Roman" w:cs="Times New Roman"/>
          <w:szCs w:val="24"/>
        </w:rPr>
        <w:t xml:space="preserve">approved written consent form.  When this process is approved, the individual authorized to </w:t>
      </w:r>
      <w:proofErr w:type="gramStart"/>
      <w:r w:rsidRPr="00AA4677">
        <w:rPr>
          <w:rFonts w:eastAsia="Times New Roman" w:cs="Times New Roman"/>
          <w:szCs w:val="24"/>
        </w:rPr>
        <w:t>consent</w:t>
      </w:r>
      <w:proofErr w:type="gramEnd"/>
      <w:r w:rsidRPr="00AA4677">
        <w:rPr>
          <w:rFonts w:eastAsia="Times New Roman" w:cs="Times New Roman"/>
          <w:szCs w:val="24"/>
        </w:rPr>
        <w:t xml:space="preserve"> </w:t>
      </w:r>
      <w:r w:rsidR="000042C4" w:rsidRPr="00AA4677">
        <w:rPr>
          <w:rFonts w:eastAsia="Times New Roman" w:cs="Times New Roman"/>
          <w:szCs w:val="24"/>
        </w:rPr>
        <w:t>the prospective subject</w:t>
      </w:r>
      <w:r w:rsidRPr="00AA4677">
        <w:rPr>
          <w:rFonts w:eastAsia="Times New Roman" w:cs="Times New Roman"/>
          <w:szCs w:val="24"/>
        </w:rPr>
        <w:t xml:space="preserve"> must use an interpreter fluent in ASL to conduct the consent </w:t>
      </w:r>
      <w:proofErr w:type="gramStart"/>
      <w:r w:rsidRPr="00AA4677">
        <w:rPr>
          <w:rFonts w:eastAsia="Times New Roman" w:cs="Times New Roman"/>
          <w:szCs w:val="24"/>
        </w:rPr>
        <w:t>process</w:t>
      </w:r>
      <w:proofErr w:type="gramEnd"/>
      <w:r w:rsidRPr="00AA4677">
        <w:rPr>
          <w:rFonts w:eastAsia="Times New Roman" w:cs="Times New Roman"/>
          <w:szCs w:val="24"/>
        </w:rPr>
        <w:t xml:space="preserve"> and the documentation of the consent process must conform to the requirements set forth in </w:t>
      </w:r>
      <w:r w:rsidR="00185AF5" w:rsidRPr="00AA4677">
        <w:rPr>
          <w:rFonts w:eastAsia="Times New Roman" w:cs="Times New Roman"/>
          <w:szCs w:val="24"/>
        </w:rPr>
        <w:t>s</w:t>
      </w:r>
      <w:r w:rsidR="003311A4" w:rsidRPr="00AA4677">
        <w:rPr>
          <w:rFonts w:eastAsia="Times New Roman" w:cs="Times New Roman"/>
          <w:szCs w:val="24"/>
        </w:rPr>
        <w:t>ection 5.7</w:t>
      </w:r>
      <w:r w:rsidRPr="00AA4677">
        <w:rPr>
          <w:rFonts w:eastAsia="Times New Roman" w:cs="Times New Roman"/>
          <w:szCs w:val="24"/>
        </w:rPr>
        <w:t>.</w:t>
      </w:r>
    </w:p>
    <w:p w14:paraId="33CB5D1F" w14:textId="7A32E682" w:rsidR="00FC174E" w:rsidRPr="00AA4677" w:rsidRDefault="00FC174E" w:rsidP="00C57C98">
      <w:pPr>
        <w:pStyle w:val="Heading3"/>
      </w:pPr>
      <w:r w:rsidRPr="00AA4677">
        <w:t>5.8.4   Consent</w:t>
      </w:r>
      <w:r w:rsidR="00F43B11" w:rsidRPr="00AA4677">
        <w:t>ing Subjects who are Blind or Illiterate</w:t>
      </w:r>
    </w:p>
    <w:p w14:paraId="1BC03560" w14:textId="0DC1FBC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subjects are unable to read a written consent form (such as blind or illiterate subjects), the </w:t>
      </w:r>
      <w:r w:rsidR="00EE7207" w:rsidRPr="00AA4677">
        <w:rPr>
          <w:rFonts w:eastAsia="Times New Roman" w:cs="Times New Roman"/>
          <w:szCs w:val="24"/>
        </w:rPr>
        <w:t>IRB</w:t>
      </w:r>
      <w:r w:rsidRPr="00AA4677">
        <w:rPr>
          <w:rFonts w:eastAsia="Times New Roman" w:cs="Times New Roman"/>
          <w:szCs w:val="24"/>
        </w:rPr>
        <w:t xml:space="preserve"> may approve a</w:t>
      </w:r>
      <w:r w:rsidR="006C7876" w:rsidRPr="00AA4677">
        <w:rPr>
          <w:rFonts w:eastAsia="Times New Roman" w:cs="Times New Roman"/>
          <w:szCs w:val="24"/>
        </w:rPr>
        <w:t>n</w:t>
      </w:r>
      <w:r w:rsidR="00091AD8" w:rsidRPr="00AA4677">
        <w:rPr>
          <w:rFonts w:eastAsia="Times New Roman" w:cs="Times New Roman"/>
          <w:szCs w:val="24"/>
        </w:rPr>
        <w:t xml:space="preserve"> </w:t>
      </w:r>
      <w:r w:rsidR="00F43B11" w:rsidRPr="00AA4677">
        <w:rPr>
          <w:rFonts w:eastAsia="Times New Roman" w:cs="Times New Roman"/>
          <w:szCs w:val="24"/>
        </w:rPr>
        <w:t>alternate form of the</w:t>
      </w:r>
      <w:r w:rsidRPr="00AA4677">
        <w:rPr>
          <w:rFonts w:eastAsia="Times New Roman" w:cs="Times New Roman"/>
          <w:szCs w:val="24"/>
        </w:rPr>
        <w:t xml:space="preserve"> consent process, provided the subject (1) retains the </w:t>
      </w:r>
      <w:r w:rsidRPr="00AA4677">
        <w:rPr>
          <w:rFonts w:eastAsia="Times New Roman" w:cs="Times New Roman"/>
          <w:szCs w:val="24"/>
        </w:rPr>
        <w:lastRenderedPageBreak/>
        <w:t>ability to understand the concepts of the study and evaluate the risk and benefit of being in the study when it is explained verbally and (2) is able to indicate approval or disapproval to study entry.</w:t>
      </w:r>
    </w:p>
    <w:p w14:paraId="37CC5674" w14:textId="2D29C20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this process, the consent form must be read to the </w:t>
      </w:r>
      <w:proofErr w:type="gramStart"/>
      <w:r w:rsidRPr="00AA4677">
        <w:rPr>
          <w:rFonts w:eastAsia="Times New Roman" w:cs="Times New Roman"/>
          <w:szCs w:val="24"/>
        </w:rPr>
        <w:t>subjects</w:t>
      </w:r>
      <w:proofErr w:type="gramEnd"/>
      <w:r w:rsidRPr="00AA4677">
        <w:rPr>
          <w:rFonts w:eastAsia="Times New Roman" w:cs="Times New Roman"/>
          <w:szCs w:val="24"/>
        </w:rPr>
        <w:t xml:space="preserve"> and the subjects must be given an opportunity to ask questions. An audiotape approved by the IRB may be used. If capable of doing so, the subject signs, or marks an X to signify consent. If that is not possible, the subject will provide consent</w:t>
      </w:r>
      <w:r w:rsidR="00F43B11" w:rsidRPr="00AA4677">
        <w:rPr>
          <w:rFonts w:eastAsia="Times New Roman" w:cs="Times New Roman"/>
          <w:szCs w:val="24"/>
        </w:rPr>
        <w:t xml:space="preserve"> verbally</w:t>
      </w:r>
      <w:r w:rsidRPr="00AA4677">
        <w:rPr>
          <w:rFonts w:eastAsia="Times New Roman" w:cs="Times New Roman"/>
          <w:szCs w:val="24"/>
        </w:rPr>
        <w:t xml:space="preserve">. The person obtaining consent and a witness will sign the written study consent form with a statement that documents that an oral process was used and, if necessary, that the subject gave consent.  The consent process will also be documented in the medical record or in accord with the Institution’s policy. Signed copies of the consent form are given to the subject and, whenever possible, these documents </w:t>
      </w:r>
      <w:r w:rsidR="00597F5C" w:rsidRPr="00AA4677">
        <w:rPr>
          <w:rFonts w:eastAsia="Times New Roman" w:cs="Times New Roman"/>
          <w:szCs w:val="24"/>
        </w:rPr>
        <w:t>may</w:t>
      </w:r>
      <w:r w:rsidRPr="00AA4677">
        <w:rPr>
          <w:rFonts w:eastAsia="Times New Roman" w:cs="Times New Roman"/>
          <w:szCs w:val="24"/>
        </w:rPr>
        <w:t xml:space="preserve"> be provided to the subject on audio or video tape.</w:t>
      </w:r>
    </w:p>
    <w:p w14:paraId="351D6AEC"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For research that is no more than minimal risk, documentation of consent may be waived if the criteria at Section 5.12 are met.</w:t>
      </w:r>
    </w:p>
    <w:p w14:paraId="449B9DDA" w14:textId="77777777" w:rsidR="00FC174E" w:rsidRPr="00AA4677" w:rsidRDefault="00FC174E" w:rsidP="00696B35">
      <w:pPr>
        <w:pStyle w:val="Heading2"/>
      </w:pPr>
      <w:bookmarkStart w:id="100" w:name="_Toc192678204"/>
      <w:r w:rsidRPr="00AA4677">
        <w:t>5.9 Consent Monitoring</w:t>
      </w:r>
      <w:bookmarkEnd w:id="100"/>
    </w:p>
    <w:p w14:paraId="0897609C" w14:textId="160A109C" w:rsidR="004F047C" w:rsidRPr="00AA4677" w:rsidRDefault="006D00F9" w:rsidP="006D00F9">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IRB has the authority under 45 CFR 46.109(e) and 21 CFR 56.109(f) to </w:t>
      </w:r>
      <w:r w:rsidR="00AC2EDD">
        <w:rPr>
          <w:rFonts w:eastAsia="Times New Roman" w:cs="Times New Roman"/>
          <w:szCs w:val="24"/>
        </w:rPr>
        <w:t xml:space="preserve">request </w:t>
      </w:r>
      <w:r w:rsidRPr="00AA4677">
        <w:rPr>
          <w:rFonts w:eastAsia="Times New Roman" w:cs="Times New Roman"/>
          <w:szCs w:val="24"/>
        </w:rPr>
        <w:t xml:space="preserve">monitoring/observation </w:t>
      </w:r>
      <w:r w:rsidR="00AC2EDD">
        <w:rPr>
          <w:rFonts w:eastAsia="Times New Roman" w:cs="Times New Roman"/>
          <w:szCs w:val="24"/>
        </w:rPr>
        <w:t xml:space="preserve">of </w:t>
      </w:r>
      <w:r w:rsidRPr="00AA4677">
        <w:rPr>
          <w:rFonts w:eastAsia="Times New Roman" w:cs="Times New Roman"/>
          <w:szCs w:val="24"/>
        </w:rPr>
        <w:t>the informed consent process for human research studies</w:t>
      </w:r>
      <w:r w:rsidR="004F047C" w:rsidRPr="00AA4677">
        <w:rPr>
          <w:rFonts w:eastAsia="Times New Roman" w:cs="Times New Roman"/>
          <w:szCs w:val="24"/>
        </w:rPr>
        <w:t xml:space="preserve"> </w:t>
      </w:r>
      <w:proofErr w:type="gramStart"/>
      <w:r w:rsidR="004F047C" w:rsidRPr="00AA4677">
        <w:rPr>
          <w:rFonts w:eastAsia="Times New Roman" w:cs="Times New Roman"/>
          <w:szCs w:val="24"/>
        </w:rPr>
        <w:t>i</w:t>
      </w:r>
      <w:r w:rsidRPr="00AA4677">
        <w:rPr>
          <w:rFonts w:eastAsia="Times New Roman" w:cs="Times New Roman"/>
          <w:szCs w:val="24"/>
        </w:rPr>
        <w:t>n order to</w:t>
      </w:r>
      <w:proofErr w:type="gramEnd"/>
      <w:r w:rsidRPr="00AA4677">
        <w:rPr>
          <w:rFonts w:eastAsia="Times New Roman" w:cs="Times New Roman"/>
          <w:szCs w:val="24"/>
        </w:rPr>
        <w:t xml:space="preserve"> protect the rights and welfare of research participants</w:t>
      </w:r>
      <w:r w:rsidR="004F047C" w:rsidRPr="00AA4677">
        <w:rPr>
          <w:rFonts w:eastAsia="Times New Roman" w:cs="Times New Roman"/>
          <w:szCs w:val="24"/>
        </w:rPr>
        <w:t>.</w:t>
      </w:r>
    </w:p>
    <w:p w14:paraId="7AC0E821" w14:textId="5C171D2E" w:rsidR="006D00F9" w:rsidRPr="00AA4677" w:rsidRDefault="00126BFF" w:rsidP="006D00F9">
      <w:pPr>
        <w:shd w:val="clear" w:color="auto" w:fill="FFFFFF"/>
        <w:spacing w:before="100" w:beforeAutospacing="1" w:after="100" w:afterAutospacing="1" w:line="240" w:lineRule="auto"/>
        <w:rPr>
          <w:rFonts w:eastAsia="Times New Roman" w:cs="Times New Roman"/>
          <w:szCs w:val="24"/>
        </w:rPr>
      </w:pPr>
      <w:r>
        <w:rPr>
          <w:rFonts w:eastAsia="Times New Roman" w:cs="Times New Roman"/>
          <w:szCs w:val="24"/>
        </w:rPr>
        <w:t>T</w:t>
      </w:r>
      <w:r w:rsidR="006D00F9" w:rsidRPr="00AA4677">
        <w:rPr>
          <w:rFonts w:eastAsia="Times New Roman" w:cs="Times New Roman"/>
          <w:szCs w:val="24"/>
        </w:rPr>
        <w:t>he consent process</w:t>
      </w:r>
      <w:r>
        <w:rPr>
          <w:rFonts w:eastAsia="Times New Roman" w:cs="Times New Roman"/>
          <w:szCs w:val="24"/>
        </w:rPr>
        <w:t xml:space="preserve"> will be observed</w:t>
      </w:r>
      <w:r w:rsidR="000042C4" w:rsidRPr="00AA4677">
        <w:rPr>
          <w:rFonts w:eastAsia="Times New Roman" w:cs="Times New Roman"/>
          <w:szCs w:val="24"/>
        </w:rPr>
        <w:t xml:space="preserve"> </w:t>
      </w:r>
      <w:proofErr w:type="gramStart"/>
      <w:r w:rsidR="000042C4" w:rsidRPr="00AA4677">
        <w:rPr>
          <w:rFonts w:eastAsia="Times New Roman" w:cs="Times New Roman"/>
          <w:szCs w:val="24"/>
        </w:rPr>
        <w:t>in order</w:t>
      </w:r>
      <w:r w:rsidR="006D00F9" w:rsidRPr="00AA4677">
        <w:rPr>
          <w:rFonts w:eastAsia="Times New Roman" w:cs="Times New Roman"/>
          <w:szCs w:val="24"/>
        </w:rPr>
        <w:t xml:space="preserve"> to</w:t>
      </w:r>
      <w:proofErr w:type="gramEnd"/>
      <w:r w:rsidR="006D00F9" w:rsidRPr="00AA4677">
        <w:rPr>
          <w:rFonts w:eastAsia="Times New Roman" w:cs="Times New Roman"/>
          <w:szCs w:val="24"/>
        </w:rPr>
        <w:t xml:space="preserve">:    </w:t>
      </w:r>
    </w:p>
    <w:p w14:paraId="5596292E" w14:textId="58D430D1"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Assure that the research teams satisfy all federal, state and institutional requirements for obtaining consent from research </w:t>
      </w:r>
      <w:proofErr w:type="gramStart"/>
      <w:r w:rsidRPr="00AA4677">
        <w:rPr>
          <w:rFonts w:eastAsia="Times New Roman" w:cs="Times New Roman"/>
          <w:szCs w:val="24"/>
        </w:rPr>
        <w:t>participants;</w:t>
      </w:r>
      <w:proofErr w:type="gramEnd"/>
    </w:p>
    <w:p w14:paraId="7CB6B8D4" w14:textId="40E06603"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Assure that an appropriate consent process is followed, appropriately completed and </w:t>
      </w:r>
      <w:proofErr w:type="gramStart"/>
      <w:r w:rsidRPr="00AA4677">
        <w:rPr>
          <w:rFonts w:eastAsia="Times New Roman" w:cs="Times New Roman"/>
          <w:szCs w:val="24"/>
        </w:rPr>
        <w:t>documented;</w:t>
      </w:r>
      <w:proofErr w:type="gramEnd"/>
    </w:p>
    <w:p w14:paraId="08DD852B" w14:textId="1AF10EFC"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Assure the approved consent process is being </w:t>
      </w:r>
      <w:proofErr w:type="gramStart"/>
      <w:r w:rsidRPr="00AA4677">
        <w:rPr>
          <w:rFonts w:eastAsia="Times New Roman" w:cs="Times New Roman"/>
          <w:szCs w:val="24"/>
        </w:rPr>
        <w:t>followed;</w:t>
      </w:r>
      <w:proofErr w:type="gramEnd"/>
    </w:p>
    <w:p w14:paraId="354A88AE" w14:textId="2CD89784"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Assure the information provided to the participant was accurate and conveyed in understandable </w:t>
      </w:r>
      <w:proofErr w:type="gramStart"/>
      <w:r w:rsidRPr="00AA4677">
        <w:rPr>
          <w:rFonts w:eastAsia="Times New Roman" w:cs="Times New Roman"/>
          <w:szCs w:val="24"/>
        </w:rPr>
        <w:t>language;</w:t>
      </w:r>
      <w:proofErr w:type="gramEnd"/>
    </w:p>
    <w:p w14:paraId="076A4EAF" w14:textId="0C395EC0"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Assure the participant had sufficient time to consider study </w:t>
      </w:r>
      <w:proofErr w:type="gramStart"/>
      <w:r w:rsidRPr="00AA4677">
        <w:rPr>
          <w:rFonts w:eastAsia="Times New Roman" w:cs="Times New Roman"/>
          <w:szCs w:val="24"/>
        </w:rPr>
        <w:t>participation;</w:t>
      </w:r>
      <w:proofErr w:type="gramEnd"/>
    </w:p>
    <w:p w14:paraId="14595064" w14:textId="0FF49D48"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Assure the possibility of coercion and undue influence are not </w:t>
      </w:r>
      <w:proofErr w:type="gramStart"/>
      <w:r w:rsidRPr="00AA4677">
        <w:rPr>
          <w:rFonts w:eastAsia="Times New Roman" w:cs="Times New Roman"/>
          <w:szCs w:val="24"/>
        </w:rPr>
        <w:t>evident;</w:t>
      </w:r>
      <w:proofErr w:type="gramEnd"/>
    </w:p>
    <w:p w14:paraId="416DC460" w14:textId="613BDBF4"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Ensure that subjects are truly giving </w:t>
      </w:r>
      <w:r w:rsidR="00126BFF">
        <w:rPr>
          <w:rFonts w:eastAsia="Times New Roman" w:cs="Times New Roman"/>
          <w:szCs w:val="24"/>
        </w:rPr>
        <w:t>i</w:t>
      </w:r>
      <w:r w:rsidRPr="00AA4677">
        <w:rPr>
          <w:rFonts w:eastAsia="Times New Roman" w:cs="Times New Roman"/>
          <w:szCs w:val="24"/>
        </w:rPr>
        <w:t xml:space="preserve">nformed </w:t>
      </w:r>
      <w:r w:rsidR="00126BFF">
        <w:rPr>
          <w:rFonts w:eastAsia="Times New Roman" w:cs="Times New Roman"/>
          <w:szCs w:val="24"/>
        </w:rPr>
        <w:t>c</w:t>
      </w:r>
      <w:r w:rsidRPr="00AA4677">
        <w:rPr>
          <w:rFonts w:eastAsia="Times New Roman" w:cs="Times New Roman"/>
          <w:szCs w:val="24"/>
        </w:rPr>
        <w:t>onsent; and</w:t>
      </w:r>
    </w:p>
    <w:p w14:paraId="2B136B9F" w14:textId="41AA5C44"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Assure the subject appear</w:t>
      </w:r>
      <w:r w:rsidR="00126BFF">
        <w:rPr>
          <w:rFonts w:eastAsia="Times New Roman" w:cs="Times New Roman"/>
          <w:szCs w:val="24"/>
        </w:rPr>
        <w:t>s</w:t>
      </w:r>
      <w:r w:rsidRPr="00AA4677">
        <w:rPr>
          <w:rFonts w:eastAsia="Times New Roman" w:cs="Times New Roman"/>
          <w:szCs w:val="24"/>
        </w:rPr>
        <w:t xml:space="preserve"> to understand the information and g</w:t>
      </w:r>
      <w:r w:rsidR="00126BFF">
        <w:rPr>
          <w:rFonts w:eastAsia="Times New Roman" w:cs="Times New Roman"/>
          <w:szCs w:val="24"/>
        </w:rPr>
        <w:t>i</w:t>
      </w:r>
      <w:r w:rsidRPr="00AA4677">
        <w:rPr>
          <w:rFonts w:eastAsia="Times New Roman" w:cs="Times New Roman"/>
          <w:szCs w:val="24"/>
        </w:rPr>
        <w:t>ve</w:t>
      </w:r>
      <w:r w:rsidR="00126BFF">
        <w:rPr>
          <w:rFonts w:eastAsia="Times New Roman" w:cs="Times New Roman"/>
          <w:szCs w:val="24"/>
        </w:rPr>
        <w:t>s</w:t>
      </w:r>
      <w:r w:rsidRPr="00AA4677">
        <w:rPr>
          <w:rFonts w:eastAsia="Times New Roman" w:cs="Times New Roman"/>
          <w:szCs w:val="24"/>
        </w:rPr>
        <w:t xml:space="preserve"> their voluntary </w:t>
      </w:r>
    </w:p>
    <w:p w14:paraId="231476F3" w14:textId="77777777" w:rsidR="006D00F9" w:rsidRPr="00AA4677" w:rsidRDefault="006D00F9" w:rsidP="006D00F9">
      <w:pPr>
        <w:pStyle w:val="ListParagraph"/>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consent.</w:t>
      </w:r>
    </w:p>
    <w:p w14:paraId="782D1962" w14:textId="21D88DA9" w:rsidR="006D00F9" w:rsidRPr="00AA4677" w:rsidRDefault="006D00F9" w:rsidP="006D00F9">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The consent monitoring process can </w:t>
      </w:r>
      <w:r w:rsidR="004F047C" w:rsidRPr="00AA4677">
        <w:rPr>
          <w:rFonts w:eastAsia="Times New Roman" w:cs="Times New Roman"/>
          <w:szCs w:val="24"/>
        </w:rPr>
        <w:t>also be done via</w:t>
      </w:r>
      <w:r w:rsidRPr="00AA4677">
        <w:rPr>
          <w:rFonts w:eastAsia="Times New Roman" w:cs="Times New Roman"/>
          <w:szCs w:val="24"/>
        </w:rPr>
        <w:t xml:space="preserve"> </w:t>
      </w:r>
      <w:r w:rsidR="000F1BA9" w:rsidRPr="00AA4677">
        <w:rPr>
          <w:rFonts w:eastAsia="Times New Roman" w:cs="Times New Roman"/>
          <w:szCs w:val="24"/>
        </w:rPr>
        <w:t xml:space="preserve">general, </w:t>
      </w:r>
      <w:r w:rsidRPr="00AA4677">
        <w:rPr>
          <w:rFonts w:eastAsia="Times New Roman" w:cs="Times New Roman"/>
          <w:szCs w:val="24"/>
        </w:rPr>
        <w:t xml:space="preserve">random not-for-cause </w:t>
      </w:r>
      <w:r w:rsidR="000F1BA9" w:rsidRPr="00AA4677">
        <w:rPr>
          <w:rFonts w:eastAsia="Times New Roman" w:cs="Times New Roman"/>
          <w:szCs w:val="24"/>
        </w:rPr>
        <w:t xml:space="preserve">reasons, </w:t>
      </w:r>
      <w:r w:rsidRPr="00AA4677">
        <w:rPr>
          <w:rFonts w:eastAsia="Times New Roman" w:cs="Times New Roman"/>
          <w:szCs w:val="24"/>
        </w:rPr>
        <w:t xml:space="preserve">or it may be determined by the </w:t>
      </w:r>
      <w:r w:rsidR="00EE7207" w:rsidRPr="00AA4677">
        <w:rPr>
          <w:rFonts w:eastAsia="Times New Roman" w:cs="Times New Roman"/>
          <w:szCs w:val="24"/>
        </w:rPr>
        <w:t>IRB</w:t>
      </w:r>
      <w:r w:rsidRPr="00AA4677">
        <w:rPr>
          <w:rFonts w:eastAsia="Times New Roman" w:cs="Times New Roman"/>
          <w:szCs w:val="24"/>
        </w:rPr>
        <w:t xml:space="preserve"> that such consent monitoring is warranted.  </w:t>
      </w:r>
    </w:p>
    <w:p w14:paraId="7533C001" w14:textId="3FA27C3D" w:rsidR="006D00F9" w:rsidRPr="00AA4677" w:rsidRDefault="006D00F9" w:rsidP="006D00F9">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factors that the </w:t>
      </w:r>
      <w:r w:rsidR="00EE7207" w:rsidRPr="00AA4677">
        <w:rPr>
          <w:rFonts w:eastAsia="Times New Roman" w:cs="Times New Roman"/>
          <w:szCs w:val="24"/>
        </w:rPr>
        <w:t>IRB</w:t>
      </w:r>
      <w:r w:rsidRPr="00AA4677">
        <w:rPr>
          <w:rFonts w:eastAsia="Times New Roman" w:cs="Times New Roman"/>
          <w:szCs w:val="24"/>
        </w:rPr>
        <w:t xml:space="preserve"> may consider in making the determination that special monitoring of the consent process </w:t>
      </w:r>
      <w:r w:rsidR="000F1BA9" w:rsidRPr="00AA4677">
        <w:rPr>
          <w:rFonts w:eastAsia="Times New Roman" w:cs="Times New Roman"/>
          <w:szCs w:val="24"/>
        </w:rPr>
        <w:t xml:space="preserve">may include: </w:t>
      </w:r>
      <w:r w:rsidRPr="00AA4677">
        <w:rPr>
          <w:rFonts w:eastAsia="Times New Roman" w:cs="Times New Roman"/>
          <w:szCs w:val="24"/>
        </w:rPr>
        <w:t xml:space="preserve"> </w:t>
      </w:r>
    </w:p>
    <w:p w14:paraId="5D59ECDC" w14:textId="6D1C30E4"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High risk </w:t>
      </w:r>
      <w:proofErr w:type="gramStart"/>
      <w:r w:rsidRPr="00AA4677">
        <w:rPr>
          <w:rFonts w:eastAsia="Times New Roman" w:cs="Times New Roman"/>
          <w:szCs w:val="24"/>
        </w:rPr>
        <w:t>studies;</w:t>
      </w:r>
      <w:proofErr w:type="gramEnd"/>
    </w:p>
    <w:p w14:paraId="5DE08F8F" w14:textId="6D8C9329"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Studies that involve complex and complicated procedures or </w:t>
      </w:r>
      <w:proofErr w:type="gramStart"/>
      <w:r w:rsidRPr="00AA4677">
        <w:rPr>
          <w:rFonts w:eastAsia="Times New Roman" w:cs="Times New Roman"/>
          <w:szCs w:val="24"/>
        </w:rPr>
        <w:t>interventions;</w:t>
      </w:r>
      <w:proofErr w:type="gramEnd"/>
    </w:p>
    <w:p w14:paraId="0AF04069" w14:textId="2384AEB4"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Studies involving </w:t>
      </w:r>
      <w:r w:rsidR="00126BFF">
        <w:rPr>
          <w:rFonts w:eastAsia="Times New Roman" w:cs="Times New Roman"/>
          <w:szCs w:val="24"/>
        </w:rPr>
        <w:t>v</w:t>
      </w:r>
      <w:r w:rsidRPr="00AA4677">
        <w:rPr>
          <w:rFonts w:eastAsia="Times New Roman" w:cs="Times New Roman"/>
          <w:szCs w:val="24"/>
        </w:rPr>
        <w:t xml:space="preserve">ulnerable </w:t>
      </w:r>
      <w:r w:rsidR="00126BFF">
        <w:rPr>
          <w:rFonts w:eastAsia="Times New Roman" w:cs="Times New Roman"/>
          <w:szCs w:val="24"/>
        </w:rPr>
        <w:t>p</w:t>
      </w:r>
      <w:r w:rsidRPr="00AA4677">
        <w:rPr>
          <w:rFonts w:eastAsia="Times New Roman" w:cs="Times New Roman"/>
          <w:szCs w:val="24"/>
        </w:rPr>
        <w:t>opulations (e.g., children</w:t>
      </w:r>
      <w:r w:rsidR="000F1BA9" w:rsidRPr="00AA4677">
        <w:rPr>
          <w:rFonts w:eastAsia="Times New Roman" w:cs="Times New Roman"/>
          <w:szCs w:val="24"/>
        </w:rPr>
        <w:t>, adults unable to consent for themselves</w:t>
      </w:r>
      <w:proofErr w:type="gramStart"/>
      <w:r w:rsidRPr="00AA4677">
        <w:rPr>
          <w:rFonts w:eastAsia="Times New Roman" w:cs="Times New Roman"/>
          <w:szCs w:val="24"/>
        </w:rPr>
        <w:t>);</w:t>
      </w:r>
      <w:proofErr w:type="gramEnd"/>
    </w:p>
    <w:p w14:paraId="6530DD46" w14:textId="68529A9D"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Studies involving study staff with minimal experience in administering consent to study </w:t>
      </w:r>
      <w:proofErr w:type="gramStart"/>
      <w:r w:rsidRPr="00AA4677">
        <w:rPr>
          <w:rFonts w:eastAsia="Times New Roman" w:cs="Times New Roman"/>
          <w:szCs w:val="24"/>
        </w:rPr>
        <w:t>participants;</w:t>
      </w:r>
      <w:proofErr w:type="gramEnd"/>
    </w:p>
    <w:p w14:paraId="1EA5B0C1" w14:textId="2D11B4EC"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Concerns raised about study team performance, such as prior findings of noncompliance related to the consent </w:t>
      </w:r>
      <w:proofErr w:type="gramStart"/>
      <w:r w:rsidRPr="00AA4677">
        <w:rPr>
          <w:rFonts w:eastAsia="Times New Roman" w:cs="Times New Roman"/>
          <w:szCs w:val="24"/>
        </w:rPr>
        <w:t>process;</w:t>
      </w:r>
      <w:proofErr w:type="gramEnd"/>
    </w:p>
    <w:p w14:paraId="557AAC49" w14:textId="1B56834D"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Presence of study team conflicts of </w:t>
      </w:r>
      <w:proofErr w:type="gramStart"/>
      <w:r w:rsidRPr="00AA4677">
        <w:rPr>
          <w:rFonts w:eastAsia="Times New Roman" w:cs="Times New Roman"/>
          <w:szCs w:val="24"/>
        </w:rPr>
        <w:t>interest;</w:t>
      </w:r>
      <w:proofErr w:type="gramEnd"/>
    </w:p>
    <w:p w14:paraId="5E3053FE" w14:textId="1E3F35B8" w:rsidR="006D00F9" w:rsidRPr="00AA4677" w:rsidRDefault="006D00F9">
      <w:pPr>
        <w:pStyle w:val="ListParagraph"/>
        <w:numPr>
          <w:ilvl w:val="3"/>
          <w:numId w:val="90"/>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Prior complaints about the consent process. </w:t>
      </w:r>
    </w:p>
    <w:p w14:paraId="1E60FF36" w14:textId="015B9F26" w:rsidR="006D00F9" w:rsidRPr="00AA4677" w:rsidRDefault="006D00F9" w:rsidP="006D00F9">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consent monitoring may be conducted by IRB staff, </w:t>
      </w:r>
      <w:r w:rsidR="00EE7207" w:rsidRPr="00AA4677">
        <w:rPr>
          <w:rFonts w:eastAsia="Times New Roman" w:cs="Times New Roman"/>
          <w:szCs w:val="24"/>
        </w:rPr>
        <w:t>IRB</w:t>
      </w:r>
      <w:r w:rsidRPr="00AA4677">
        <w:rPr>
          <w:rFonts w:eastAsia="Times New Roman" w:cs="Times New Roman"/>
          <w:szCs w:val="24"/>
        </w:rPr>
        <w:t xml:space="preserve"> members or another party appointed by the </w:t>
      </w:r>
      <w:r w:rsidR="00EE7207" w:rsidRPr="00AA4677">
        <w:rPr>
          <w:rFonts w:eastAsia="Times New Roman" w:cs="Times New Roman"/>
          <w:szCs w:val="24"/>
        </w:rPr>
        <w:t>IRB</w:t>
      </w:r>
      <w:r w:rsidRPr="00AA4677">
        <w:rPr>
          <w:rFonts w:eastAsia="Times New Roman" w:cs="Times New Roman"/>
          <w:szCs w:val="24"/>
        </w:rPr>
        <w:t xml:space="preserve"> Chair.  The PI will be notified of the pending consent monitoring process </w:t>
      </w:r>
      <w:r w:rsidR="00126BFF">
        <w:rPr>
          <w:rFonts w:eastAsia="Times New Roman" w:cs="Times New Roman"/>
          <w:szCs w:val="24"/>
        </w:rPr>
        <w:t xml:space="preserve">and </w:t>
      </w:r>
      <w:r w:rsidRPr="00AA4677">
        <w:rPr>
          <w:rFonts w:eastAsia="Times New Roman" w:cs="Times New Roman"/>
          <w:szCs w:val="24"/>
        </w:rPr>
        <w:t xml:space="preserve">arrangements will be made with the PI for the monitoring of the consent process. </w:t>
      </w:r>
    </w:p>
    <w:p w14:paraId="193AA30B" w14:textId="4165D8D8" w:rsidR="006D00F9" w:rsidRPr="00AA4677" w:rsidRDefault="006D00F9" w:rsidP="006D00F9">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Following the monitoring, a report of the findings will be submitted to the </w:t>
      </w:r>
      <w:r w:rsidR="00EE7207" w:rsidRPr="00AA4677">
        <w:rPr>
          <w:rFonts w:eastAsia="Times New Roman" w:cs="Times New Roman"/>
          <w:szCs w:val="24"/>
        </w:rPr>
        <w:t>IRB</w:t>
      </w:r>
      <w:r w:rsidRPr="00AA4677">
        <w:rPr>
          <w:rFonts w:eastAsia="Times New Roman" w:cs="Times New Roman"/>
          <w:szCs w:val="24"/>
        </w:rPr>
        <w:t xml:space="preserve"> and reflected in the minutes.  The Board can then take actions appropriate to the report</w:t>
      </w:r>
      <w:r w:rsidR="0079573F" w:rsidRPr="00AA4677">
        <w:rPr>
          <w:rFonts w:eastAsia="Times New Roman" w:cs="Times New Roman"/>
          <w:szCs w:val="24"/>
        </w:rPr>
        <w:t xml:space="preserve"> (e.g., follow non-compliance procedure etc.)</w:t>
      </w:r>
      <w:r w:rsidRPr="00AA4677">
        <w:rPr>
          <w:rFonts w:eastAsia="Times New Roman" w:cs="Times New Roman"/>
          <w:szCs w:val="24"/>
        </w:rPr>
        <w:t>.</w:t>
      </w:r>
      <w:r w:rsidR="00485810" w:rsidRPr="00AA4677">
        <w:rPr>
          <w:rFonts w:eastAsia="Times New Roman" w:cs="Times New Roman"/>
          <w:szCs w:val="24"/>
        </w:rPr>
        <w:t xml:space="preserve"> </w:t>
      </w:r>
      <w:r w:rsidRPr="00AA4677">
        <w:rPr>
          <w:rFonts w:eastAsia="Times New Roman" w:cs="Times New Roman"/>
          <w:szCs w:val="24"/>
        </w:rPr>
        <w:t xml:space="preserve">The </w:t>
      </w:r>
      <w:r w:rsidR="000F1BA9" w:rsidRPr="00AA4677">
        <w:rPr>
          <w:rFonts w:eastAsia="Times New Roman" w:cs="Times New Roman"/>
          <w:szCs w:val="24"/>
        </w:rPr>
        <w:t xml:space="preserve">PI will be notified by email regarding the outcome of the </w:t>
      </w:r>
      <w:r w:rsidRPr="00AA4677">
        <w:rPr>
          <w:rFonts w:eastAsia="Times New Roman" w:cs="Times New Roman"/>
          <w:szCs w:val="24"/>
        </w:rPr>
        <w:t xml:space="preserve">monitoring </w:t>
      </w:r>
      <w:r w:rsidR="000F1BA9" w:rsidRPr="00AA4677">
        <w:rPr>
          <w:rFonts w:eastAsia="Times New Roman" w:cs="Times New Roman"/>
          <w:szCs w:val="24"/>
        </w:rPr>
        <w:t>and any resulting IRB determinations (if any)</w:t>
      </w:r>
      <w:r w:rsidRPr="00AA4677">
        <w:rPr>
          <w:rFonts w:eastAsia="Times New Roman" w:cs="Times New Roman"/>
          <w:szCs w:val="24"/>
        </w:rPr>
        <w:t xml:space="preserve">. </w:t>
      </w:r>
    </w:p>
    <w:p w14:paraId="20B37100" w14:textId="1F02D037" w:rsidR="007D2E3C" w:rsidRPr="00AA4677" w:rsidRDefault="00FC174E" w:rsidP="00696B35">
      <w:pPr>
        <w:pStyle w:val="Heading2"/>
      </w:pPr>
      <w:bookmarkStart w:id="101" w:name="_Toc192678205"/>
      <w:r w:rsidRPr="00AA4677">
        <w:t>5.10 Subject Withdrawal or Termination</w:t>
      </w:r>
      <w:bookmarkEnd w:id="101"/>
    </w:p>
    <w:p w14:paraId="29E09BB4" w14:textId="77777777" w:rsidR="007D2E3C" w:rsidRPr="00AA4677" w:rsidRDefault="007D2E3C" w:rsidP="00696B35">
      <w:pPr>
        <w:pStyle w:val="Heading2"/>
      </w:pPr>
    </w:p>
    <w:p w14:paraId="25405422" w14:textId="5C576B12" w:rsidR="00FC174E" w:rsidRPr="00AA4677" w:rsidRDefault="00FC174E" w:rsidP="00032951">
      <w:pPr>
        <w:rPr>
          <w:szCs w:val="24"/>
        </w:rPr>
      </w:pPr>
      <w:r w:rsidRPr="00AA4677">
        <w:rPr>
          <w:szCs w:val="24"/>
        </w:rPr>
        <w:t>For a variety of reasons, a subject enrolled in a research study may decide to withdraw from the research, or an investigator may decide to terminate a subject’s participation in research regardless of whether the subject wishes to continue participating.  In these circumstances, questions sometimes arise about: </w:t>
      </w:r>
    </w:p>
    <w:p w14:paraId="2FE8584C" w14:textId="3606B911" w:rsidR="00FC174E" w:rsidRPr="00AA4677" w:rsidRDefault="003810BF">
      <w:pPr>
        <w:pStyle w:val="ListParagraph"/>
        <w:numPr>
          <w:ilvl w:val="0"/>
          <w:numId w:val="9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w:t>
      </w:r>
      <w:r w:rsidR="00FC174E" w:rsidRPr="00AA4677">
        <w:rPr>
          <w:rFonts w:eastAsia="Times New Roman" w:cs="Times New Roman"/>
          <w:szCs w:val="24"/>
        </w:rPr>
        <w:t xml:space="preserve">hether the investigator may use, study, or analyze already collected data about the subject who withdraws from the research or whose participation is terminated by the investigator; </w:t>
      </w:r>
      <w:r w:rsidR="00F32ADD" w:rsidRPr="00AA4677">
        <w:rPr>
          <w:rFonts w:eastAsia="Times New Roman" w:cs="Times New Roman"/>
          <w:szCs w:val="24"/>
        </w:rPr>
        <w:t>A</w:t>
      </w:r>
      <w:r w:rsidR="00FC174E" w:rsidRPr="00AA4677">
        <w:rPr>
          <w:rFonts w:eastAsia="Times New Roman" w:cs="Times New Roman"/>
          <w:szCs w:val="24"/>
        </w:rPr>
        <w:t>nd</w:t>
      </w:r>
    </w:p>
    <w:p w14:paraId="7F901B12" w14:textId="745CA922" w:rsidR="00FC174E" w:rsidRPr="00AA4677" w:rsidRDefault="003810BF">
      <w:pPr>
        <w:pStyle w:val="ListParagraph"/>
        <w:numPr>
          <w:ilvl w:val="0"/>
          <w:numId w:val="9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w:t>
      </w:r>
      <w:r w:rsidR="00FC174E" w:rsidRPr="00AA4677">
        <w:rPr>
          <w:rFonts w:eastAsia="Times New Roman" w:cs="Times New Roman"/>
          <w:szCs w:val="24"/>
        </w:rPr>
        <w:t xml:space="preserve">hether the investigator can continue to obtain data about the subject and if so, under what circumstances.  The following addresses these and related questions.  Investigators must plan for the possibility that subjects will withdraw from research and include a discussion of what </w:t>
      </w:r>
      <w:r w:rsidR="00FC174E" w:rsidRPr="00AA4677">
        <w:rPr>
          <w:rFonts w:eastAsia="Times New Roman" w:cs="Times New Roman"/>
          <w:szCs w:val="24"/>
        </w:rPr>
        <w:lastRenderedPageBreak/>
        <w:t>withdrawal will mean and how it will be handled in their research protocols and informed consent documents.</w:t>
      </w:r>
    </w:p>
    <w:p w14:paraId="566B7BF9" w14:textId="081C342B"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Regulatory requirements regarding the retention and use of data after subject withdrawal or termination differ depending on </w:t>
      </w:r>
      <w:proofErr w:type="gramStart"/>
      <w:r w:rsidRPr="00AA4677">
        <w:rPr>
          <w:rFonts w:eastAsia="Times New Roman" w:cs="Times New Roman"/>
          <w:szCs w:val="24"/>
        </w:rPr>
        <w:t>whether or not</w:t>
      </w:r>
      <w:proofErr w:type="gramEnd"/>
      <w:r w:rsidRPr="00AA4677">
        <w:rPr>
          <w:rFonts w:eastAsia="Times New Roman" w:cs="Times New Roman"/>
          <w:szCs w:val="24"/>
        </w:rPr>
        <w:t xml:space="preserve"> the research is subject to FDA regulations.</w:t>
      </w:r>
    </w:p>
    <w:p w14:paraId="747FD1CD"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When seeking informed consent from subjects, the following information regarding data retention and use must be included:</w:t>
      </w:r>
    </w:p>
    <w:p w14:paraId="66A09736" w14:textId="77777777" w:rsidR="00FC174E" w:rsidRPr="00AA4677" w:rsidRDefault="00FC174E">
      <w:pPr>
        <w:numPr>
          <w:ilvl w:val="0"/>
          <w:numId w:val="20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FDA-regulated clinical trials, when a subject withdraws from a study, the data collected on the subject to the point of withdrawal </w:t>
      </w:r>
      <w:proofErr w:type="gramStart"/>
      <w:r w:rsidRPr="00AA4677">
        <w:rPr>
          <w:rFonts w:eastAsia="Times New Roman" w:cs="Times New Roman"/>
          <w:szCs w:val="24"/>
        </w:rPr>
        <w:t>remain</w:t>
      </w:r>
      <w:proofErr w:type="gramEnd"/>
      <w:r w:rsidRPr="00AA4677">
        <w:rPr>
          <w:rFonts w:eastAsia="Times New Roman" w:cs="Times New Roman"/>
          <w:szCs w:val="24"/>
        </w:rPr>
        <w:t xml:space="preserve"> part of the study database and may not be removed. The consent document cannot give the subject the option of having data removed.</w:t>
      </w:r>
    </w:p>
    <w:p w14:paraId="39D5E8A1" w14:textId="77777777" w:rsidR="00FC174E" w:rsidRPr="00AA4677" w:rsidRDefault="00FC174E">
      <w:pPr>
        <w:numPr>
          <w:ilvl w:val="0"/>
          <w:numId w:val="20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For research not subject to FDA regulations, the investigator should inform subjects whether the investigator intends to either: (1) retain and analyze already collected data relating to the subject up to the time of subject withdrawal; or (2) honor a research subject’s request that the investigator destroy the subject’s data or that the investigator exclude the subject’s data from any analysis.</w:t>
      </w:r>
    </w:p>
    <w:p w14:paraId="5E4A458C"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Sometimes, a subject wants to withdraw from the primary interventional component of a study, but is willing to allow the investigator to continue other research activities described in the IRB-approved protocol and informed consent document that involve participation of the subject, such as:</w:t>
      </w:r>
    </w:p>
    <w:p w14:paraId="625AFCA0" w14:textId="6570625D" w:rsidR="00FC174E" w:rsidRPr="00AA4677" w:rsidRDefault="003810BF">
      <w:pPr>
        <w:pStyle w:val="ListParagraph"/>
        <w:numPr>
          <w:ilvl w:val="0"/>
          <w:numId w:val="9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O</w:t>
      </w:r>
      <w:r w:rsidR="00FC174E" w:rsidRPr="00AA4677">
        <w:rPr>
          <w:rFonts w:eastAsia="Times New Roman" w:cs="Times New Roman"/>
          <w:szCs w:val="24"/>
        </w:rPr>
        <w:t>btaining data about the subject through interaction with the subject (e.g., through follow-up interviews, physical exams, blood tests, or radiographic imaging); or</w:t>
      </w:r>
    </w:p>
    <w:p w14:paraId="579A6E20" w14:textId="4B896430" w:rsidR="00FC174E" w:rsidRPr="00AA4677" w:rsidRDefault="003810BF">
      <w:pPr>
        <w:pStyle w:val="ListParagraph"/>
        <w:numPr>
          <w:ilvl w:val="0"/>
          <w:numId w:val="9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O</w:t>
      </w:r>
      <w:r w:rsidR="00FC174E" w:rsidRPr="00AA4677">
        <w:rPr>
          <w:rFonts w:eastAsia="Times New Roman" w:cs="Times New Roman"/>
          <w:szCs w:val="24"/>
        </w:rPr>
        <w:t>btaining identifiable private information from the subject’s medical, educational, or social services agency records or from the subject’s healthcare providers, teachers, or social worker. </w:t>
      </w:r>
    </w:p>
    <w:p w14:paraId="5A7F9FF5"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a subject’s withdrawal request is limited to discontinuation of the primary interventional component of a research study, research activities involving other types of participation for which the subject previously gave consent may continue.  The investigator should ask a </w:t>
      </w:r>
      <w:proofErr w:type="gramStart"/>
      <w:r w:rsidRPr="00AA4677">
        <w:rPr>
          <w:rFonts w:eastAsia="Times New Roman" w:cs="Times New Roman"/>
          <w:szCs w:val="24"/>
        </w:rPr>
        <w:t>subject</w:t>
      </w:r>
      <w:proofErr w:type="gramEnd"/>
      <w:r w:rsidRPr="00AA4677">
        <w:rPr>
          <w:rFonts w:eastAsia="Times New Roman" w:cs="Times New Roman"/>
          <w:szCs w:val="24"/>
        </w:rPr>
        <w:t xml:space="preserve"> who is withdrawing whether the subject wishes to provide continued follow-up and further data collection </w:t>
      </w:r>
      <w:proofErr w:type="gramStart"/>
      <w:r w:rsidRPr="00AA4677">
        <w:rPr>
          <w:rFonts w:eastAsia="Times New Roman" w:cs="Times New Roman"/>
          <w:szCs w:val="24"/>
        </w:rPr>
        <w:t>subsequent to</w:t>
      </w:r>
      <w:proofErr w:type="gramEnd"/>
      <w:r w:rsidRPr="00AA4677">
        <w:rPr>
          <w:rFonts w:eastAsia="Times New Roman" w:cs="Times New Roman"/>
          <w:szCs w:val="24"/>
        </w:rPr>
        <w:t xml:space="preserve">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w:t>
      </w:r>
      <w:proofErr w:type="gramStart"/>
      <w:r w:rsidRPr="00AA4677">
        <w:rPr>
          <w:rFonts w:eastAsia="Times New Roman" w:cs="Times New Roman"/>
          <w:szCs w:val="24"/>
        </w:rPr>
        <w:t>review, and</w:t>
      </w:r>
      <w:proofErr w:type="gramEnd"/>
      <w:r w:rsidRPr="00AA4677">
        <w:rPr>
          <w:rFonts w:eastAsia="Times New Roman" w:cs="Times New Roman"/>
          <w:szCs w:val="24"/>
        </w:rPr>
        <w:t xml:space="preserve"> address the maintenance of privacy and confidentiality of the subject's information.</w:t>
      </w:r>
    </w:p>
    <w:p w14:paraId="6D286E24" w14:textId="6438C1DE"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If a subject withdraws from the interventional portion of the </w:t>
      </w:r>
      <w:proofErr w:type="gramStart"/>
      <w:r w:rsidRPr="00AA4677">
        <w:rPr>
          <w:rFonts w:eastAsia="Times New Roman" w:cs="Times New Roman"/>
          <w:szCs w:val="24"/>
        </w:rPr>
        <w:t>study, but</w:t>
      </w:r>
      <w:proofErr w:type="gramEnd"/>
      <w:r w:rsidRPr="00AA4677">
        <w:rPr>
          <w:rFonts w:eastAsia="Times New Roman" w:cs="Times New Roman"/>
          <w:szCs w:val="24"/>
        </w:rPr>
        <w:t xml:space="preserve"> agrees to continued follow-up of associated clinical outcome information as described in the previous paragraph, the investigator must obtain the subject’s informed consent for this limited participation in the study (assuming such a situation was not described in the original informed consent form). </w:t>
      </w:r>
      <w:r w:rsidR="00EE7207" w:rsidRPr="00AA4677">
        <w:rPr>
          <w:rFonts w:eastAsia="Times New Roman" w:cs="Times New Roman"/>
          <w:szCs w:val="24"/>
        </w:rPr>
        <w:t>IRB</w:t>
      </w:r>
      <w:r w:rsidRPr="00AA4677">
        <w:rPr>
          <w:rFonts w:eastAsia="Times New Roman" w:cs="Times New Roman"/>
          <w:szCs w:val="24"/>
        </w:rPr>
        <w:t xml:space="preserve"> approval of informed consent documents would be required.</w:t>
      </w:r>
    </w:p>
    <w:p w14:paraId="431649BF" w14:textId="278E171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a subject a) withdraws from the interventional portion of a study, (b) does not consent to continued follow-up of associated clinical outcome information, and (c) does not request removal of their data, the investigator must not access for purposes related to the study the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status</w:t>
      </w:r>
      <w:r w:rsidR="00E16F71" w:rsidRPr="00AA4677">
        <w:rPr>
          <w:rFonts w:eastAsia="Times New Roman" w:cs="Times New Roman"/>
          <w:szCs w:val="24"/>
        </w:rPr>
        <w:t>.</w:t>
      </w:r>
    </w:p>
    <w:p w14:paraId="4918092A" w14:textId="28DEEDF2" w:rsidR="00FC174E" w:rsidRPr="00AA4677" w:rsidRDefault="00FC174E" w:rsidP="00696B35">
      <w:pPr>
        <w:pStyle w:val="Heading2"/>
      </w:pPr>
      <w:bookmarkStart w:id="102" w:name="_Toc192678206"/>
      <w:r w:rsidRPr="00AA4677">
        <w:t xml:space="preserve">5.11 Waiver </w:t>
      </w:r>
      <w:r w:rsidR="004378C9" w:rsidRPr="00AA4677">
        <w:t xml:space="preserve">or Alteration </w:t>
      </w:r>
      <w:r w:rsidRPr="00AA4677">
        <w:t>of Informed Consent</w:t>
      </w:r>
      <w:bookmarkEnd w:id="102"/>
    </w:p>
    <w:p w14:paraId="22056705" w14:textId="77777777" w:rsidR="000354CA" w:rsidRPr="00AA4677" w:rsidRDefault="000354CA" w:rsidP="00E9392A">
      <w:pPr>
        <w:spacing w:after="0" w:line="240" w:lineRule="auto"/>
      </w:pPr>
    </w:p>
    <w:p w14:paraId="2E3AC7CD" w14:textId="7CD211E5" w:rsidR="004378C9" w:rsidRPr="00AA4677" w:rsidRDefault="004378C9" w:rsidP="00E9392A">
      <w:pPr>
        <w:spacing w:after="0" w:line="240" w:lineRule="auto"/>
      </w:pPr>
      <w:r w:rsidRPr="00AA4677">
        <w:t xml:space="preserve">An IRB may waive the requirement to obtain informed consent, provided the IRB finds and documents that the below criteria are satisfied.  </w:t>
      </w:r>
    </w:p>
    <w:p w14:paraId="49677B3B" w14:textId="77777777" w:rsidR="004378C9" w:rsidRPr="00AA4677" w:rsidRDefault="004378C9" w:rsidP="00E9392A">
      <w:pPr>
        <w:spacing w:after="0" w:line="240" w:lineRule="auto"/>
      </w:pPr>
      <w:r w:rsidRPr="00AA4677">
        <w:t xml:space="preserve">Likewise, an IRB may approve a consent procedure that omits some, or alters some or all, of the basic and additional elements of informed consent (an “alteration”), provided that the IRB finds and documents that the below criteria are satisfied.  </w:t>
      </w:r>
    </w:p>
    <w:p w14:paraId="4430E070" w14:textId="2B2558D1" w:rsidR="00E85411" w:rsidRPr="00AA4677" w:rsidRDefault="00440F66" w:rsidP="004378C9">
      <w:r w:rsidRPr="00AA4677">
        <w:t xml:space="preserve">1.  </w:t>
      </w:r>
      <w:r w:rsidR="004378C9" w:rsidRPr="00AA4677">
        <w:t xml:space="preserve">The research or clinical investigation involves no more than minimal risk to the </w:t>
      </w:r>
      <w:proofErr w:type="gramStart"/>
      <w:r w:rsidR="004378C9" w:rsidRPr="00AA4677">
        <w:t>subjects;</w:t>
      </w:r>
      <w:proofErr w:type="gramEnd"/>
    </w:p>
    <w:p w14:paraId="553B0646" w14:textId="7F80D115" w:rsidR="00E85411" w:rsidRPr="00AA4677" w:rsidRDefault="00440F66" w:rsidP="00587D8A">
      <w:pPr>
        <w:ind w:left="270" w:hanging="270"/>
      </w:pPr>
      <w:r w:rsidRPr="00AA4677">
        <w:t xml:space="preserve">2.  </w:t>
      </w:r>
      <w:r w:rsidR="004378C9" w:rsidRPr="00AA4677">
        <w:t xml:space="preserve">The research or clinical investigation could not </w:t>
      </w:r>
      <w:proofErr w:type="gramStart"/>
      <w:r w:rsidR="004378C9" w:rsidRPr="00AA4677">
        <w:t>practicably</w:t>
      </w:r>
      <w:proofErr w:type="gramEnd"/>
      <w:r w:rsidR="004378C9" w:rsidRPr="00AA4677">
        <w:t xml:space="preserve"> be carried out without </w:t>
      </w:r>
      <w:r w:rsidR="002E37B2" w:rsidRPr="00AA4677">
        <w:t xml:space="preserve">the </w:t>
      </w:r>
      <w:r w:rsidR="004378C9" w:rsidRPr="00AA4677">
        <w:t xml:space="preserve">requested waiver or </w:t>
      </w:r>
      <w:proofErr w:type="gramStart"/>
      <w:r w:rsidR="004378C9" w:rsidRPr="00AA4677">
        <w:t>alteration</w:t>
      </w:r>
      <w:r w:rsidR="00E85411" w:rsidRPr="00AA4677">
        <w:t>;</w:t>
      </w:r>
      <w:proofErr w:type="gramEnd"/>
    </w:p>
    <w:p w14:paraId="1CD4E810" w14:textId="7917C841" w:rsidR="004378C9" w:rsidRPr="00AA4677" w:rsidRDefault="00440F66" w:rsidP="00587D8A">
      <w:pPr>
        <w:ind w:left="270" w:hanging="270"/>
      </w:pPr>
      <w:r w:rsidRPr="00AA4677">
        <w:t xml:space="preserve">3.  </w:t>
      </w:r>
      <w:r w:rsidR="00E85411" w:rsidRPr="00AA4677">
        <w:t>I</w:t>
      </w:r>
      <w:r w:rsidR="004378C9" w:rsidRPr="00AA4677">
        <w:t xml:space="preserve">f the research involves using identifiable private information or identifiable biospecimens, the research </w:t>
      </w:r>
      <w:proofErr w:type="gramStart"/>
      <w:r w:rsidR="004378C9" w:rsidRPr="00AA4677">
        <w:t>could not</w:t>
      </w:r>
      <w:proofErr w:type="gramEnd"/>
      <w:r w:rsidR="004378C9" w:rsidRPr="00AA4677">
        <w:t xml:space="preserve"> </w:t>
      </w:r>
      <w:proofErr w:type="gramStart"/>
      <w:r w:rsidR="004378C9" w:rsidRPr="00AA4677">
        <w:t>practicably</w:t>
      </w:r>
      <w:proofErr w:type="gramEnd"/>
      <w:r w:rsidR="004378C9" w:rsidRPr="00AA4677">
        <w:t xml:space="preserve"> be carried out without using such information or biospecimens in an identifiable format</w:t>
      </w:r>
      <w:r w:rsidR="002E37B2" w:rsidRPr="00AA4677">
        <w:t xml:space="preserve"> (This criterion is not included in FDA or DoJ/NIJ regulations</w:t>
      </w:r>
      <w:proofErr w:type="gramStart"/>
      <w:r w:rsidR="002E37B2" w:rsidRPr="00AA4677">
        <w:t>)</w:t>
      </w:r>
      <w:r w:rsidR="004378C9" w:rsidRPr="00AA4677">
        <w:t>;</w:t>
      </w:r>
      <w:proofErr w:type="gramEnd"/>
    </w:p>
    <w:p w14:paraId="1EECDF99" w14:textId="08B3890E" w:rsidR="00E85411" w:rsidRPr="00AA4677" w:rsidRDefault="00440F66" w:rsidP="00E85411">
      <w:pPr>
        <w:spacing w:after="120" w:line="240" w:lineRule="auto"/>
      </w:pPr>
      <w:r w:rsidRPr="00AA4677">
        <w:t xml:space="preserve">4.  </w:t>
      </w:r>
      <w:r w:rsidR="004378C9" w:rsidRPr="00AA4677">
        <w:t>The waiver or alteration will not adversely affect the rights and welfare of the subjects; and</w:t>
      </w:r>
    </w:p>
    <w:p w14:paraId="1B6AFB23" w14:textId="16875CB6" w:rsidR="004378C9" w:rsidRPr="00AA4677" w:rsidRDefault="00440F66" w:rsidP="00587D8A">
      <w:pPr>
        <w:spacing w:after="120" w:line="240" w:lineRule="auto"/>
        <w:ind w:left="360" w:hanging="360"/>
      </w:pPr>
      <w:r w:rsidRPr="00AA4677">
        <w:t xml:space="preserve">5.  </w:t>
      </w:r>
      <w:r w:rsidR="004378C9" w:rsidRPr="00AA4677">
        <w:t>Whenever appropriate, the subjects or LARs will be provided with additional pertinent information after participation.</w:t>
      </w:r>
    </w:p>
    <w:p w14:paraId="0DFFE13D" w14:textId="45F134D4" w:rsidR="00064AA8" w:rsidRPr="00AA4677" w:rsidRDefault="00064AA8" w:rsidP="00E85411">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These criteria may be applied to research subject to FDA regulation as well</w:t>
      </w:r>
      <w:r w:rsidR="00E85411" w:rsidRPr="00AA4677">
        <w:rPr>
          <w:rFonts w:eastAsia="Times New Roman" w:cs="Times New Roman"/>
          <w:szCs w:val="24"/>
        </w:rPr>
        <w:t xml:space="preserve"> (although criterion #3 is not required for an FDA determination)</w:t>
      </w:r>
    </w:p>
    <w:p w14:paraId="2C90AF4C" w14:textId="1780FF6D" w:rsidR="00E85411" w:rsidRPr="00AA4677" w:rsidRDefault="00EA1F76" w:rsidP="00E85411">
      <w:pPr>
        <w:rPr>
          <w:b/>
        </w:rPr>
      </w:pPr>
      <w:r w:rsidRPr="00AA4677">
        <w:rPr>
          <w:b/>
        </w:rPr>
        <w:t>Waivers/Alterations of consent in research Involving public benefit and services programs conducted by or subject to the approval of state or local officials</w:t>
      </w:r>
    </w:p>
    <w:p w14:paraId="5A04F932" w14:textId="6C6CCBBD" w:rsidR="00E85411" w:rsidRPr="00AA4677" w:rsidRDefault="00E85411" w:rsidP="00EA1F76">
      <w:r w:rsidRPr="00AA4677">
        <w:lastRenderedPageBreak/>
        <w:t xml:space="preserve">An IRB may waive the requirement to obtain informed consent, provided the IRB finds and documents that the below criteria are satisfied. </w:t>
      </w:r>
      <w:r w:rsidR="00EA1F76" w:rsidRPr="00AA4677">
        <w:t xml:space="preserve"> </w:t>
      </w:r>
      <w:r w:rsidRPr="00AA4677">
        <w:t xml:space="preserve">Likewise, an IRB may approve a consent procedure that omits some, or alters some or all, of the basic and additional elements of informed consent (an “alteration”), provided that the IRB finds and documents that the below criteria are satisfied.  </w:t>
      </w:r>
    </w:p>
    <w:p w14:paraId="71CA8540" w14:textId="0DE123DE" w:rsidR="00FC174E" w:rsidRPr="00AA4677" w:rsidRDefault="00FC174E" w:rsidP="00C129F1">
      <w:pPr>
        <w:numPr>
          <w:ilvl w:val="0"/>
          <w:numId w:val="21"/>
        </w:numPr>
        <w:shd w:val="clear" w:color="auto" w:fill="FFFFFF"/>
        <w:spacing w:after="0" w:line="240" w:lineRule="auto"/>
        <w:rPr>
          <w:rFonts w:eastAsia="Times New Roman" w:cs="Times New Roman"/>
          <w:szCs w:val="24"/>
        </w:rPr>
      </w:pPr>
      <w:r w:rsidRPr="00AA4677">
        <w:rPr>
          <w:rFonts w:eastAsia="Times New Roman" w:cs="Times New Roman"/>
          <w:szCs w:val="24"/>
        </w:rPr>
        <w:t>The research or demonstration project is to be conducted by, or is subject to the approval of, state or local government officials and is designed to study, evaluate, or otherwise examine:</w:t>
      </w:r>
    </w:p>
    <w:p w14:paraId="0166EE73" w14:textId="1BEEE576" w:rsidR="00FC174E" w:rsidRPr="00AA4677" w:rsidRDefault="00FC174E">
      <w:pPr>
        <w:numPr>
          <w:ilvl w:val="0"/>
          <w:numId w:val="28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Public benefit or service </w:t>
      </w:r>
      <w:proofErr w:type="gramStart"/>
      <w:r w:rsidRPr="00AA4677">
        <w:rPr>
          <w:rFonts w:eastAsia="Times New Roman" w:cs="Times New Roman"/>
          <w:szCs w:val="24"/>
        </w:rPr>
        <w:t>programs</w:t>
      </w:r>
      <w:r w:rsidR="003810BF" w:rsidRPr="00AA4677">
        <w:rPr>
          <w:rFonts w:eastAsia="Times New Roman" w:cs="Times New Roman"/>
          <w:szCs w:val="24"/>
        </w:rPr>
        <w:t>;</w:t>
      </w:r>
      <w:proofErr w:type="gramEnd"/>
    </w:p>
    <w:p w14:paraId="64D6718A" w14:textId="0EC0FA43" w:rsidR="00FC174E" w:rsidRPr="00AA4677" w:rsidRDefault="00FC174E">
      <w:pPr>
        <w:numPr>
          <w:ilvl w:val="0"/>
          <w:numId w:val="28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Procedures for obtaining benefits or services under those </w:t>
      </w:r>
      <w:proofErr w:type="gramStart"/>
      <w:r w:rsidRPr="00AA4677">
        <w:rPr>
          <w:rFonts w:eastAsia="Times New Roman" w:cs="Times New Roman"/>
          <w:szCs w:val="24"/>
        </w:rPr>
        <w:t>programs</w:t>
      </w:r>
      <w:r w:rsidR="003810BF" w:rsidRPr="00AA4677">
        <w:rPr>
          <w:rFonts w:eastAsia="Times New Roman" w:cs="Times New Roman"/>
          <w:szCs w:val="24"/>
        </w:rPr>
        <w:t>;</w:t>
      </w:r>
      <w:proofErr w:type="gramEnd"/>
    </w:p>
    <w:p w14:paraId="11CEAB14" w14:textId="69BDB220" w:rsidR="00FC174E" w:rsidRPr="00AA4677" w:rsidRDefault="00FC174E">
      <w:pPr>
        <w:numPr>
          <w:ilvl w:val="0"/>
          <w:numId w:val="281"/>
        </w:numPr>
        <w:shd w:val="clear" w:color="auto" w:fill="FFFFFF"/>
        <w:spacing w:after="0" w:line="240" w:lineRule="auto"/>
        <w:rPr>
          <w:rFonts w:eastAsia="Times New Roman" w:cs="Times New Roman"/>
          <w:szCs w:val="24"/>
        </w:rPr>
      </w:pPr>
      <w:r w:rsidRPr="00AA4677">
        <w:rPr>
          <w:rFonts w:eastAsia="Times New Roman" w:cs="Times New Roman"/>
          <w:szCs w:val="24"/>
        </w:rPr>
        <w:t>Possible changes in or alternatives to those programs or procedures; or</w:t>
      </w:r>
    </w:p>
    <w:p w14:paraId="4085EB71" w14:textId="2D676A24" w:rsidR="00FC174E" w:rsidRPr="00AA4677" w:rsidRDefault="00FC174E">
      <w:pPr>
        <w:numPr>
          <w:ilvl w:val="0"/>
          <w:numId w:val="281"/>
        </w:numPr>
        <w:shd w:val="clear" w:color="auto" w:fill="FFFFFF"/>
        <w:spacing w:after="0" w:line="240" w:lineRule="auto"/>
        <w:rPr>
          <w:rFonts w:eastAsia="Times New Roman" w:cs="Times New Roman"/>
          <w:szCs w:val="24"/>
        </w:rPr>
      </w:pPr>
      <w:r w:rsidRPr="00AA4677">
        <w:rPr>
          <w:rFonts w:eastAsia="Times New Roman" w:cs="Times New Roman"/>
          <w:szCs w:val="24"/>
        </w:rPr>
        <w:t>Possible changes in methods or levels of payment for benefits or services under those programs.</w:t>
      </w:r>
    </w:p>
    <w:p w14:paraId="6CA62B56" w14:textId="09150C26" w:rsidR="00FC174E" w:rsidRPr="00AA4677" w:rsidRDefault="00FC174E" w:rsidP="00C129F1">
      <w:pPr>
        <w:numPr>
          <w:ilvl w:val="0"/>
          <w:numId w:val="2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research could not </w:t>
      </w:r>
      <w:proofErr w:type="gramStart"/>
      <w:r w:rsidRPr="00AA4677">
        <w:rPr>
          <w:rFonts w:eastAsia="Times New Roman" w:cs="Times New Roman"/>
          <w:szCs w:val="24"/>
        </w:rPr>
        <w:t>practicably</w:t>
      </w:r>
      <w:proofErr w:type="gramEnd"/>
      <w:r w:rsidRPr="00AA4677">
        <w:rPr>
          <w:rFonts w:eastAsia="Times New Roman" w:cs="Times New Roman"/>
          <w:szCs w:val="24"/>
        </w:rPr>
        <w:t xml:space="preserve"> be carried out without the waiver or alteration.</w:t>
      </w:r>
    </w:p>
    <w:p w14:paraId="077FB0A6" w14:textId="1CD6B4FF" w:rsidR="00E85411" w:rsidRPr="00AA4677" w:rsidRDefault="00E85411" w:rsidP="00E85411">
      <w:pPr>
        <w:shd w:val="clear" w:color="auto" w:fill="FFFFFF"/>
        <w:spacing w:after="0" w:line="240" w:lineRule="auto"/>
        <w:rPr>
          <w:rFonts w:eastAsia="Times New Roman" w:cs="Times New Roman"/>
          <w:szCs w:val="24"/>
        </w:rPr>
      </w:pPr>
    </w:p>
    <w:p w14:paraId="73EA4E8F" w14:textId="07346C03" w:rsidR="00E85411" w:rsidRPr="00AA4677" w:rsidRDefault="00E85411" w:rsidP="00E85411">
      <w:pPr>
        <w:shd w:val="clear" w:color="auto" w:fill="FFFFFF"/>
        <w:spacing w:after="0" w:line="240" w:lineRule="auto"/>
        <w:rPr>
          <w:rFonts w:eastAsia="Times New Roman" w:cs="Times New Roman"/>
          <w:szCs w:val="24"/>
        </w:rPr>
      </w:pPr>
      <w:r w:rsidRPr="00AA4677">
        <w:rPr>
          <w:rFonts w:eastAsia="Times New Roman" w:cs="Times New Roman"/>
          <w:szCs w:val="24"/>
        </w:rPr>
        <w:t>This option does NOT apply to FDA-regulated research.</w:t>
      </w:r>
    </w:p>
    <w:p w14:paraId="04417971" w14:textId="77777777" w:rsidR="00EA1F76" w:rsidRPr="00AA4677" w:rsidRDefault="00EA1F76" w:rsidP="00C57C98">
      <w:pPr>
        <w:pStyle w:val="Heading3"/>
      </w:pPr>
      <w:bookmarkStart w:id="103" w:name="_Toc523233308"/>
      <w:r w:rsidRPr="00AA4677">
        <w:t>Screening, recruiting, or determining eligibility</w:t>
      </w:r>
      <w:bookmarkEnd w:id="103"/>
    </w:p>
    <w:p w14:paraId="5EDC9DAB" w14:textId="77777777" w:rsidR="00EA1F76" w:rsidRPr="00AA4677" w:rsidRDefault="00EA1F76" w:rsidP="00EA1F76">
      <w:r w:rsidRPr="00AA4677">
        <w:t xml:space="preserve">An IRB may </w:t>
      </w:r>
      <w:bookmarkStart w:id="104" w:name="_Hlk500936837"/>
      <w:r w:rsidRPr="00AA4677">
        <w:t>approve a research proposal in which an investigator will obtain information or biospecimens for the purpose of screening, recruiting, or determining the eligibility of prospective subjects without the informed consent of the prospective subject or the subject’s legally authorized representative, if either of the following conditions are met:</w:t>
      </w:r>
    </w:p>
    <w:p w14:paraId="50999D1C" w14:textId="77777777" w:rsidR="00EA1F76" w:rsidRPr="00AA4677" w:rsidRDefault="00EA1F76">
      <w:pPr>
        <w:pStyle w:val="ListParagraph"/>
        <w:numPr>
          <w:ilvl w:val="0"/>
          <w:numId w:val="151"/>
        </w:numPr>
        <w:spacing w:after="120" w:line="240" w:lineRule="auto"/>
        <w:ind w:left="360"/>
        <w:contextualSpacing w:val="0"/>
      </w:pPr>
      <w:r w:rsidRPr="00AA4677">
        <w:t>The investigator will obtain information through oral or written communication with the prospective subject or legally authorized representative, or</w:t>
      </w:r>
    </w:p>
    <w:p w14:paraId="187B4930" w14:textId="79FF67D1" w:rsidR="00E85411" w:rsidRPr="00AA4677" w:rsidRDefault="00EA1F76">
      <w:pPr>
        <w:pStyle w:val="ListParagraph"/>
        <w:numPr>
          <w:ilvl w:val="0"/>
          <w:numId w:val="151"/>
        </w:numPr>
        <w:spacing w:after="120" w:line="240" w:lineRule="auto"/>
        <w:ind w:left="360"/>
      </w:pPr>
      <w:r w:rsidRPr="00AA4677">
        <w:t>The investigator will obtain identifiable private information or identifiable biospecimens by accessing records or stored identifiable biospecimens.</w:t>
      </w:r>
      <w:bookmarkEnd w:id="104"/>
    </w:p>
    <w:p w14:paraId="563EC2BF" w14:textId="2D86B1F1" w:rsidR="008B0347" w:rsidRPr="00AA4677" w:rsidRDefault="008B0347" w:rsidP="008B0347">
      <w:pPr>
        <w:pStyle w:val="CommentText"/>
        <w:rPr>
          <w:sz w:val="24"/>
          <w:szCs w:val="24"/>
        </w:rPr>
      </w:pPr>
      <w:r w:rsidRPr="00AA4677">
        <w:rPr>
          <w:sz w:val="24"/>
        </w:rPr>
        <w:t xml:space="preserve">The FDA does not consider </w:t>
      </w:r>
      <w:proofErr w:type="gramStart"/>
      <w:r w:rsidRPr="00AA4677">
        <w:rPr>
          <w:sz w:val="24"/>
        </w:rPr>
        <w:t>records review</w:t>
      </w:r>
      <w:proofErr w:type="gramEnd"/>
      <w:r w:rsidRPr="00AA4677">
        <w:rPr>
          <w:sz w:val="24"/>
        </w:rPr>
        <w:t xml:space="preserve"> or oral communication with the subject prior to obtaining consent to be part of the clinical investigation, therefore consent for these activities need not be obtained and waivers are not </w:t>
      </w:r>
      <w:r w:rsidRPr="00AA4677">
        <w:rPr>
          <w:sz w:val="24"/>
          <w:szCs w:val="24"/>
        </w:rPr>
        <w:t xml:space="preserve">required. </w:t>
      </w:r>
    </w:p>
    <w:p w14:paraId="6D388C61" w14:textId="56C6F661" w:rsidR="00FC174E" w:rsidRPr="00AA4677" w:rsidRDefault="00FC174E" w:rsidP="00696B35">
      <w:pPr>
        <w:pStyle w:val="Heading2"/>
      </w:pPr>
      <w:bookmarkStart w:id="105" w:name="_Toc192678207"/>
      <w:r w:rsidRPr="00AA4677">
        <w:t>5.12 Waiver of Documentation of Informed Consent</w:t>
      </w:r>
      <w:bookmarkEnd w:id="105"/>
    </w:p>
    <w:p w14:paraId="7BD258DA" w14:textId="558819B8" w:rsidR="00FC174E" w:rsidRPr="00AA4677" w:rsidRDefault="00E16F71"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may waive the requirement for the investigator to obtain a signed consent form</w:t>
      </w:r>
      <w:r w:rsidR="00D210AE" w:rsidRPr="00AA4677">
        <w:rPr>
          <w:rFonts w:eastAsia="Times New Roman" w:cs="Times New Roman"/>
          <w:szCs w:val="24"/>
        </w:rPr>
        <w:t xml:space="preserve"> or </w:t>
      </w:r>
      <w:r w:rsidR="00C90428" w:rsidRPr="00AA4677">
        <w:rPr>
          <w:rFonts w:eastAsia="Times New Roman" w:cs="Times New Roman"/>
          <w:szCs w:val="24"/>
        </w:rPr>
        <w:t xml:space="preserve">signed </w:t>
      </w:r>
      <w:r w:rsidR="00D210AE" w:rsidRPr="00AA4677">
        <w:rPr>
          <w:rFonts w:eastAsia="Times New Roman" w:cs="Times New Roman"/>
          <w:szCs w:val="24"/>
        </w:rPr>
        <w:t>parental permission form</w:t>
      </w:r>
      <w:r w:rsidR="00FC174E" w:rsidRPr="00AA4677">
        <w:rPr>
          <w:rFonts w:eastAsia="Times New Roman" w:cs="Times New Roman"/>
          <w:szCs w:val="24"/>
        </w:rPr>
        <w:t xml:space="preserve"> for some or all subjects if it finds </w:t>
      </w:r>
      <w:r w:rsidR="00EA1F76" w:rsidRPr="00AA4677">
        <w:rPr>
          <w:rFonts w:eastAsia="Times New Roman" w:cs="Times New Roman"/>
          <w:szCs w:val="24"/>
        </w:rPr>
        <w:t>any of the following</w:t>
      </w:r>
      <w:r w:rsidR="00FC174E" w:rsidRPr="00AA4677">
        <w:rPr>
          <w:rFonts w:eastAsia="Times New Roman" w:cs="Times New Roman"/>
          <w:szCs w:val="24"/>
        </w:rPr>
        <w:t>:</w:t>
      </w:r>
    </w:p>
    <w:p w14:paraId="4FA7947C" w14:textId="0ED1CA3C" w:rsidR="00FC174E" w:rsidRPr="00AA4677" w:rsidRDefault="00FC174E" w:rsidP="00C129F1">
      <w:pPr>
        <w:numPr>
          <w:ilvl w:val="0"/>
          <w:numId w:val="2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Only record linking the subject and the research would be the </w:t>
      </w:r>
      <w:r w:rsidR="00EA1F76" w:rsidRPr="00AA4677">
        <w:rPr>
          <w:rFonts w:eastAsia="Times New Roman" w:cs="Times New Roman"/>
          <w:szCs w:val="24"/>
        </w:rPr>
        <w:t xml:space="preserve">informed </w:t>
      </w:r>
      <w:r w:rsidRPr="00AA4677">
        <w:rPr>
          <w:rFonts w:eastAsia="Times New Roman" w:cs="Times New Roman"/>
          <w:szCs w:val="24"/>
        </w:rPr>
        <w:t xml:space="preserve">consent </w:t>
      </w:r>
      <w:r w:rsidR="009B5F49" w:rsidRPr="00AA4677">
        <w:rPr>
          <w:rFonts w:eastAsia="Times New Roman" w:cs="Times New Roman"/>
          <w:szCs w:val="24"/>
        </w:rPr>
        <w:t>form</w:t>
      </w:r>
      <w:r w:rsidRPr="00AA4677">
        <w:rPr>
          <w:rFonts w:eastAsia="Times New Roman" w:cs="Times New Roman"/>
          <w:szCs w:val="24"/>
        </w:rPr>
        <w:t xml:space="preserve"> and the principal risk would be potential harm resulting from a breach of confidentiality; or</w:t>
      </w:r>
    </w:p>
    <w:p w14:paraId="6AF84B76" w14:textId="1D0F07E5" w:rsidR="00FC174E" w:rsidRPr="00AA4677" w:rsidRDefault="00FC174E" w:rsidP="00587D8A">
      <w:pPr>
        <w:shd w:val="clear" w:color="auto" w:fill="FFFFFF"/>
        <w:spacing w:before="100" w:beforeAutospacing="1" w:after="100" w:afterAutospacing="1" w:line="240" w:lineRule="auto"/>
        <w:rPr>
          <w:rFonts w:eastAsia="Times New Roman" w:cs="Times New Roman"/>
          <w:szCs w:val="20"/>
        </w:rPr>
      </w:pPr>
      <w:r w:rsidRPr="00AA4677">
        <w:rPr>
          <w:rFonts w:eastAsia="Times New Roman" w:cs="Times New Roman"/>
          <w:b/>
          <w:bCs/>
          <w:i/>
          <w:iCs/>
          <w:szCs w:val="20"/>
        </w:rPr>
        <w:lastRenderedPageBreak/>
        <w:t>N</w:t>
      </w:r>
      <w:r w:rsidR="007D2E3C" w:rsidRPr="00AA4677">
        <w:rPr>
          <w:rFonts w:eastAsia="Times New Roman" w:cs="Times New Roman"/>
          <w:b/>
          <w:bCs/>
          <w:i/>
          <w:iCs/>
          <w:szCs w:val="20"/>
        </w:rPr>
        <w:t>OTE</w:t>
      </w:r>
      <w:r w:rsidRPr="00AA4677">
        <w:rPr>
          <w:rFonts w:eastAsia="Times New Roman" w:cs="Times New Roman"/>
          <w:b/>
          <w:bCs/>
          <w:i/>
          <w:iCs/>
          <w:szCs w:val="20"/>
        </w:rPr>
        <w:t xml:space="preserve"> 1:</w:t>
      </w:r>
      <w:r w:rsidRPr="00AA4677">
        <w:rPr>
          <w:rFonts w:eastAsia="Times New Roman" w:cs="Times New Roman"/>
          <w:i/>
          <w:iCs/>
          <w:szCs w:val="20"/>
        </w:rPr>
        <w:t> Subjects</w:t>
      </w:r>
      <w:r w:rsidR="009B5F49" w:rsidRPr="00AA4677">
        <w:rPr>
          <w:rFonts w:eastAsia="Times New Roman" w:cs="Times New Roman"/>
          <w:i/>
          <w:iCs/>
          <w:szCs w:val="20"/>
        </w:rPr>
        <w:t xml:space="preserve"> (or LARs)</w:t>
      </w:r>
      <w:r w:rsidRPr="00AA4677">
        <w:rPr>
          <w:rFonts w:eastAsia="Times New Roman" w:cs="Times New Roman"/>
          <w:i/>
          <w:iCs/>
          <w:szCs w:val="20"/>
        </w:rPr>
        <w:t xml:space="preserve"> must be asked whether they want documentation linking them with the research, and their wishes must govern. (Example: domestic violence research where the primary risk is discovery by the abuser that the subject is talking to </w:t>
      </w:r>
      <w:r w:rsidR="000216F7" w:rsidRPr="00AA4677">
        <w:rPr>
          <w:rFonts w:eastAsia="Times New Roman" w:cs="Times New Roman"/>
          <w:i/>
          <w:iCs/>
          <w:szCs w:val="20"/>
        </w:rPr>
        <w:t>investigator</w:t>
      </w:r>
      <w:r w:rsidRPr="00AA4677">
        <w:rPr>
          <w:rFonts w:eastAsia="Times New Roman" w:cs="Times New Roman"/>
          <w:i/>
          <w:iCs/>
          <w:szCs w:val="20"/>
        </w:rPr>
        <w:t>s.) </w:t>
      </w:r>
    </w:p>
    <w:p w14:paraId="5273D5B8" w14:textId="6C6F1E5D" w:rsidR="00FC174E" w:rsidRPr="00AA4677" w:rsidRDefault="00FC174E" w:rsidP="00587D8A">
      <w:pPr>
        <w:shd w:val="clear" w:color="auto" w:fill="FFFFFF"/>
        <w:spacing w:before="100" w:beforeAutospacing="1" w:after="100" w:afterAutospacing="1" w:line="240" w:lineRule="auto"/>
        <w:rPr>
          <w:rFonts w:eastAsia="Times New Roman" w:cs="Times New Roman"/>
          <w:szCs w:val="20"/>
        </w:rPr>
      </w:pPr>
      <w:r w:rsidRPr="00AA4677">
        <w:rPr>
          <w:rFonts w:eastAsia="Times New Roman" w:cs="Times New Roman"/>
          <w:b/>
          <w:bCs/>
          <w:i/>
          <w:iCs/>
          <w:szCs w:val="20"/>
        </w:rPr>
        <w:t>N</w:t>
      </w:r>
      <w:r w:rsidR="007D2E3C" w:rsidRPr="00AA4677">
        <w:rPr>
          <w:rFonts w:eastAsia="Times New Roman" w:cs="Times New Roman"/>
          <w:b/>
          <w:bCs/>
          <w:i/>
          <w:iCs/>
          <w:szCs w:val="20"/>
        </w:rPr>
        <w:t>OTE</w:t>
      </w:r>
      <w:r w:rsidRPr="00AA4677">
        <w:rPr>
          <w:rFonts w:eastAsia="Times New Roman" w:cs="Times New Roman"/>
          <w:b/>
          <w:bCs/>
          <w:i/>
          <w:iCs/>
          <w:szCs w:val="20"/>
        </w:rPr>
        <w:t xml:space="preserve"> 2: </w:t>
      </w:r>
      <w:proofErr w:type="gramStart"/>
      <w:r w:rsidRPr="00AA4677">
        <w:rPr>
          <w:rFonts w:eastAsia="Times New Roman" w:cs="Times New Roman"/>
          <w:i/>
          <w:iCs/>
          <w:szCs w:val="20"/>
        </w:rPr>
        <w:t>In order to</w:t>
      </w:r>
      <w:proofErr w:type="gramEnd"/>
      <w:r w:rsidRPr="00AA4677">
        <w:rPr>
          <w:rFonts w:eastAsia="Times New Roman" w:cs="Times New Roman"/>
          <w:i/>
          <w:iCs/>
          <w:szCs w:val="20"/>
        </w:rPr>
        <w:t xml:space="preserve"> waive written documentation of consent where the only record linking the </w:t>
      </w:r>
      <w:r w:rsidR="00BF7470" w:rsidRPr="00AA4677">
        <w:rPr>
          <w:rFonts w:eastAsia="Times New Roman" w:cs="Times New Roman"/>
          <w:i/>
          <w:iCs/>
          <w:szCs w:val="20"/>
        </w:rPr>
        <w:t>subject</w:t>
      </w:r>
      <w:r w:rsidRPr="00AA4677">
        <w:rPr>
          <w:rFonts w:eastAsia="Times New Roman" w:cs="Times New Roman"/>
          <w:i/>
          <w:iCs/>
          <w:szCs w:val="20"/>
        </w:rPr>
        <w:t xml:space="preserve"> and the research </w:t>
      </w:r>
      <w:r w:rsidR="00E16F71" w:rsidRPr="00AA4677">
        <w:rPr>
          <w:rFonts w:eastAsia="Times New Roman" w:cs="Times New Roman"/>
          <w:i/>
          <w:iCs/>
          <w:szCs w:val="20"/>
        </w:rPr>
        <w:t xml:space="preserve">would be the consent document, the </w:t>
      </w:r>
      <w:r w:rsidR="00EE7207" w:rsidRPr="00AA4677">
        <w:rPr>
          <w:rFonts w:eastAsia="Times New Roman" w:cs="Times New Roman"/>
          <w:i/>
          <w:iCs/>
          <w:szCs w:val="20"/>
        </w:rPr>
        <w:t>IRB</w:t>
      </w:r>
      <w:r w:rsidRPr="00AA4677">
        <w:rPr>
          <w:rFonts w:eastAsia="Times New Roman" w:cs="Times New Roman"/>
          <w:i/>
          <w:iCs/>
          <w:szCs w:val="20"/>
        </w:rPr>
        <w:t xml:space="preserve"> </w:t>
      </w:r>
      <w:proofErr w:type="gramStart"/>
      <w:r w:rsidRPr="00AA4677">
        <w:rPr>
          <w:rFonts w:eastAsia="Times New Roman" w:cs="Times New Roman"/>
          <w:i/>
          <w:iCs/>
          <w:szCs w:val="20"/>
        </w:rPr>
        <w:t>has to</w:t>
      </w:r>
      <w:proofErr w:type="gramEnd"/>
      <w:r w:rsidRPr="00AA4677">
        <w:rPr>
          <w:rFonts w:eastAsia="Times New Roman" w:cs="Times New Roman"/>
          <w:i/>
          <w:iCs/>
          <w:szCs w:val="20"/>
        </w:rPr>
        <w:t xml:space="preserve"> determine that the research is not FDA-regulated.</w:t>
      </w:r>
    </w:p>
    <w:p w14:paraId="1066A935" w14:textId="08B708F4" w:rsidR="004F0B9F" w:rsidRPr="00AA4677" w:rsidRDefault="00F32ADD" w:rsidP="00F32ADD">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iCs/>
          <w:szCs w:val="24"/>
        </w:rPr>
        <w:t>O</w:t>
      </w:r>
      <w:r w:rsidR="004F0B9F" w:rsidRPr="00AA4677">
        <w:rPr>
          <w:rFonts w:eastAsia="Times New Roman" w:cs="Times New Roman"/>
          <w:b/>
          <w:bCs/>
          <w:iCs/>
          <w:szCs w:val="24"/>
        </w:rPr>
        <w:t>r</w:t>
      </w:r>
    </w:p>
    <w:p w14:paraId="6459C7D0" w14:textId="634801B6" w:rsidR="00DB40B5" w:rsidRPr="00AA4677" w:rsidRDefault="00FC174E" w:rsidP="00C129F1">
      <w:pPr>
        <w:pStyle w:val="ListParagraph"/>
        <w:numPr>
          <w:ilvl w:val="0"/>
          <w:numId w:val="22"/>
        </w:numPr>
        <w:spacing w:after="0" w:line="240" w:lineRule="auto"/>
      </w:pPr>
      <w:r w:rsidRPr="00AA4677">
        <w:rPr>
          <w:rFonts w:eastAsia="Times New Roman" w:cs="Times New Roman"/>
          <w:szCs w:val="24"/>
        </w:rPr>
        <w:t xml:space="preserve">The research presents no more than minimal risk of harm to subjects and involves no procedures for which written consent is normally required outside of the research context.  </w:t>
      </w:r>
      <w:r w:rsidR="00151739" w:rsidRPr="00AA4677">
        <w:t xml:space="preserve">This option </w:t>
      </w:r>
      <w:r w:rsidR="00151739" w:rsidRPr="00AA4677">
        <w:rPr>
          <w:b/>
        </w:rPr>
        <w:t>does</w:t>
      </w:r>
      <w:r w:rsidR="00151739" w:rsidRPr="00AA4677">
        <w:t xml:space="preserve"> </w:t>
      </w:r>
      <w:r w:rsidR="00151739" w:rsidRPr="00AA4677">
        <w:rPr>
          <w:b/>
        </w:rPr>
        <w:t>not</w:t>
      </w:r>
      <w:r w:rsidR="00151739" w:rsidRPr="00AA4677">
        <w:t xml:space="preserve"> apply to FDA-regulated research.</w:t>
      </w:r>
    </w:p>
    <w:p w14:paraId="08A970B1" w14:textId="77777777" w:rsidR="00DB40B5" w:rsidRPr="00AA4677" w:rsidRDefault="00DB40B5" w:rsidP="00DB40B5">
      <w:pPr>
        <w:shd w:val="clear" w:color="auto" w:fill="FFFFFF"/>
        <w:spacing w:after="0" w:line="240" w:lineRule="auto"/>
        <w:ind w:left="360"/>
        <w:rPr>
          <w:rFonts w:eastAsia="Times New Roman" w:cs="Times New Roman"/>
          <w:szCs w:val="24"/>
        </w:rPr>
      </w:pPr>
    </w:p>
    <w:p w14:paraId="2D416447" w14:textId="63B646E7" w:rsidR="009B5F49" w:rsidRPr="00AA4677" w:rsidRDefault="009B5F49" w:rsidP="00C129F1">
      <w:pPr>
        <w:pStyle w:val="ListParagraph"/>
        <w:numPr>
          <w:ilvl w:val="0"/>
          <w:numId w:val="22"/>
        </w:numPr>
        <w:spacing w:after="0" w:line="240" w:lineRule="auto"/>
      </w:pPr>
      <w:bookmarkStart w:id="106" w:name="_Hlk500938620"/>
      <w:r w:rsidRPr="00AA4677">
        <w:t xml:space="preserve">If the subjects or LARs are members of a distinct cultural group or community in which signing forms </w:t>
      </w:r>
      <w:proofErr w:type="gramStart"/>
      <w:r w:rsidRPr="00AA4677">
        <w:t>is</w:t>
      </w:r>
      <w:proofErr w:type="gramEnd"/>
      <w:r w:rsidRPr="00AA4677">
        <w:t xml:space="preserve"> not the norm, that the research presents no more than minimal risk of harm to subjects and provided there is an appropriate alternative mechanism for documenting that informed consent was obtained.</w:t>
      </w:r>
      <w:r w:rsidR="008B0347" w:rsidRPr="00AA4677">
        <w:t xml:space="preserve"> </w:t>
      </w:r>
      <w:r w:rsidRPr="00AA4677">
        <w:t xml:space="preserve">This option </w:t>
      </w:r>
      <w:r w:rsidRPr="00AA4677">
        <w:rPr>
          <w:b/>
        </w:rPr>
        <w:t>does</w:t>
      </w:r>
      <w:r w:rsidRPr="00AA4677">
        <w:t xml:space="preserve"> </w:t>
      </w:r>
      <w:r w:rsidRPr="00AA4677">
        <w:rPr>
          <w:b/>
        </w:rPr>
        <w:t>not</w:t>
      </w:r>
      <w:r w:rsidRPr="00AA4677">
        <w:t xml:space="preserve"> apply to FDA-regulated research.</w:t>
      </w:r>
      <w:bookmarkEnd w:id="106"/>
    </w:p>
    <w:p w14:paraId="23AD1449" w14:textId="2C031CF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cases in which the documentation requirement is waived, </w:t>
      </w:r>
      <w:r w:rsidR="00E16F71"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requires the investigator to provide in the application materials a written summary of the information to be communi</w:t>
      </w:r>
      <w:r w:rsidR="003527FB" w:rsidRPr="00AA4677">
        <w:rPr>
          <w:rFonts w:eastAsia="Times New Roman" w:cs="Times New Roman"/>
          <w:szCs w:val="24"/>
        </w:rPr>
        <w:t xml:space="preserve">cated to the subject. The summary will contain all </w:t>
      </w:r>
      <w:proofErr w:type="gramStart"/>
      <w:r w:rsidR="003527FB" w:rsidRPr="00AA4677">
        <w:rPr>
          <w:rFonts w:eastAsia="Times New Roman" w:cs="Times New Roman"/>
          <w:szCs w:val="24"/>
        </w:rPr>
        <w:t>require</w:t>
      </w:r>
      <w:proofErr w:type="gramEnd"/>
      <w:r w:rsidR="003527FB" w:rsidRPr="00AA4677">
        <w:rPr>
          <w:rFonts w:eastAsia="Times New Roman" w:cs="Times New Roman"/>
          <w:szCs w:val="24"/>
        </w:rPr>
        <w:t xml:space="preserve"> and appropriate additional elements of consent. T</w:t>
      </w:r>
      <w:r w:rsidR="00E16F71" w:rsidRPr="00AA4677">
        <w:rPr>
          <w:rFonts w:eastAsia="Times New Roman" w:cs="Times New Roman"/>
          <w:szCs w:val="24"/>
        </w:rPr>
        <w:t xml:space="preserve">he </w:t>
      </w:r>
      <w:r w:rsidR="00EE7207" w:rsidRPr="00AA4677">
        <w:rPr>
          <w:rFonts w:eastAsia="Times New Roman" w:cs="Times New Roman"/>
          <w:szCs w:val="24"/>
        </w:rPr>
        <w:t>IRB</w:t>
      </w:r>
      <w:r w:rsidRPr="00AA4677">
        <w:rPr>
          <w:rFonts w:eastAsia="Times New Roman" w:cs="Times New Roman"/>
          <w:szCs w:val="24"/>
        </w:rPr>
        <w:t xml:space="preserve"> will consider whether to require the investigator to provide subjects with a written statement regarding the research.</w:t>
      </w:r>
    </w:p>
    <w:p w14:paraId="762D7F56" w14:textId="3D4511E0" w:rsidR="009B5F49" w:rsidRPr="00AA4677" w:rsidRDefault="009B5F49" w:rsidP="008B0347">
      <w:r w:rsidRPr="00AA4677">
        <w:t>Unless the IRB has granted a full waiver of the requirement to obtain informed consent, investigators who seek and receive approval for a waiver of documentation of consent still must perform an appropriate consent process.</w:t>
      </w:r>
    </w:p>
    <w:p w14:paraId="41EFF3D6" w14:textId="77777777" w:rsidR="00FC174E" w:rsidRPr="00AA4677" w:rsidRDefault="00FC174E" w:rsidP="00696B35">
      <w:pPr>
        <w:pStyle w:val="Heading2"/>
      </w:pPr>
      <w:bookmarkStart w:id="107" w:name="_Toc192678208"/>
      <w:r w:rsidRPr="00AA4677">
        <w:t>5.13 Waiver of Informed Consent for Planned Emergency Research</w:t>
      </w:r>
      <w:bookmarkEnd w:id="107"/>
    </w:p>
    <w:p w14:paraId="5B2F51D0" w14:textId="279B25E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 accordance with 21 CFR 50.24</w:t>
      </w:r>
      <w:r w:rsidR="00E16F71" w:rsidRPr="00AA4677">
        <w:rPr>
          <w:rFonts w:eastAsia="Times New Roman" w:cs="Times New Roman"/>
          <w:szCs w:val="24"/>
        </w:rPr>
        <w:t xml:space="preserve">, the </w:t>
      </w:r>
      <w:r w:rsidR="00EE7207" w:rsidRPr="00AA4677">
        <w:rPr>
          <w:rFonts w:eastAsia="Times New Roman" w:cs="Times New Roman"/>
          <w:szCs w:val="24"/>
        </w:rPr>
        <w:t>IRB</w:t>
      </w:r>
      <w:r w:rsidRPr="00AA4677">
        <w:rPr>
          <w:rFonts w:eastAsia="Times New Roman" w:cs="Times New Roman"/>
          <w:szCs w:val="24"/>
        </w:rPr>
        <w:t xml:space="preserve"> will consider for review and approval planned research involving life-threatening emergencies where a waiver is proposed for requirement to obtain prospective informed consent.  </w:t>
      </w:r>
    </w:p>
    <w:p w14:paraId="41627B9E" w14:textId="720EC77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conduct of planned research in life-threatening emergencies where the requirement to obtain prospective informed consent has been waived by </w:t>
      </w:r>
      <w:r w:rsidR="00E16F71"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is covered by 21 CFR §50.24 for FDA regulated research and by the waiver articulated by HHS at 61 FR 51531-33 for non-FDA regulated research. Among other requirements, the research plan must be carried out under an approved IND or IDE, if applicable, and must be approved in advance by </w:t>
      </w:r>
      <w:r w:rsidR="00E16F71"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publicly disclosed to the </w:t>
      </w:r>
      <w:r w:rsidRPr="00AA4677">
        <w:rPr>
          <w:rFonts w:eastAsia="Times New Roman" w:cs="Times New Roman"/>
          <w:szCs w:val="24"/>
        </w:rPr>
        <w:lastRenderedPageBreak/>
        <w:t>community in which the research will be conducted. The waiver of informed consent is not applicable to research involving children (subpart D), fetuses, pregnant women and human in vitro fertilization (subpart B) and research involving prisoners (subpart C).</w:t>
      </w:r>
    </w:p>
    <w:p w14:paraId="7A2D3B2E" w14:textId="1A03F17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Research that proceeds according to this pathway is subject to prospective</w:t>
      </w:r>
      <w:r w:rsidR="00E16F71"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approval, as opposed to Emergency Use research approved pursuant to 21 CFR §56.104(c).</w:t>
      </w:r>
    </w:p>
    <w:p w14:paraId="34444B4C" w14:textId="423069A0" w:rsidR="00FC174E" w:rsidRPr="00AA4677" w:rsidRDefault="00FC174E" w:rsidP="00C57C98">
      <w:pPr>
        <w:pStyle w:val="Heading3"/>
      </w:pPr>
      <w:r w:rsidRPr="00AA4677">
        <w:t>5.13.1 Planned Emergency Research</w:t>
      </w:r>
    </w:p>
    <w:p w14:paraId="3B09788E" w14:textId="5028259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FDA exception from informed consent requirements for emergency research under FDA regulations,</w:t>
      </w:r>
      <w:r w:rsidRPr="00AA4677">
        <w:rPr>
          <w:rFonts w:eastAsia="Times New Roman" w:cs="Times New Roman"/>
          <w:i/>
          <w:iCs/>
          <w:szCs w:val="24"/>
        </w:rPr>
        <w:t> 21 CFR 50.24, </w:t>
      </w:r>
      <w:r w:rsidRPr="00AA4677">
        <w:rPr>
          <w:rFonts w:eastAsia="Times New Roman" w:cs="Times New Roman"/>
          <w:szCs w:val="24"/>
        </w:rPr>
        <w:t>permits planned research in an emergency setting when human subjects who are in need of emergency medical intervention cannot provide legally effective informed consent and the timing of the intervention is such that obtaining informed consent from legally authorized representatives (LARs) is not possible.</w:t>
      </w:r>
    </w:p>
    <w:p w14:paraId="7562A02C"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Secretary of Health and Human Services (HHS) has implemented an Emergency Research Consent Waiver under </w:t>
      </w:r>
      <w:r w:rsidRPr="00AA4677">
        <w:rPr>
          <w:rFonts w:eastAsia="Times New Roman" w:cs="Times New Roman"/>
          <w:i/>
          <w:iCs/>
          <w:szCs w:val="24"/>
        </w:rPr>
        <w:t>45 CFR 46.101(i)</w:t>
      </w:r>
      <w:r w:rsidRPr="00AA4677">
        <w:rPr>
          <w:rFonts w:eastAsia="Times New Roman" w:cs="Times New Roman"/>
          <w:szCs w:val="24"/>
        </w:rPr>
        <w:t xml:space="preserve"> with provisions identical to those of the FDA </w:t>
      </w:r>
      <w:proofErr w:type="gramStart"/>
      <w:r w:rsidRPr="00AA4677">
        <w:rPr>
          <w:rFonts w:eastAsia="Times New Roman" w:cs="Times New Roman"/>
          <w:szCs w:val="24"/>
        </w:rPr>
        <w:t>with the exception of</w:t>
      </w:r>
      <w:proofErr w:type="gramEnd"/>
      <w:r w:rsidRPr="00AA4677">
        <w:rPr>
          <w:rFonts w:eastAsia="Times New Roman" w:cs="Times New Roman"/>
          <w:szCs w:val="24"/>
        </w:rPr>
        <w:t xml:space="preserve"> the IND/IDE requirement and the definition of family member includes spouses of brother/sisters. The waiver is not applicable to research involving prisoners, see </w:t>
      </w:r>
      <w:r w:rsidRPr="00AA4677">
        <w:rPr>
          <w:rFonts w:eastAsia="Times New Roman" w:cs="Times New Roman"/>
          <w:i/>
          <w:iCs/>
          <w:szCs w:val="24"/>
        </w:rPr>
        <w:t>45 CFR 46.101(i) &amp; 46.306(b).</w:t>
      </w:r>
    </w:p>
    <w:p w14:paraId="63A7A7DA" w14:textId="39061A72" w:rsidR="00FC174E" w:rsidRPr="00AA4677" w:rsidRDefault="00FC174E" w:rsidP="002853E1">
      <w:pPr>
        <w:pStyle w:val="ObservationDoDDeptofDefense"/>
        <w:ind w:left="0"/>
        <w:rPr>
          <w:rFonts w:cstheme="minorHAnsi"/>
          <w:color w:val="auto"/>
          <w:szCs w:val="24"/>
        </w:rPr>
      </w:pPr>
      <w:r w:rsidRPr="00AA4677">
        <w:rPr>
          <w:rFonts w:asciiTheme="minorHAnsi" w:hAnsiTheme="minorHAnsi" w:cstheme="minorHAnsi"/>
          <w:color w:val="auto"/>
          <w:sz w:val="24"/>
          <w:szCs w:val="24"/>
        </w:rPr>
        <w:t xml:space="preserve">An exception from consent in emergency medicine research supported by the </w:t>
      </w:r>
      <w:r w:rsidR="00BB7E44" w:rsidRPr="00AA4677">
        <w:rPr>
          <w:rFonts w:asciiTheme="minorHAnsi" w:hAnsiTheme="minorHAnsi" w:cstheme="minorHAnsi"/>
          <w:color w:val="auto"/>
          <w:sz w:val="24"/>
          <w:szCs w:val="24"/>
        </w:rPr>
        <w:t>Department of Defense (</w:t>
      </w:r>
      <w:r w:rsidRPr="00AA4677">
        <w:rPr>
          <w:rFonts w:asciiTheme="minorHAnsi" w:hAnsiTheme="minorHAnsi" w:cstheme="minorHAnsi"/>
          <w:color w:val="auto"/>
          <w:sz w:val="24"/>
          <w:szCs w:val="24"/>
        </w:rPr>
        <w:t>DoD</w:t>
      </w:r>
      <w:r w:rsidR="00BB7E44" w:rsidRPr="00AA4677">
        <w:rPr>
          <w:rFonts w:asciiTheme="minorHAnsi" w:hAnsiTheme="minorHAnsi" w:cstheme="minorHAnsi"/>
          <w:color w:val="auto"/>
          <w:sz w:val="24"/>
          <w:szCs w:val="24"/>
        </w:rPr>
        <w:t>)</w:t>
      </w:r>
      <w:r w:rsidRPr="00AA4677">
        <w:rPr>
          <w:rFonts w:asciiTheme="minorHAnsi" w:hAnsiTheme="minorHAnsi" w:cstheme="minorHAnsi"/>
          <w:color w:val="auto"/>
          <w:sz w:val="24"/>
          <w:szCs w:val="24"/>
        </w:rPr>
        <w:t xml:space="preserve"> is prohibited unless the Secretary of Defense</w:t>
      </w:r>
      <w:r w:rsidR="00971D69" w:rsidRPr="00AA4677">
        <w:rPr>
          <w:rFonts w:asciiTheme="minorHAnsi" w:hAnsiTheme="minorHAnsi" w:cstheme="minorHAnsi"/>
          <w:color w:val="auto"/>
          <w:sz w:val="24"/>
          <w:szCs w:val="24"/>
        </w:rPr>
        <w:t xml:space="preserve"> (or approval from the DOHRP on behalf of the Secretary of Defense)</w:t>
      </w:r>
      <w:r w:rsidR="00F35410" w:rsidRPr="00AA4677">
        <w:rPr>
          <w:rFonts w:asciiTheme="minorHAnsi" w:hAnsiTheme="minorHAnsi" w:cstheme="minorHAnsi"/>
          <w:color w:val="auto"/>
          <w:sz w:val="24"/>
          <w:szCs w:val="24"/>
        </w:rPr>
        <w:t xml:space="preserve"> approves a waiver of the</w:t>
      </w:r>
      <w:r w:rsidR="00E6098F" w:rsidRPr="00AA4677">
        <w:rPr>
          <w:rFonts w:asciiTheme="minorHAnsi" w:hAnsiTheme="minorHAnsi" w:cstheme="minorHAnsi"/>
          <w:color w:val="auto"/>
          <w:sz w:val="24"/>
          <w:szCs w:val="24"/>
        </w:rPr>
        <w:t xml:space="preserve"> informed consent </w:t>
      </w:r>
      <w:r w:rsidR="00F35410" w:rsidRPr="00AA4677">
        <w:rPr>
          <w:rFonts w:asciiTheme="minorHAnsi" w:hAnsiTheme="minorHAnsi" w:cstheme="minorHAnsi"/>
          <w:color w:val="auto"/>
          <w:sz w:val="24"/>
          <w:szCs w:val="24"/>
        </w:rPr>
        <w:t>(</w:t>
      </w:r>
      <w:r w:rsidR="00E6098F" w:rsidRPr="00AA4677">
        <w:rPr>
          <w:rFonts w:asciiTheme="minorHAnsi" w:hAnsiTheme="minorHAnsi" w:cstheme="minorHAnsi"/>
          <w:color w:val="auto"/>
          <w:sz w:val="24"/>
          <w:szCs w:val="24"/>
        </w:rPr>
        <w:t>provision of 10 USC 980</w:t>
      </w:r>
      <w:r w:rsidR="00F35410" w:rsidRPr="00AA4677">
        <w:rPr>
          <w:rFonts w:asciiTheme="minorHAnsi" w:hAnsiTheme="minorHAnsi" w:cstheme="minorHAnsi"/>
          <w:color w:val="auto"/>
          <w:sz w:val="24"/>
          <w:szCs w:val="24"/>
        </w:rPr>
        <w:t>)</w:t>
      </w:r>
      <w:r w:rsidR="00E6098F" w:rsidRPr="00AA4677">
        <w:rPr>
          <w:rFonts w:asciiTheme="minorHAnsi" w:hAnsiTheme="minorHAnsi" w:cstheme="minorHAnsi"/>
          <w:color w:val="auto"/>
          <w:sz w:val="24"/>
          <w:szCs w:val="24"/>
        </w:rPr>
        <w:t>.</w:t>
      </w:r>
    </w:p>
    <w:p w14:paraId="5B5C4E44" w14:textId="2452523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Most planned emergency research involves the use of an FDA regulated test article and therefore is subject to FDA regulations as listed above.  </w:t>
      </w:r>
      <w:r w:rsidR="00E16F71"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recommends </w:t>
      </w:r>
      <w:r w:rsidR="00E16F71" w:rsidRPr="00AA4677">
        <w:rPr>
          <w:rFonts w:eastAsia="Times New Roman" w:cs="Times New Roman"/>
          <w:szCs w:val="24"/>
        </w:rPr>
        <w:t>PIs</w:t>
      </w:r>
      <w:r w:rsidRPr="00AA4677">
        <w:rPr>
          <w:rFonts w:eastAsia="Times New Roman" w:cs="Times New Roman"/>
          <w:szCs w:val="24"/>
        </w:rPr>
        <w:t xml:space="preserve"> who are planning emergency research contact t</w:t>
      </w:r>
      <w:r w:rsidR="00E16F71" w:rsidRPr="00AA4677">
        <w:rPr>
          <w:rFonts w:eastAsia="Times New Roman" w:cs="Times New Roman"/>
          <w:szCs w:val="24"/>
        </w:rPr>
        <w:t>he ORC</w:t>
      </w:r>
      <w:r w:rsidRPr="00AA4677">
        <w:rPr>
          <w:rFonts w:eastAsia="Times New Roman" w:cs="Times New Roman"/>
          <w:szCs w:val="24"/>
        </w:rPr>
        <w:t xml:space="preserve"> for assistance at least 4-5 months prior to the planned start date. The requirements are very complex and include con</w:t>
      </w:r>
      <w:r w:rsidR="008E39C9" w:rsidRPr="00AA4677">
        <w:rPr>
          <w:rFonts w:eastAsia="Times New Roman" w:cs="Times New Roman"/>
          <w:szCs w:val="24"/>
        </w:rPr>
        <w:t>sultation within the University</w:t>
      </w:r>
      <w:r w:rsidRPr="00AA4677">
        <w:rPr>
          <w:rFonts w:eastAsia="Times New Roman" w:cs="Times New Roman"/>
          <w:szCs w:val="24"/>
        </w:rPr>
        <w:t>, the community in which the research is to be conducted, the FDA, and the Department of Health and Human Services (DHHS).</w:t>
      </w:r>
    </w:p>
    <w:p w14:paraId="7F337239" w14:textId="32B2793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These Emergency Research policies and procedures apply to Planned Emergency Research.  Planned Emergency Research is diff</w:t>
      </w:r>
      <w:r w:rsidR="008B0347" w:rsidRPr="00AA4677">
        <w:rPr>
          <w:rFonts w:eastAsia="Times New Roman" w:cs="Times New Roman"/>
          <w:szCs w:val="24"/>
        </w:rPr>
        <w:t>erent from Emergency</w:t>
      </w:r>
      <w:r w:rsidRPr="00AA4677">
        <w:rPr>
          <w:rFonts w:eastAsia="Times New Roman" w:cs="Times New Roman"/>
          <w:szCs w:val="24"/>
        </w:rPr>
        <w:t xml:space="preserve"> Use of a Test Article as regulated under FDA </w:t>
      </w:r>
      <w:r w:rsidRPr="00AA4677">
        <w:rPr>
          <w:rFonts w:eastAsia="Times New Roman" w:cs="Times New Roman"/>
          <w:i/>
          <w:iCs/>
          <w:szCs w:val="24"/>
        </w:rPr>
        <w:t>21 CFR 56.104(c).</w:t>
      </w:r>
    </w:p>
    <w:p w14:paraId="73B1E7A5" w14:textId="77777777" w:rsidR="00FC174E" w:rsidRPr="00AA4677" w:rsidRDefault="00FC174E" w:rsidP="001D3801">
      <w:pPr>
        <w:pStyle w:val="Heading4"/>
        <w:rPr>
          <w:sz w:val="27"/>
          <w:szCs w:val="27"/>
        </w:rPr>
      </w:pPr>
      <w:r w:rsidRPr="00AA4677">
        <w:t>5.13.1.1 Definition</w:t>
      </w:r>
    </w:p>
    <w:p w14:paraId="0B10975C" w14:textId="6048BCB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lastRenderedPageBreak/>
        <w:t>Planned Emergency Research</w:t>
      </w:r>
      <w:r w:rsidR="0072480F" w:rsidRPr="00AA4677">
        <w:rPr>
          <w:rFonts w:eastAsia="Times New Roman" w:cs="Times New Roman"/>
          <w:b/>
          <w:bCs/>
          <w:szCs w:val="24"/>
        </w:rPr>
        <w:t>:</w:t>
      </w:r>
      <w:r w:rsidR="008E39C9" w:rsidRPr="00AA4677">
        <w:rPr>
          <w:rFonts w:eastAsia="Times New Roman" w:cs="Times New Roman"/>
          <w:b/>
          <w:bCs/>
          <w:szCs w:val="24"/>
        </w:rPr>
        <w:t xml:space="preserve"> </w:t>
      </w:r>
      <w:proofErr w:type="gramStart"/>
      <w:r w:rsidR="0072480F" w:rsidRPr="00AA4677">
        <w:rPr>
          <w:rFonts w:eastAsia="Times New Roman" w:cs="Times New Roman"/>
          <w:bCs/>
          <w:szCs w:val="24"/>
        </w:rPr>
        <w:t>i</w:t>
      </w:r>
      <w:r w:rsidRPr="00AA4677">
        <w:rPr>
          <w:rFonts w:eastAsia="Times New Roman" w:cs="Times New Roman"/>
          <w:szCs w:val="24"/>
        </w:rPr>
        <w:t>nvolves</w:t>
      </w:r>
      <w:proofErr w:type="gramEnd"/>
      <w:r w:rsidRPr="00AA4677">
        <w:rPr>
          <w:rFonts w:eastAsia="Times New Roman" w:cs="Times New Roman"/>
          <w:szCs w:val="24"/>
        </w:rPr>
        <w:t xml:space="preserve"> subjects who, b</w:t>
      </w:r>
      <w:r w:rsidR="00BF7470" w:rsidRPr="00AA4677">
        <w:rPr>
          <w:rFonts w:eastAsia="Times New Roman" w:cs="Times New Roman"/>
          <w:szCs w:val="24"/>
        </w:rPr>
        <w:t>ecause of their condition (e.g.</w:t>
      </w:r>
      <w:r w:rsidRPr="00AA4677">
        <w:rPr>
          <w:rFonts w:eastAsia="Times New Roman" w:cs="Times New Roman"/>
          <w:szCs w:val="24"/>
        </w:rPr>
        <w:t xml:space="preserve"> unconsciousness) are in a life-threatening situation that makes intervention necessary, are unable to give informed consent, and to be effective, the intervention must need to be administered before obtaining informed consent from the subject’s legally authorized representative is reasonably possible.</w:t>
      </w:r>
    </w:p>
    <w:p w14:paraId="168B65FD" w14:textId="77777777" w:rsidR="00FC174E" w:rsidRPr="00AA4677" w:rsidRDefault="00FC174E" w:rsidP="001D3801">
      <w:pPr>
        <w:pStyle w:val="Heading4"/>
        <w:rPr>
          <w:sz w:val="27"/>
          <w:szCs w:val="27"/>
        </w:rPr>
      </w:pPr>
      <w:r w:rsidRPr="00AA4677">
        <w:t>5.13.1.2 Policy/Procedures</w:t>
      </w:r>
    </w:p>
    <w:p w14:paraId="7CD44BE9" w14:textId="11850C4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E1395" w:rsidRPr="00AA4677">
        <w:rPr>
          <w:rFonts w:eastAsia="Times New Roman" w:cs="Times New Roman"/>
          <w:szCs w:val="24"/>
        </w:rPr>
        <w:t xml:space="preserve"> </w:t>
      </w:r>
      <w:r w:rsidRPr="00AA4677">
        <w:rPr>
          <w:rFonts w:eastAsia="Times New Roman" w:cs="Times New Roman"/>
          <w:szCs w:val="24"/>
        </w:rPr>
        <w:t xml:space="preserve">committee that initially reviews and approves the planned emergency research may approve the study without requiring informed consent of all research subjects prior to initiating the research intervention if </w:t>
      </w:r>
      <w:r w:rsidR="00FE139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(that includes a member who is a licensed physician and who is not otherwise participating in the clinical trial) finds that the following criteria from FDA 21 CFR 50.24 have been met:</w:t>
      </w:r>
    </w:p>
    <w:p w14:paraId="777121E7" w14:textId="77777777" w:rsidR="00FC174E" w:rsidRPr="00AA4677" w:rsidRDefault="00FC174E" w:rsidP="00C129F1">
      <w:pPr>
        <w:numPr>
          <w:ilvl w:val="0"/>
          <w:numId w:val="2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human subjects are in a life-threatening situation, available treatments are unproven or unsatisfactory, and the collection of valid scientific evidence, which may include evidence obtained through randomized placebo-controlled investigations, is necessary to determine the safety and effectiveness of </w:t>
      </w:r>
      <w:proofErr w:type="gramStart"/>
      <w:r w:rsidRPr="00AA4677">
        <w:rPr>
          <w:rFonts w:eastAsia="Times New Roman" w:cs="Times New Roman"/>
          <w:szCs w:val="24"/>
        </w:rPr>
        <w:t>particular interventions</w:t>
      </w:r>
      <w:proofErr w:type="gramEnd"/>
      <w:r w:rsidRPr="00AA4677">
        <w:rPr>
          <w:rFonts w:eastAsia="Times New Roman" w:cs="Times New Roman"/>
          <w:szCs w:val="24"/>
        </w:rPr>
        <w:t>.</w:t>
      </w:r>
    </w:p>
    <w:p w14:paraId="4A2E8949" w14:textId="77777777" w:rsidR="00FC174E" w:rsidRPr="00AA4677" w:rsidRDefault="00FC174E" w:rsidP="00C129F1">
      <w:pPr>
        <w:numPr>
          <w:ilvl w:val="0"/>
          <w:numId w:val="23"/>
        </w:numPr>
        <w:shd w:val="clear" w:color="auto" w:fill="FFFFFF"/>
        <w:spacing w:after="0" w:line="240" w:lineRule="auto"/>
        <w:rPr>
          <w:rFonts w:eastAsia="Times New Roman" w:cs="Times New Roman"/>
          <w:szCs w:val="24"/>
        </w:rPr>
      </w:pPr>
      <w:r w:rsidRPr="00AA4677">
        <w:rPr>
          <w:rFonts w:eastAsia="Times New Roman" w:cs="Times New Roman"/>
          <w:szCs w:val="24"/>
        </w:rPr>
        <w:t>Obtaining informed consent is not feasible because:</w:t>
      </w:r>
    </w:p>
    <w:p w14:paraId="7655A4C9" w14:textId="77777777" w:rsidR="00FC174E" w:rsidRPr="00AA4677" w:rsidRDefault="00FC174E">
      <w:pPr>
        <w:numPr>
          <w:ilvl w:val="0"/>
          <w:numId w:val="280"/>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subjects will not be able to give their informed consent </w:t>
      </w:r>
      <w:proofErr w:type="gramStart"/>
      <w:r w:rsidRPr="00AA4677">
        <w:rPr>
          <w:rFonts w:eastAsia="Times New Roman" w:cs="Times New Roman"/>
          <w:szCs w:val="24"/>
        </w:rPr>
        <w:t>as a result of</w:t>
      </w:r>
      <w:proofErr w:type="gramEnd"/>
      <w:r w:rsidRPr="00AA4677">
        <w:rPr>
          <w:rFonts w:eastAsia="Times New Roman" w:cs="Times New Roman"/>
          <w:szCs w:val="24"/>
        </w:rPr>
        <w:t xml:space="preserve"> their medical </w:t>
      </w:r>
      <w:proofErr w:type="gramStart"/>
      <w:r w:rsidRPr="00AA4677">
        <w:rPr>
          <w:rFonts w:eastAsia="Times New Roman" w:cs="Times New Roman"/>
          <w:szCs w:val="24"/>
        </w:rPr>
        <w:t>condition;</w:t>
      </w:r>
      <w:proofErr w:type="gramEnd"/>
    </w:p>
    <w:p w14:paraId="4E9FA91B" w14:textId="77777777" w:rsidR="00FC174E" w:rsidRPr="00AA4677" w:rsidRDefault="00FC174E">
      <w:pPr>
        <w:numPr>
          <w:ilvl w:val="0"/>
          <w:numId w:val="280"/>
        </w:numPr>
        <w:shd w:val="clear" w:color="auto" w:fill="FFFFFF"/>
        <w:spacing w:after="0" w:line="240" w:lineRule="auto"/>
        <w:rPr>
          <w:rFonts w:eastAsia="Times New Roman" w:cs="Times New Roman"/>
          <w:szCs w:val="24"/>
        </w:rPr>
      </w:pPr>
      <w:r w:rsidRPr="00AA4677">
        <w:rPr>
          <w:rFonts w:eastAsia="Times New Roman" w:cs="Times New Roman"/>
          <w:szCs w:val="24"/>
        </w:rPr>
        <w:t>The intervention under investigation must be administered before consent from the subjects' legally authorized representatives is feasible; and</w:t>
      </w:r>
    </w:p>
    <w:p w14:paraId="5E2754D6" w14:textId="77777777" w:rsidR="00FC174E" w:rsidRPr="00AA4677" w:rsidRDefault="00FC174E">
      <w:pPr>
        <w:numPr>
          <w:ilvl w:val="0"/>
          <w:numId w:val="280"/>
        </w:numPr>
        <w:shd w:val="clear" w:color="auto" w:fill="FFFFFF"/>
        <w:spacing w:after="0" w:line="240" w:lineRule="auto"/>
        <w:rPr>
          <w:rFonts w:eastAsia="Times New Roman" w:cs="Times New Roman"/>
          <w:szCs w:val="24"/>
        </w:rPr>
      </w:pPr>
      <w:r w:rsidRPr="00AA4677">
        <w:rPr>
          <w:rFonts w:eastAsia="Times New Roman" w:cs="Times New Roman"/>
          <w:szCs w:val="24"/>
        </w:rPr>
        <w:t>There is no reasonable way to identify prospectively the individuals likely to become eligible for participation in the clinical investigation.</w:t>
      </w:r>
    </w:p>
    <w:p w14:paraId="25EE8264" w14:textId="77777777" w:rsidR="00FC174E" w:rsidRPr="00AA4677" w:rsidRDefault="00FC174E" w:rsidP="00C129F1">
      <w:pPr>
        <w:numPr>
          <w:ilvl w:val="0"/>
          <w:numId w:val="23"/>
        </w:numPr>
        <w:shd w:val="clear" w:color="auto" w:fill="FFFFFF"/>
        <w:spacing w:after="0" w:line="240" w:lineRule="auto"/>
        <w:rPr>
          <w:rFonts w:eastAsia="Times New Roman" w:cs="Times New Roman"/>
          <w:szCs w:val="24"/>
        </w:rPr>
      </w:pPr>
      <w:r w:rsidRPr="00AA4677">
        <w:rPr>
          <w:rFonts w:eastAsia="Times New Roman" w:cs="Times New Roman"/>
          <w:szCs w:val="24"/>
        </w:rPr>
        <w:t>Participation in the research holds out the prospect of direct benefit to the subjects because:</w:t>
      </w:r>
    </w:p>
    <w:p w14:paraId="4A0CF857" w14:textId="77777777" w:rsidR="00FC174E" w:rsidRPr="00AA4677" w:rsidRDefault="00FC174E">
      <w:pPr>
        <w:numPr>
          <w:ilvl w:val="0"/>
          <w:numId w:val="279"/>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Subjects are facing a life-threatening situation that necessitates </w:t>
      </w:r>
      <w:proofErr w:type="gramStart"/>
      <w:r w:rsidRPr="00AA4677">
        <w:rPr>
          <w:rFonts w:eastAsia="Times New Roman" w:cs="Times New Roman"/>
          <w:szCs w:val="24"/>
        </w:rPr>
        <w:t>intervention;</w:t>
      </w:r>
      <w:proofErr w:type="gramEnd"/>
    </w:p>
    <w:p w14:paraId="6E9FFC6B" w14:textId="77777777" w:rsidR="00FC174E" w:rsidRPr="00AA4677" w:rsidRDefault="00FC174E">
      <w:pPr>
        <w:numPr>
          <w:ilvl w:val="0"/>
          <w:numId w:val="279"/>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Appropriate animal and other preclinical studies have been conducted, and the information derived from those studies and related evidence </w:t>
      </w:r>
      <w:proofErr w:type="gramStart"/>
      <w:r w:rsidRPr="00AA4677">
        <w:rPr>
          <w:rFonts w:eastAsia="Times New Roman" w:cs="Times New Roman"/>
          <w:szCs w:val="24"/>
        </w:rPr>
        <w:t>support</w:t>
      </w:r>
      <w:proofErr w:type="gramEnd"/>
      <w:r w:rsidRPr="00AA4677">
        <w:rPr>
          <w:rFonts w:eastAsia="Times New Roman" w:cs="Times New Roman"/>
          <w:szCs w:val="24"/>
        </w:rPr>
        <w:t xml:space="preserve"> the potential for the intervention to provide a direct benefit to the individual subjects; and</w:t>
      </w:r>
    </w:p>
    <w:p w14:paraId="0AA37469" w14:textId="77777777" w:rsidR="00FC174E" w:rsidRPr="00AA4677" w:rsidRDefault="00FC174E">
      <w:pPr>
        <w:numPr>
          <w:ilvl w:val="0"/>
          <w:numId w:val="279"/>
        </w:numPr>
        <w:shd w:val="clear" w:color="auto" w:fill="FFFFFF"/>
        <w:spacing w:after="0" w:line="240" w:lineRule="auto"/>
        <w:rPr>
          <w:rFonts w:eastAsia="Times New Roman" w:cs="Times New Roman"/>
          <w:szCs w:val="24"/>
        </w:rPr>
      </w:pPr>
      <w:r w:rsidRPr="00AA4677">
        <w:rPr>
          <w:rFonts w:eastAsia="Times New Roman" w:cs="Times New Roman"/>
          <w:szCs w:val="24"/>
        </w:rPr>
        <w:t>Risks associated with the investigation are reasonable in relation to what is known about the medical condition of the potential class of subjects, the risks and benefits of standard therapy, if any, and what is known about the risks and benefits of the proposed intervention or activity.</w:t>
      </w:r>
    </w:p>
    <w:p w14:paraId="3BB58409" w14:textId="77777777" w:rsidR="00FC174E" w:rsidRPr="00AA4677" w:rsidRDefault="00FC174E" w:rsidP="00C129F1">
      <w:pPr>
        <w:numPr>
          <w:ilvl w:val="0"/>
          <w:numId w:val="23"/>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clinical investigation could not </w:t>
      </w:r>
      <w:proofErr w:type="gramStart"/>
      <w:r w:rsidRPr="00AA4677">
        <w:rPr>
          <w:rFonts w:eastAsia="Times New Roman" w:cs="Times New Roman"/>
          <w:szCs w:val="24"/>
        </w:rPr>
        <w:t>practicably</w:t>
      </w:r>
      <w:proofErr w:type="gramEnd"/>
      <w:r w:rsidRPr="00AA4677">
        <w:rPr>
          <w:rFonts w:eastAsia="Times New Roman" w:cs="Times New Roman"/>
          <w:szCs w:val="24"/>
        </w:rPr>
        <w:t xml:space="preserve"> be carried out without the waiver.</w:t>
      </w:r>
    </w:p>
    <w:p w14:paraId="3D972755" w14:textId="3833AF1E" w:rsidR="00FC174E" w:rsidRPr="00AA4677" w:rsidRDefault="00FC174E" w:rsidP="00C129F1">
      <w:pPr>
        <w:numPr>
          <w:ilvl w:val="0"/>
          <w:numId w:val="2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proposed investigational plan defines the length of the potential therapeutic window based on scientific evidence, and the investigator has committed to attempting to contact a legally authorized representative for each subject within that window of time and, if feasible, to </w:t>
      </w:r>
      <w:proofErr w:type="gramStart"/>
      <w:r w:rsidRPr="00AA4677">
        <w:rPr>
          <w:rFonts w:eastAsia="Times New Roman" w:cs="Times New Roman"/>
          <w:szCs w:val="24"/>
        </w:rPr>
        <w:t>asking</w:t>
      </w:r>
      <w:proofErr w:type="gramEnd"/>
      <w:r w:rsidRPr="00AA4677">
        <w:rPr>
          <w:rFonts w:eastAsia="Times New Roman" w:cs="Times New Roman"/>
          <w:szCs w:val="24"/>
        </w:rPr>
        <w:t xml:space="preserve"> the legally authorized representative </w:t>
      </w:r>
      <w:proofErr w:type="gramStart"/>
      <w:r w:rsidRPr="00AA4677">
        <w:rPr>
          <w:rFonts w:eastAsia="Times New Roman" w:cs="Times New Roman"/>
          <w:szCs w:val="24"/>
        </w:rPr>
        <w:t>contacted</w:t>
      </w:r>
      <w:proofErr w:type="gramEnd"/>
      <w:r w:rsidRPr="00AA4677">
        <w:rPr>
          <w:rFonts w:eastAsia="Times New Roman" w:cs="Times New Roman"/>
          <w:szCs w:val="24"/>
        </w:rPr>
        <w:t xml:space="preserve"> for consent within that window </w:t>
      </w:r>
      <w:r w:rsidRPr="00AA4677">
        <w:rPr>
          <w:rFonts w:eastAsia="Times New Roman" w:cs="Times New Roman"/>
          <w:szCs w:val="24"/>
        </w:rPr>
        <w:lastRenderedPageBreak/>
        <w:t xml:space="preserve">rather than proceeding without consent. The investigator will summarize efforts made to contact legally authorized representatives and make this information available to </w:t>
      </w:r>
      <w:r w:rsidR="00FE139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at the time of continuing review.</w:t>
      </w:r>
    </w:p>
    <w:p w14:paraId="6ACCCE74" w14:textId="44BEAEBC" w:rsidR="00FC174E" w:rsidRPr="00AA4677" w:rsidRDefault="00FE1395" w:rsidP="00C129F1">
      <w:pPr>
        <w:numPr>
          <w:ilvl w:val="0"/>
          <w:numId w:val="2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has reviewed and approved informed consent procedures and an informed consent document consistent with 21 CFR 50.25</w:t>
      </w:r>
      <w:r w:rsidR="00D65EF7" w:rsidRPr="00AA4677">
        <w:rPr>
          <w:rFonts w:eastAsia="Times New Roman" w:cs="Times New Roman"/>
          <w:szCs w:val="24"/>
        </w:rPr>
        <w:t xml:space="preserve"> and 45 CFR 46.116 and 46.117</w:t>
      </w:r>
      <w:r w:rsidR="00FC174E" w:rsidRPr="00AA4677">
        <w:rPr>
          <w:rFonts w:eastAsia="Times New Roman" w:cs="Times New Roman"/>
          <w:szCs w:val="24"/>
        </w:rPr>
        <w:t xml:space="preserve">. These procedures and the informed consent document are to be used with subjects or their legally authorized representatives in situations where use of such procedures and documents is feasible. </w:t>
      </w: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has reviewed and approved procedures and information to be used when providing an opportunity for a family member to object to a subject's participation in the clinical investigation consistent with p</w:t>
      </w:r>
      <w:r w:rsidR="004C1406" w:rsidRPr="00AA4677">
        <w:rPr>
          <w:rFonts w:eastAsia="Times New Roman" w:cs="Times New Roman"/>
          <w:szCs w:val="24"/>
        </w:rPr>
        <w:t>aragraph 7(e</w:t>
      </w:r>
      <w:r w:rsidR="00FC174E" w:rsidRPr="00AA4677">
        <w:rPr>
          <w:rFonts w:eastAsia="Times New Roman" w:cs="Times New Roman"/>
          <w:szCs w:val="24"/>
        </w:rPr>
        <w:t>) of this section.</w:t>
      </w:r>
    </w:p>
    <w:p w14:paraId="4E192B88" w14:textId="77777777" w:rsidR="00FC174E" w:rsidRPr="00AA4677" w:rsidRDefault="00FC174E" w:rsidP="00C129F1">
      <w:pPr>
        <w:numPr>
          <w:ilvl w:val="0"/>
          <w:numId w:val="23"/>
        </w:numPr>
        <w:shd w:val="clear" w:color="auto" w:fill="FFFFFF"/>
        <w:spacing w:after="0" w:line="240" w:lineRule="auto"/>
        <w:rPr>
          <w:rFonts w:eastAsia="Times New Roman" w:cs="Times New Roman"/>
          <w:szCs w:val="24"/>
        </w:rPr>
      </w:pPr>
      <w:r w:rsidRPr="00AA4677">
        <w:rPr>
          <w:rFonts w:eastAsia="Times New Roman" w:cs="Times New Roman"/>
          <w:szCs w:val="24"/>
        </w:rPr>
        <w:t>Additional protections of the rights and welfare of the subjects will be provided, including, at least:</w:t>
      </w:r>
    </w:p>
    <w:p w14:paraId="36A7CFC2" w14:textId="5E21E3F1" w:rsidR="00FC174E" w:rsidRPr="00AA4677" w:rsidRDefault="00FC174E">
      <w:pPr>
        <w:numPr>
          <w:ilvl w:val="0"/>
          <w:numId w:val="278"/>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Consultation (including, where appropriate, consultation carried out by </w:t>
      </w:r>
      <w:r w:rsidR="00FE139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with representatives of the communities in which the clinical investigation will be conducted and from which the subjects will be </w:t>
      </w:r>
      <w:proofErr w:type="gramStart"/>
      <w:r w:rsidRPr="00AA4677">
        <w:rPr>
          <w:rFonts w:eastAsia="Times New Roman" w:cs="Times New Roman"/>
          <w:szCs w:val="24"/>
        </w:rPr>
        <w:t>drawn;</w:t>
      </w:r>
      <w:proofErr w:type="gramEnd"/>
    </w:p>
    <w:p w14:paraId="5EDA06AA" w14:textId="77777777" w:rsidR="00FC174E" w:rsidRPr="00AA4677" w:rsidRDefault="00FC174E">
      <w:pPr>
        <w:numPr>
          <w:ilvl w:val="0"/>
          <w:numId w:val="278"/>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Public disclosure to the communities in which the clinical investigation will be conducted and from which the subjects will be drawn, prior to initiation of the clinical investigation, of plans for the investigation and its risks and expected </w:t>
      </w:r>
      <w:proofErr w:type="gramStart"/>
      <w:r w:rsidRPr="00AA4677">
        <w:rPr>
          <w:rFonts w:eastAsia="Times New Roman" w:cs="Times New Roman"/>
          <w:szCs w:val="24"/>
        </w:rPr>
        <w:t>benefits;</w:t>
      </w:r>
      <w:proofErr w:type="gramEnd"/>
    </w:p>
    <w:p w14:paraId="6D3E82A5" w14:textId="52DF45A4" w:rsidR="00FC174E" w:rsidRPr="00AA4677" w:rsidRDefault="00FC174E">
      <w:pPr>
        <w:numPr>
          <w:ilvl w:val="0"/>
          <w:numId w:val="278"/>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Public disclosure of sufficient information following completion of the clinical investigation to apprise the community and </w:t>
      </w:r>
      <w:r w:rsidR="000216F7" w:rsidRPr="00AA4677">
        <w:rPr>
          <w:rFonts w:eastAsia="Times New Roman" w:cs="Times New Roman"/>
          <w:szCs w:val="24"/>
        </w:rPr>
        <w:t>investigators</w:t>
      </w:r>
      <w:r w:rsidRPr="00AA4677">
        <w:rPr>
          <w:rFonts w:eastAsia="Times New Roman" w:cs="Times New Roman"/>
          <w:szCs w:val="24"/>
        </w:rPr>
        <w:t xml:space="preserve"> of the study, including the demographic characteristics of the research population, and its </w:t>
      </w:r>
      <w:proofErr w:type="gramStart"/>
      <w:r w:rsidRPr="00AA4677">
        <w:rPr>
          <w:rFonts w:eastAsia="Times New Roman" w:cs="Times New Roman"/>
          <w:szCs w:val="24"/>
        </w:rPr>
        <w:t>results;</w:t>
      </w:r>
      <w:proofErr w:type="gramEnd"/>
    </w:p>
    <w:p w14:paraId="1226DA72" w14:textId="77777777" w:rsidR="00FC174E" w:rsidRPr="00AA4677" w:rsidRDefault="00FC174E">
      <w:pPr>
        <w:numPr>
          <w:ilvl w:val="0"/>
          <w:numId w:val="278"/>
        </w:numPr>
        <w:shd w:val="clear" w:color="auto" w:fill="FFFFFF"/>
        <w:spacing w:after="0" w:line="240" w:lineRule="auto"/>
        <w:rPr>
          <w:rFonts w:eastAsia="Times New Roman" w:cs="Times New Roman"/>
          <w:szCs w:val="24"/>
        </w:rPr>
      </w:pPr>
      <w:r w:rsidRPr="00AA4677">
        <w:rPr>
          <w:rFonts w:eastAsia="Times New Roman" w:cs="Times New Roman"/>
          <w:szCs w:val="24"/>
        </w:rPr>
        <w:t>Establishment of an independent data monitoring committee to exercise oversight of the clinical investigation; and</w:t>
      </w:r>
    </w:p>
    <w:p w14:paraId="77970D78" w14:textId="0CC72CBA" w:rsidR="00FC174E" w:rsidRPr="00AA4677" w:rsidRDefault="00FC174E">
      <w:pPr>
        <w:numPr>
          <w:ilvl w:val="0"/>
          <w:numId w:val="278"/>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If obtaining informed consent is not feasible and a legally authorized representative is not reasonably available, the investigator has committed, if feasible, to attempting to contact within the therapeutic window the subject's family member who is not a legally authorized </w:t>
      </w:r>
      <w:proofErr w:type="gramStart"/>
      <w:r w:rsidRPr="00AA4677">
        <w:rPr>
          <w:rFonts w:eastAsia="Times New Roman" w:cs="Times New Roman"/>
          <w:szCs w:val="24"/>
        </w:rPr>
        <w:t>representative, and</w:t>
      </w:r>
      <w:proofErr w:type="gramEnd"/>
      <w:r w:rsidRPr="00AA4677">
        <w:rPr>
          <w:rFonts w:eastAsia="Times New Roman" w:cs="Times New Roman"/>
          <w:szCs w:val="24"/>
        </w:rPr>
        <w:t xml:space="preserve"> asking whether he or she objects to the subject's participation in the clinical investigation. The investigator will summarize efforts made to contact family members and make this information available to </w:t>
      </w:r>
      <w:r w:rsidR="00FE139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at the time of continuing review.</w:t>
      </w:r>
    </w:p>
    <w:p w14:paraId="78ECAE6D" w14:textId="647BE80D" w:rsidR="00FC174E" w:rsidRPr="00AA4677" w:rsidRDefault="00FE1395" w:rsidP="00C129F1">
      <w:pPr>
        <w:numPr>
          <w:ilvl w:val="0"/>
          <w:numId w:val="23"/>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is responsible for ensuring that procedures are in place to inform, at the earliest feasible opportunity, each subject, or if the subject remains incapacitated, a legally authorized representative of the subject, or if such a representative is not reasonably available, a family member, of the subject's inclusion in the clinical investigation, the details of the investigation and other information contained in the informed consent document. </w:t>
      </w: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shall also ensure that there is a procedure to inform the subject, or if the subject remains incapacitated, a legally authorized representative of the subject, or if such a representative is not reasonably available, a family member, that he or she may discontinue the subject's participation at any time without penalty or loss of benefits to which the subject is otherwise entitled. If a legally authorized representative or family member is told about the clinical investigation and the </w:t>
      </w:r>
      <w:r w:rsidR="00FC174E" w:rsidRPr="00AA4677">
        <w:rPr>
          <w:rFonts w:eastAsia="Times New Roman" w:cs="Times New Roman"/>
          <w:szCs w:val="24"/>
        </w:rPr>
        <w:lastRenderedPageBreak/>
        <w:t>subject's condition improves, the subject is also to be informed as soon as feasible. If a subject is entered into a clinical investigation with waived consent and the subject dies before a legally authorized representative or family member can be contacted, information about the clinical investigation is to be provided to the subject's legally authorized representative or family member, if feasible.</w:t>
      </w:r>
    </w:p>
    <w:p w14:paraId="2AEC72ED" w14:textId="19FCA2BF" w:rsidR="00FC174E" w:rsidRPr="00AA4677" w:rsidRDefault="00FE1395" w:rsidP="00C129F1">
      <w:pPr>
        <w:numPr>
          <w:ilvl w:val="0"/>
          <w:numId w:val="2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determinations required by this section and the documentation required by this section are to be retained by </w:t>
      </w: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for at least </w:t>
      </w:r>
      <w:r w:rsidRPr="00AA4677">
        <w:rPr>
          <w:rFonts w:eastAsia="Times New Roman" w:cs="Times New Roman"/>
          <w:szCs w:val="24"/>
        </w:rPr>
        <w:t>three (3)</w:t>
      </w:r>
      <w:r w:rsidR="00FC174E" w:rsidRPr="00AA4677">
        <w:rPr>
          <w:rFonts w:eastAsia="Times New Roman" w:cs="Times New Roman"/>
          <w:szCs w:val="24"/>
        </w:rPr>
        <w:t xml:space="preserve"> years after completion of the clinical investigation, and the records shall be accessible for inspection and copying by FDA in accordance with 21 CFR 56.115(b).</w:t>
      </w:r>
    </w:p>
    <w:p w14:paraId="4C01B428" w14:textId="77777777" w:rsidR="00FC174E" w:rsidRPr="00AA4677" w:rsidRDefault="00FC174E" w:rsidP="00C129F1">
      <w:pPr>
        <w:numPr>
          <w:ilvl w:val="0"/>
          <w:numId w:val="2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Protocols involving an exception to the informed consent requirement under this section must be performed under a separate investigational new drug application (IND) or investigational device exemption (IDE) that clearly identifies such protocols as protocols that may include subjects who are unable to consent. The submission of those protocols in a separate IND/IDE is required even if an IND for the same drug product or an IDE for the same device already exists. Applications for investigations under this section may not be submitted as amendments under 21 CFR 312.30 or 21 CFR 812.35.</w:t>
      </w:r>
    </w:p>
    <w:p w14:paraId="78693600" w14:textId="2FB56113" w:rsidR="00FC174E" w:rsidRPr="00AA4677" w:rsidRDefault="00FC174E" w:rsidP="00C129F1">
      <w:pPr>
        <w:numPr>
          <w:ilvl w:val="0"/>
          <w:numId w:val="2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w:t>
      </w:r>
      <w:r w:rsidR="00FE139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determines that it cannot approve a clinical investigation because the investigation does not meet the criteria in the exception provided under this section or because of other relevant ethical concerns, </w:t>
      </w:r>
      <w:r w:rsidR="00FE139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must document its findings and provide these findings promptly in writing to the clinical investigator and to the sponsor of the clinical investigation. The sponsor of the clinical investigation must promptly disclose this information to FDA and to the sponsor's clinical investigators who are participating or are asked to participate in this or a substantially equivalent clinical investigation of the sponsor, and to other IRBs that have been, or are, asked to review this or a substantially equivalent investigation by that sponsor.</w:t>
      </w:r>
    </w:p>
    <w:p w14:paraId="7749852C" w14:textId="77777777" w:rsidR="00FC174E" w:rsidRPr="00AA4677" w:rsidRDefault="00FC174E" w:rsidP="001D3801">
      <w:pPr>
        <w:pStyle w:val="Heading4"/>
        <w:rPr>
          <w:sz w:val="27"/>
          <w:szCs w:val="27"/>
        </w:rPr>
      </w:pPr>
      <w:r w:rsidRPr="00AA4677">
        <w:t>5.13.1.3 Community Consultation</w:t>
      </w:r>
    </w:p>
    <w:p w14:paraId="5A86EDD5" w14:textId="5C59DF5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Community Consultation is an extremely important requirement for conducting planned emergency research.  The community in which the research is to take place and the </w:t>
      </w:r>
      <w:proofErr w:type="gramStart"/>
      <w:r w:rsidRPr="00AA4677">
        <w:rPr>
          <w:rFonts w:eastAsia="Times New Roman" w:cs="Times New Roman"/>
          <w:szCs w:val="24"/>
        </w:rPr>
        <w:t>persons</w:t>
      </w:r>
      <w:proofErr w:type="gramEnd"/>
      <w:r w:rsidRPr="00AA4677">
        <w:rPr>
          <w:rFonts w:eastAsia="Times New Roman" w:cs="Times New Roman"/>
          <w:szCs w:val="24"/>
        </w:rPr>
        <w:t xml:space="preserve"> that would likely be affected by the research must be informed and must agree that it is acceptable to begin the planned emergency research.  Consultation with the community must be conducted prior to full approval by </w:t>
      </w:r>
      <w:r w:rsidR="00FE139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w:t>
      </w:r>
    </w:p>
    <w:p w14:paraId="055EE02C" w14:textId="77777777" w:rsidR="00FC174E" w:rsidRPr="00AA4677" w:rsidRDefault="00FC174E" w:rsidP="0039221F">
      <w:pPr>
        <w:shd w:val="clear" w:color="auto" w:fill="FFFFFF"/>
        <w:spacing w:after="0" w:line="240" w:lineRule="auto"/>
        <w:rPr>
          <w:rFonts w:eastAsia="Times New Roman" w:cs="Times New Roman"/>
          <w:szCs w:val="24"/>
        </w:rPr>
      </w:pPr>
      <w:r w:rsidRPr="00AA4677">
        <w:rPr>
          <w:rFonts w:eastAsia="Times New Roman" w:cs="Times New Roman"/>
          <w:szCs w:val="24"/>
        </w:rPr>
        <w:t>Depending on the nature of the research, community consultation may consist of any of the following activities:</w:t>
      </w:r>
    </w:p>
    <w:p w14:paraId="23CA98A8" w14:textId="77777777" w:rsidR="00FC174E" w:rsidRPr="00AA4677" w:rsidRDefault="00FC174E">
      <w:pPr>
        <w:numPr>
          <w:ilvl w:val="0"/>
          <w:numId w:val="209"/>
        </w:numPr>
        <w:shd w:val="clear" w:color="auto" w:fill="FFFFFF"/>
        <w:spacing w:after="0" w:line="240" w:lineRule="auto"/>
        <w:rPr>
          <w:rFonts w:eastAsia="Times New Roman" w:cs="Times New Roman"/>
          <w:szCs w:val="24"/>
        </w:rPr>
      </w:pPr>
      <w:r w:rsidRPr="00AA4677">
        <w:rPr>
          <w:rFonts w:eastAsia="Times New Roman" w:cs="Times New Roman"/>
          <w:szCs w:val="24"/>
        </w:rPr>
        <w:t>survey(s</w:t>
      </w:r>
      <w:proofErr w:type="gramStart"/>
      <w:r w:rsidRPr="00AA4677">
        <w:rPr>
          <w:rFonts w:eastAsia="Times New Roman" w:cs="Times New Roman"/>
          <w:szCs w:val="24"/>
        </w:rPr>
        <w:t>);</w:t>
      </w:r>
      <w:proofErr w:type="gramEnd"/>
    </w:p>
    <w:p w14:paraId="2E4F2000" w14:textId="608A42B6" w:rsidR="00FC174E" w:rsidRPr="00AA4677" w:rsidRDefault="00FE1395">
      <w:pPr>
        <w:numPr>
          <w:ilvl w:val="0"/>
          <w:numId w:val="209"/>
        </w:numPr>
        <w:shd w:val="clear" w:color="auto" w:fill="FFFFFF"/>
        <w:spacing w:after="0" w:line="240" w:lineRule="auto"/>
        <w:rPr>
          <w:rFonts w:eastAsia="Times New Roman" w:cs="Times New Roman"/>
          <w:szCs w:val="24"/>
        </w:rPr>
      </w:pPr>
      <w:r w:rsidRPr="00AA4677">
        <w:rPr>
          <w:rFonts w:eastAsia="Times New Roman" w:cs="Times New Roman"/>
          <w:szCs w:val="24"/>
        </w:rPr>
        <w:t>questionnaire(s</w:t>
      </w:r>
      <w:proofErr w:type="gramStart"/>
      <w:r w:rsidRPr="00AA4677">
        <w:rPr>
          <w:rFonts w:eastAsia="Times New Roman" w:cs="Times New Roman"/>
          <w:szCs w:val="24"/>
        </w:rPr>
        <w:t>);</w:t>
      </w:r>
      <w:proofErr w:type="gramEnd"/>
    </w:p>
    <w:p w14:paraId="2C8B77F8" w14:textId="332E3694" w:rsidR="00FC174E" w:rsidRPr="00AA4677" w:rsidRDefault="00FC174E">
      <w:pPr>
        <w:numPr>
          <w:ilvl w:val="0"/>
          <w:numId w:val="209"/>
        </w:numPr>
        <w:shd w:val="clear" w:color="auto" w:fill="FFFFFF"/>
        <w:spacing w:after="0" w:line="240" w:lineRule="auto"/>
        <w:rPr>
          <w:rFonts w:eastAsia="Times New Roman" w:cs="Times New Roman"/>
          <w:szCs w:val="24"/>
        </w:rPr>
      </w:pPr>
      <w:r w:rsidRPr="00AA4677">
        <w:rPr>
          <w:rFonts w:eastAsia="Times New Roman" w:cs="Times New Roman"/>
          <w:szCs w:val="24"/>
        </w:rPr>
        <w:t>focus groups</w:t>
      </w:r>
      <w:r w:rsidR="00FE1395" w:rsidRPr="00AA4677">
        <w:rPr>
          <w:rFonts w:eastAsia="Times New Roman" w:cs="Times New Roman"/>
          <w:szCs w:val="24"/>
        </w:rPr>
        <w:t>;</w:t>
      </w:r>
      <w:r w:rsidRPr="00AA4677">
        <w:rPr>
          <w:rFonts w:eastAsia="Times New Roman" w:cs="Times New Roman"/>
          <w:szCs w:val="24"/>
        </w:rPr>
        <w:t xml:space="preserve"> and</w:t>
      </w:r>
    </w:p>
    <w:p w14:paraId="7D862202" w14:textId="77777777" w:rsidR="00FC174E" w:rsidRPr="00AA4677" w:rsidRDefault="00FC174E">
      <w:pPr>
        <w:numPr>
          <w:ilvl w:val="0"/>
          <w:numId w:val="209"/>
        </w:numPr>
        <w:shd w:val="clear" w:color="auto" w:fill="FFFFFF"/>
        <w:spacing w:after="0" w:line="240" w:lineRule="auto"/>
        <w:rPr>
          <w:rFonts w:eastAsia="Times New Roman" w:cs="Times New Roman"/>
          <w:szCs w:val="24"/>
        </w:rPr>
      </w:pPr>
      <w:r w:rsidRPr="00AA4677">
        <w:rPr>
          <w:rFonts w:eastAsia="Times New Roman" w:cs="Times New Roman"/>
          <w:szCs w:val="24"/>
        </w:rPr>
        <w:t>Community meetings.</w:t>
      </w:r>
    </w:p>
    <w:p w14:paraId="1DD39A6B" w14:textId="7ED99A0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The content of these activities/meetings must be reviewed and agreed upon prior to conducting the consultations by the </w:t>
      </w:r>
      <w:r w:rsidR="00EE7207" w:rsidRPr="00AA4677">
        <w:rPr>
          <w:rFonts w:eastAsia="Times New Roman" w:cs="Times New Roman"/>
          <w:szCs w:val="24"/>
        </w:rPr>
        <w:t>IRB</w:t>
      </w:r>
      <w:r w:rsidR="00FE1395" w:rsidRPr="00AA4677">
        <w:rPr>
          <w:rFonts w:eastAsia="Times New Roman" w:cs="Times New Roman"/>
          <w:szCs w:val="24"/>
        </w:rPr>
        <w:t xml:space="preserve"> C</w:t>
      </w:r>
      <w:r w:rsidRPr="00AA4677">
        <w:rPr>
          <w:rFonts w:eastAsia="Times New Roman" w:cs="Times New Roman"/>
          <w:szCs w:val="24"/>
        </w:rPr>
        <w:t>hair or designee and the IO or designee.  </w:t>
      </w:r>
    </w:p>
    <w:p w14:paraId="59D7BFBB" w14:textId="1490810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order to facilitate educating, informing and publicly disclosing the plans for the investigation and its risks and expected benefits to the community in which the clinical investigation will be conducted, and from which the subjects will be drawn, every effort must be made to engage a representative sampling of persons or organizations in the affected community consultation process to obtain their input and agreement that the research should go forward. </w:t>
      </w:r>
      <w:r w:rsidR="00FE139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cannot approve Planned Emergency Research without this part of the process being completed in a thorough manner. All community meetings must include the Principal Investigator</w:t>
      </w:r>
      <w:r w:rsidR="004C1406" w:rsidRPr="00AA4677">
        <w:rPr>
          <w:rFonts w:eastAsia="Times New Roman" w:cs="Times New Roman"/>
          <w:szCs w:val="24"/>
        </w:rPr>
        <w:t>. A</w:t>
      </w:r>
      <w:r w:rsidRPr="00AA4677">
        <w:rPr>
          <w:rFonts w:eastAsia="Times New Roman" w:cs="Times New Roman"/>
          <w:szCs w:val="24"/>
        </w:rPr>
        <w:t xml:space="preserve"> representative from the </w:t>
      </w:r>
      <w:r w:rsidR="00FE1395" w:rsidRPr="00AA4677">
        <w:rPr>
          <w:rFonts w:eastAsia="Times New Roman" w:cs="Times New Roman"/>
          <w:szCs w:val="24"/>
        </w:rPr>
        <w:t>ORC</w:t>
      </w:r>
      <w:r w:rsidRPr="00AA4677">
        <w:rPr>
          <w:rFonts w:eastAsia="Times New Roman" w:cs="Times New Roman"/>
          <w:szCs w:val="24"/>
        </w:rPr>
        <w:t xml:space="preserve">, and where appropriate, a member of </w:t>
      </w:r>
      <w:r w:rsidR="00FE1395" w:rsidRPr="00AA4677">
        <w:rPr>
          <w:rFonts w:eastAsia="Times New Roman" w:cs="Times New Roman"/>
          <w:szCs w:val="24"/>
        </w:rPr>
        <w:t xml:space="preserve">the </w:t>
      </w:r>
      <w:r w:rsidR="00EE7207" w:rsidRPr="00AA4677">
        <w:rPr>
          <w:rFonts w:eastAsia="Times New Roman" w:cs="Times New Roman"/>
          <w:szCs w:val="24"/>
        </w:rPr>
        <w:t>IRB</w:t>
      </w:r>
      <w:r w:rsidR="004C1406" w:rsidRPr="00AA4677">
        <w:rPr>
          <w:rFonts w:eastAsia="Times New Roman" w:cs="Times New Roman"/>
          <w:szCs w:val="24"/>
        </w:rPr>
        <w:t>, may also attend</w:t>
      </w:r>
      <w:r w:rsidRPr="00AA4677">
        <w:rPr>
          <w:rFonts w:eastAsia="Times New Roman" w:cs="Times New Roman"/>
          <w:szCs w:val="24"/>
        </w:rPr>
        <w:t xml:space="preserve">.  Upon completion of the community consultation process, the PI must present a written report to </w:t>
      </w:r>
      <w:r w:rsidR="00FE1395" w:rsidRPr="00AA4677">
        <w:rPr>
          <w:rFonts w:eastAsia="Times New Roman" w:cs="Times New Roman"/>
          <w:szCs w:val="24"/>
        </w:rPr>
        <w:t xml:space="preserve">the </w:t>
      </w:r>
      <w:r w:rsidR="00EE7207" w:rsidRPr="00AA4677">
        <w:rPr>
          <w:rFonts w:eastAsia="Times New Roman" w:cs="Times New Roman"/>
          <w:szCs w:val="24"/>
        </w:rPr>
        <w:t>IRB</w:t>
      </w:r>
      <w:r w:rsidR="00FE1395" w:rsidRPr="00AA4677">
        <w:rPr>
          <w:rFonts w:eastAsia="Times New Roman" w:cs="Times New Roman"/>
          <w:szCs w:val="24"/>
        </w:rPr>
        <w:t xml:space="preserve"> </w:t>
      </w:r>
      <w:r w:rsidRPr="00AA4677">
        <w:rPr>
          <w:rFonts w:eastAsia="Times New Roman" w:cs="Times New Roman"/>
          <w:szCs w:val="24"/>
        </w:rPr>
        <w:t xml:space="preserve">citing </w:t>
      </w:r>
      <w:proofErr w:type="gramStart"/>
      <w:r w:rsidRPr="00AA4677">
        <w:rPr>
          <w:rFonts w:eastAsia="Times New Roman" w:cs="Times New Roman"/>
          <w:szCs w:val="24"/>
        </w:rPr>
        <w:t>any and all</w:t>
      </w:r>
      <w:proofErr w:type="gramEnd"/>
      <w:r w:rsidRPr="00AA4677">
        <w:rPr>
          <w:rFonts w:eastAsia="Times New Roman" w:cs="Times New Roman"/>
          <w:szCs w:val="24"/>
        </w:rPr>
        <w:t xml:space="preserve"> issues raised throug</w:t>
      </w:r>
      <w:r w:rsidR="00FE1395" w:rsidRPr="00AA4677">
        <w:rPr>
          <w:rFonts w:eastAsia="Times New Roman" w:cs="Times New Roman"/>
          <w:szCs w:val="24"/>
        </w:rPr>
        <w:t xml:space="preserve">h the process and conclusions.  The </w:t>
      </w:r>
      <w:r w:rsidR="00EE7207" w:rsidRPr="00AA4677">
        <w:rPr>
          <w:rFonts w:eastAsia="Times New Roman" w:cs="Times New Roman"/>
          <w:szCs w:val="24"/>
        </w:rPr>
        <w:t>IRB</w:t>
      </w:r>
      <w:r w:rsidRPr="00AA4677">
        <w:rPr>
          <w:rFonts w:eastAsia="Times New Roman" w:cs="Times New Roman"/>
          <w:szCs w:val="24"/>
        </w:rPr>
        <w:t xml:space="preserve"> will determine if there is community support based on the report.</w:t>
      </w:r>
    </w:p>
    <w:p w14:paraId="44E34000" w14:textId="633A7A4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PI is expected to keep and maintain detailed documentation that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above required procedures for planned emergency research and emergency waiver of consent are met. The documentation should be included in the submission to </w:t>
      </w:r>
      <w:r w:rsidR="00FE139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for full approval.</w:t>
      </w:r>
    </w:p>
    <w:p w14:paraId="431E52E3" w14:textId="149B3509" w:rsidR="009B5F49" w:rsidRPr="00AA4677" w:rsidRDefault="009B5F49" w:rsidP="00696B35">
      <w:pPr>
        <w:pStyle w:val="Heading2"/>
      </w:pPr>
      <w:bookmarkStart w:id="108" w:name="_Toc523233314"/>
      <w:bookmarkStart w:id="109" w:name="_Toc192678209"/>
      <w:r w:rsidRPr="00AA4677">
        <w:t>5</w:t>
      </w:r>
      <w:r w:rsidR="008B0347" w:rsidRPr="00AA4677">
        <w:t xml:space="preserve">.14 </w:t>
      </w:r>
      <w:r w:rsidRPr="00AA4677">
        <w:t>Posting of Clinical Trial Consent Forms</w:t>
      </w:r>
      <w:bookmarkEnd w:id="108"/>
      <w:bookmarkEnd w:id="109"/>
    </w:p>
    <w:p w14:paraId="7ACFD58D" w14:textId="7D9CBE3C" w:rsidR="00BB7E44" w:rsidRPr="00AA4677" w:rsidRDefault="009B5F49" w:rsidP="002853E1">
      <w:pPr>
        <w:pStyle w:val="BodyText"/>
        <w:rPr>
          <w:rFonts w:asciiTheme="minorHAnsi" w:hAnsiTheme="minorHAnsi" w:cstheme="minorHAnsi"/>
        </w:rPr>
      </w:pPr>
      <w:r w:rsidRPr="00AA4677">
        <w:rPr>
          <w:rFonts w:asciiTheme="minorHAnsi" w:hAnsiTheme="minorHAnsi" w:cstheme="minorHAnsi"/>
        </w:rPr>
        <w:t xml:space="preserve">For each clinical trial conducted or supported by a Federal department or agency, one IRB approved informed consent form used to enroll subjects </w:t>
      </w:r>
      <w:r w:rsidRPr="00AA4677">
        <w:rPr>
          <w:rFonts w:asciiTheme="minorHAnsi" w:hAnsiTheme="minorHAnsi" w:cstheme="minorHAnsi"/>
          <w:b/>
        </w:rPr>
        <w:t>must be posted by the awardee or the Federal department or agency component conducting the trial</w:t>
      </w:r>
      <w:r w:rsidRPr="00AA4677">
        <w:rPr>
          <w:rFonts w:asciiTheme="minorHAnsi" w:hAnsiTheme="minorHAnsi" w:cstheme="minorHAnsi"/>
        </w:rPr>
        <w:t xml:space="preserve"> on a publicly available Federal Web site (e.g., clinicaltrials.gov etc.) that will be established as a repository for such informed consent forms. </w:t>
      </w:r>
      <w:r w:rsidR="009933ED" w:rsidRPr="00AA4677">
        <w:rPr>
          <w:rFonts w:asciiTheme="minorHAnsi" w:hAnsiTheme="minorHAnsi" w:cstheme="minorHAnsi"/>
        </w:rPr>
        <w:t>(</w:t>
      </w:r>
      <w:r w:rsidR="009933ED" w:rsidRPr="00AA4677">
        <w:rPr>
          <w:rFonts w:asciiTheme="minorHAnsi" w:hAnsiTheme="minorHAnsi"/>
        </w:rPr>
        <w:t>Clinical Trial Informed Consent Form Posting (45 CFR 46.116(h))</w:t>
      </w:r>
      <w:r w:rsidR="00BB7E44" w:rsidRPr="00AA4677">
        <w:rPr>
          <w:rFonts w:asciiTheme="minorHAnsi" w:hAnsiTheme="minorHAnsi"/>
        </w:rPr>
        <w:t>)</w:t>
      </w:r>
    </w:p>
    <w:p w14:paraId="2214390A" w14:textId="77777777" w:rsidR="009933ED" w:rsidRPr="00AA4677" w:rsidRDefault="009933ED" w:rsidP="00BB7E44">
      <w:pPr>
        <w:pStyle w:val="BodyText"/>
      </w:pPr>
    </w:p>
    <w:p w14:paraId="31CABCC3" w14:textId="45CED8EA" w:rsidR="009B5F49" w:rsidRPr="00AA4677" w:rsidRDefault="009933ED" w:rsidP="009B5F49">
      <w:pPr>
        <w:pStyle w:val="BodyText"/>
        <w:rPr>
          <w:rFonts w:asciiTheme="minorHAnsi" w:hAnsiTheme="minorHAnsi" w:cstheme="minorHAnsi"/>
        </w:rPr>
      </w:pPr>
      <w:r w:rsidRPr="00AA4677">
        <w:rPr>
          <w:rFonts w:asciiTheme="minorHAnsi" w:hAnsiTheme="minorHAnsi" w:cs="Helvetica"/>
          <w:color w:val="000000"/>
        </w:rPr>
        <w:t>Two publicly available federal websites that will satisfy the consent form posting requirement, as required by the revised Common Rule, have been identified: </w:t>
      </w:r>
      <w:hyperlink r:id="rId21" w:tgtFrame="_blank" w:history="1">
        <w:r w:rsidRPr="00AA4677">
          <w:rPr>
            <w:rStyle w:val="Hyperlink"/>
            <w:rFonts w:asciiTheme="minorHAnsi" w:hAnsiTheme="minorHAnsi" w:cs="Helvetica"/>
            <w:color w:val="0053CC"/>
            <w:u w:val="none"/>
          </w:rPr>
          <w:t>ClinicalTrials.gov</w:t>
        </w:r>
      </w:hyperlink>
      <w:r w:rsidRPr="00AA4677">
        <w:rPr>
          <w:rFonts w:asciiTheme="minorHAnsi" w:hAnsiTheme="minorHAnsi" w:cs="Helvetica"/>
          <w:color w:val="000000"/>
        </w:rPr>
        <w:t> and a docket folder on Regulations.gov (</w:t>
      </w:r>
      <w:hyperlink r:id="rId22" w:tgtFrame="_blank" w:history="1">
        <w:r w:rsidRPr="00AA4677">
          <w:rPr>
            <w:rStyle w:val="Hyperlink"/>
            <w:rFonts w:asciiTheme="minorHAnsi" w:hAnsiTheme="minorHAnsi" w:cs="Helvetica"/>
            <w:color w:val="0053CC"/>
            <w:u w:val="none"/>
          </w:rPr>
          <w:t>Docket ID: HHS-OPHS-2018-0021</w:t>
        </w:r>
      </w:hyperlink>
      <w:r w:rsidRPr="00AA4677">
        <w:rPr>
          <w:rFonts w:asciiTheme="minorHAnsi" w:hAnsiTheme="minorHAnsi" w:cs="Helvetica"/>
          <w:color w:val="000000"/>
        </w:rPr>
        <w:t xml:space="preserve">).  </w:t>
      </w:r>
      <w:r w:rsidR="009B5F49" w:rsidRPr="00AA4677">
        <w:rPr>
          <w:rFonts w:asciiTheme="minorHAnsi" w:hAnsiTheme="minorHAnsi" w:cstheme="minorHAnsi"/>
        </w:rPr>
        <w:t>If the Federal department or agency supporting or conducting the clinical trial determines that certain information should not be made publicly available on a Federal Web site (e.g. confidential commercial information), such Federal department or agency may permit or require redactions</w:t>
      </w:r>
      <w:r w:rsidR="00CA412B" w:rsidRPr="00AA4677">
        <w:rPr>
          <w:rFonts w:asciiTheme="minorHAnsi" w:hAnsiTheme="minorHAnsi" w:cstheme="minorHAnsi"/>
        </w:rPr>
        <w:t xml:space="preserve"> </w:t>
      </w:r>
      <w:r w:rsidR="009B5F49" w:rsidRPr="00AA4677">
        <w:rPr>
          <w:rFonts w:asciiTheme="minorHAnsi" w:hAnsiTheme="minorHAnsi" w:cstheme="minorHAnsi"/>
        </w:rPr>
        <w:t>to the information posted</w:t>
      </w:r>
      <w:r w:rsidR="00CA412B" w:rsidRPr="00AA4677">
        <w:rPr>
          <w:rFonts w:asciiTheme="minorHAnsi" w:hAnsiTheme="minorHAnsi" w:cstheme="minorHAnsi"/>
        </w:rPr>
        <w:t xml:space="preserve"> or an exception to post the information</w:t>
      </w:r>
      <w:r w:rsidR="009B5F49" w:rsidRPr="00AA4677">
        <w:rPr>
          <w:rFonts w:asciiTheme="minorHAnsi" w:hAnsiTheme="minorHAnsi" w:cstheme="minorHAnsi"/>
        </w:rPr>
        <w:t xml:space="preserve">. </w:t>
      </w:r>
    </w:p>
    <w:p w14:paraId="756C126D" w14:textId="77777777" w:rsidR="00682B0E" w:rsidRPr="00AA4677" w:rsidRDefault="00682B0E" w:rsidP="008B0347">
      <w:pPr>
        <w:pStyle w:val="BodyText"/>
        <w:rPr>
          <w:rFonts w:asciiTheme="minorHAnsi" w:hAnsiTheme="minorHAnsi" w:cstheme="minorHAnsi"/>
        </w:rPr>
      </w:pPr>
    </w:p>
    <w:p w14:paraId="6A8CFE88" w14:textId="084C8524" w:rsidR="00055CCD" w:rsidRPr="00AA4677" w:rsidRDefault="009B5F49" w:rsidP="008B0347">
      <w:pPr>
        <w:pStyle w:val="BodyText"/>
        <w:rPr>
          <w:rFonts w:asciiTheme="minorHAnsi" w:hAnsiTheme="minorHAnsi" w:cstheme="minorHAnsi"/>
        </w:rPr>
      </w:pPr>
      <w:r w:rsidRPr="00AA4677">
        <w:rPr>
          <w:rFonts w:asciiTheme="minorHAnsi" w:hAnsiTheme="minorHAnsi" w:cstheme="minorHAnsi"/>
        </w:rPr>
        <w:t>The informed consent form must be posted on the Federal Web site after the clinical trial is closed to recruitment, and no later than 60 days after the last study visit by any subjec</w:t>
      </w:r>
      <w:r w:rsidR="008B0347" w:rsidRPr="00AA4677">
        <w:rPr>
          <w:rFonts w:asciiTheme="minorHAnsi" w:hAnsiTheme="minorHAnsi" w:cstheme="minorHAnsi"/>
        </w:rPr>
        <w:t>t, as required by the protocol.</w:t>
      </w:r>
    </w:p>
    <w:p w14:paraId="7A9C7CF5" w14:textId="77777777" w:rsidR="00CA412B" w:rsidRPr="00AA4677" w:rsidRDefault="00CA412B" w:rsidP="008B0347">
      <w:pPr>
        <w:pStyle w:val="BodyText"/>
        <w:rPr>
          <w:rFonts w:asciiTheme="minorHAnsi" w:hAnsiTheme="minorHAnsi" w:cstheme="minorHAnsi"/>
        </w:rPr>
      </w:pPr>
    </w:p>
    <w:p w14:paraId="5D1B1C63" w14:textId="77777777" w:rsidR="00FC174E" w:rsidRPr="00AA4677" w:rsidRDefault="00FC174E" w:rsidP="005920B2">
      <w:pPr>
        <w:pStyle w:val="Heading1"/>
        <w:rPr>
          <w:color w:val="auto"/>
        </w:rPr>
      </w:pPr>
      <w:bookmarkStart w:id="110" w:name="_Toc192678210"/>
      <w:r w:rsidRPr="00AA4677">
        <w:rPr>
          <w:color w:val="auto"/>
        </w:rPr>
        <w:t>6 Vulnerable Subjects in Research</w:t>
      </w:r>
      <w:bookmarkEnd w:id="110"/>
    </w:p>
    <w:p w14:paraId="741CDA61" w14:textId="3184F222" w:rsidR="00FC174E" w:rsidRPr="00AA4677" w:rsidRDefault="00FC174E" w:rsidP="00696B35">
      <w:pPr>
        <w:pStyle w:val="Heading2"/>
      </w:pPr>
      <w:bookmarkStart w:id="111" w:name="_Toc192678211"/>
      <w:r w:rsidRPr="00AA4677">
        <w:lastRenderedPageBreak/>
        <w:t>6.1 Policy</w:t>
      </w:r>
      <w:bookmarkEnd w:id="111"/>
    </w:p>
    <w:p w14:paraId="243C5BC5" w14:textId="020671AE"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some or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w:t>
      </w:r>
      <w:r w:rsidR="00BF7470" w:rsidRPr="00AA4677">
        <w:rPr>
          <w:rFonts w:eastAsia="Times New Roman" w:cs="Times New Roman"/>
          <w:szCs w:val="24"/>
        </w:rPr>
        <w:t>subject</w:t>
      </w:r>
      <w:r w:rsidRPr="00AA4677">
        <w:rPr>
          <w:rFonts w:eastAsia="Times New Roman" w:cs="Times New Roman"/>
          <w:szCs w:val="24"/>
        </w:rPr>
        <w:t xml:space="preserve">s in research conducted under the auspices of </w:t>
      </w:r>
      <w:proofErr w:type="gramStart"/>
      <w:r w:rsidR="00FE1395" w:rsidRPr="00AA4677">
        <w:rPr>
          <w:rFonts w:eastAsia="Times New Roman" w:cs="Times New Roman"/>
          <w:szCs w:val="24"/>
        </w:rPr>
        <w:t>University</w:t>
      </w:r>
      <w:proofErr w:type="gramEnd"/>
      <w:r w:rsidRPr="00AA4677">
        <w:rPr>
          <w:rFonts w:eastAsia="Times New Roman" w:cs="Times New Roman"/>
          <w:szCs w:val="24"/>
        </w:rPr>
        <w:t xml:space="preserve"> are likely to be vulnerable to coercion or undue influence or have diminished decision-making capacity, the research must include additional safeguards to protect the rights and welfare of these </w:t>
      </w:r>
      <w:r w:rsidR="00BF7470" w:rsidRPr="00AA4677">
        <w:rPr>
          <w:rFonts w:eastAsia="Times New Roman" w:cs="Times New Roman"/>
          <w:szCs w:val="24"/>
        </w:rPr>
        <w:t>subject</w:t>
      </w:r>
      <w:r w:rsidRPr="00AA4677">
        <w:rPr>
          <w:rFonts w:eastAsia="Times New Roman" w:cs="Times New Roman"/>
          <w:szCs w:val="24"/>
        </w:rPr>
        <w:t>s.</w:t>
      </w:r>
      <w:r w:rsidR="0065003C" w:rsidRPr="00AA4677">
        <w:rPr>
          <w:rFonts w:eastAsia="Times New Roman" w:cs="Times New Roman"/>
          <w:szCs w:val="24"/>
        </w:rPr>
        <w:t xml:space="preserve"> This includes research reviewed through the expedite process.</w:t>
      </w:r>
      <w:r w:rsidRPr="00AA4677">
        <w:rPr>
          <w:rFonts w:eastAsia="Times New Roman" w:cs="Times New Roman"/>
          <w:szCs w:val="24"/>
        </w:rPr>
        <w:t xml:space="preserve"> </w:t>
      </w:r>
      <w:r w:rsidR="00FE139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must ensure that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regulatory requirements for the protection of vulnerable subjects are met and that appropriate additional protections for vulnerable subjects are in place.</w:t>
      </w:r>
    </w:p>
    <w:p w14:paraId="3A9962A4" w14:textId="14CA8276"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following procedures describe the requirements for involving vulnerable </w:t>
      </w:r>
      <w:r w:rsidR="00BF7470" w:rsidRPr="00AA4677">
        <w:rPr>
          <w:rFonts w:eastAsia="Times New Roman" w:cs="Times New Roman"/>
          <w:szCs w:val="24"/>
        </w:rPr>
        <w:t>subject</w:t>
      </w:r>
      <w:r w:rsidRPr="00AA4677">
        <w:rPr>
          <w:rFonts w:eastAsia="Times New Roman" w:cs="Times New Roman"/>
          <w:szCs w:val="24"/>
        </w:rPr>
        <w:t xml:space="preserve">s in research under the auspices of </w:t>
      </w:r>
      <w:r w:rsidR="00FE1395" w:rsidRPr="00AA4677">
        <w:rPr>
          <w:rFonts w:eastAsia="Times New Roman" w:cs="Times New Roman"/>
          <w:szCs w:val="24"/>
        </w:rPr>
        <w:t>the University</w:t>
      </w:r>
      <w:r w:rsidRPr="00AA4677">
        <w:rPr>
          <w:rFonts w:eastAsia="Times New Roman" w:cs="Times New Roman"/>
          <w:szCs w:val="24"/>
        </w:rPr>
        <w:t>. </w:t>
      </w:r>
    </w:p>
    <w:p w14:paraId="296A11C2" w14:textId="77777777" w:rsidR="00FC174E" w:rsidRPr="00AA4677" w:rsidRDefault="00FC174E" w:rsidP="00696B35">
      <w:pPr>
        <w:pStyle w:val="Heading2"/>
      </w:pPr>
      <w:bookmarkStart w:id="112" w:name="_Toc192678212"/>
      <w:r w:rsidRPr="00AA4677">
        <w:t>6.2 Definitions</w:t>
      </w:r>
      <w:bookmarkEnd w:id="112"/>
    </w:p>
    <w:p w14:paraId="335873CC" w14:textId="5ABEFFD6"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Children</w:t>
      </w:r>
      <w:r w:rsidR="00ED5457" w:rsidRPr="00AA4677">
        <w:rPr>
          <w:rFonts w:eastAsia="Times New Roman" w:cs="Times New Roman"/>
          <w:b/>
          <w:bCs/>
          <w:szCs w:val="24"/>
        </w:rPr>
        <w:t>:</w:t>
      </w:r>
      <w:r w:rsidR="00C82D07" w:rsidRPr="00AA4677">
        <w:rPr>
          <w:rFonts w:eastAsia="Times New Roman" w:cs="Times New Roman"/>
          <w:szCs w:val="24"/>
        </w:rPr>
        <w:t xml:space="preserve"> P</w:t>
      </w:r>
      <w:r w:rsidRPr="00AA4677">
        <w:rPr>
          <w:rFonts w:eastAsia="Times New Roman" w:cs="Times New Roman"/>
          <w:szCs w:val="24"/>
        </w:rPr>
        <w:t xml:space="preserve">ersons who have not attained the legal age for consent to treatments or procedures involved in research, under applicable law of the jurisdiction in which the research will be conducted. Consistent with New York State Law, </w:t>
      </w:r>
      <w:r w:rsidR="00ED5457"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generally defines children as </w:t>
      </w:r>
      <w:proofErr w:type="gramStart"/>
      <w:r w:rsidRPr="00AA4677">
        <w:rPr>
          <w:rFonts w:eastAsia="Times New Roman" w:cs="Times New Roman"/>
          <w:szCs w:val="24"/>
        </w:rPr>
        <w:t>persons</w:t>
      </w:r>
      <w:proofErr w:type="gramEnd"/>
      <w:r w:rsidRPr="00AA4677">
        <w:rPr>
          <w:rFonts w:eastAsia="Times New Roman" w:cs="Times New Roman"/>
          <w:szCs w:val="24"/>
        </w:rPr>
        <w:t xml:space="preserve"> under eighteen years of age. For the purposes of these SOPs, children and minors both imply </w:t>
      </w:r>
      <w:proofErr w:type="gramStart"/>
      <w:r w:rsidRPr="00AA4677">
        <w:rPr>
          <w:rFonts w:eastAsia="Times New Roman" w:cs="Times New Roman"/>
          <w:szCs w:val="24"/>
        </w:rPr>
        <w:t>persons</w:t>
      </w:r>
      <w:proofErr w:type="gramEnd"/>
      <w:r w:rsidRPr="00AA4677">
        <w:rPr>
          <w:rFonts w:eastAsia="Times New Roman" w:cs="Times New Roman"/>
          <w:szCs w:val="24"/>
        </w:rPr>
        <w:t xml:space="preserve"> under eighteen years of age. NYS Public Health Law, at section </w:t>
      </w:r>
      <w:proofErr w:type="gramStart"/>
      <w:r w:rsidRPr="00AA4677">
        <w:rPr>
          <w:rFonts w:eastAsia="Times New Roman" w:cs="Times New Roman"/>
          <w:szCs w:val="24"/>
        </w:rPr>
        <w:t>2504</w:t>
      </w:r>
      <w:proofErr w:type="gramEnd"/>
      <w:r w:rsidRPr="00AA4677">
        <w:rPr>
          <w:rFonts w:eastAsia="Times New Roman" w:cs="Times New Roman"/>
          <w:szCs w:val="24"/>
        </w:rPr>
        <w:t xml:space="preserve"> speaks </w:t>
      </w:r>
      <w:proofErr w:type="gramStart"/>
      <w:r w:rsidRPr="00AA4677">
        <w:rPr>
          <w:rFonts w:eastAsia="Times New Roman" w:cs="Times New Roman"/>
          <w:szCs w:val="24"/>
        </w:rPr>
        <w:t>to</w:t>
      </w:r>
      <w:proofErr w:type="gramEnd"/>
      <w:r w:rsidRPr="00AA4677">
        <w:rPr>
          <w:rFonts w:eastAsia="Times New Roman" w:cs="Times New Roman"/>
          <w:szCs w:val="24"/>
        </w:rPr>
        <w:t xml:space="preserve"> who may consent (to medical care in general, but NY state law does not specifically </w:t>
      </w:r>
      <w:proofErr w:type="gramStart"/>
      <w:r w:rsidRPr="00AA4677">
        <w:rPr>
          <w:rFonts w:eastAsia="Times New Roman" w:cs="Times New Roman"/>
          <w:szCs w:val="24"/>
        </w:rPr>
        <w:t>reference</w:t>
      </w:r>
      <w:proofErr w:type="gramEnd"/>
      <w:r w:rsidRPr="00AA4677">
        <w:rPr>
          <w:rFonts w:eastAsia="Times New Roman" w:cs="Times New Roman"/>
          <w:szCs w:val="24"/>
        </w:rPr>
        <w:t xml:space="preserve"> who may consent to participation in research) as follows:</w:t>
      </w:r>
    </w:p>
    <w:p w14:paraId="635F34AB" w14:textId="490FCCAA" w:rsidR="00FC174E" w:rsidRPr="00AA4677" w:rsidRDefault="00FC174E" w:rsidP="00C129F1">
      <w:pPr>
        <w:numPr>
          <w:ilvl w:val="0"/>
          <w:numId w:val="2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(Any person) 18 or </w:t>
      </w:r>
      <w:proofErr w:type="gramStart"/>
      <w:r w:rsidRPr="00AA4677">
        <w:rPr>
          <w:rFonts w:eastAsia="Times New Roman" w:cs="Times New Roman"/>
          <w:szCs w:val="24"/>
        </w:rPr>
        <w:t>older, or</w:t>
      </w:r>
      <w:proofErr w:type="gramEnd"/>
      <w:r w:rsidRPr="00AA4677">
        <w:rPr>
          <w:rFonts w:eastAsia="Times New Roman" w:cs="Times New Roman"/>
          <w:szCs w:val="24"/>
        </w:rPr>
        <w:t xml:space="preserve"> is the parent of a child or is married may give effective consent for medical, dental health and hospital services for himself or herself and the consent of no other person shall be necessary</w:t>
      </w:r>
      <w:r w:rsidR="00ED5457" w:rsidRPr="00AA4677">
        <w:rPr>
          <w:rFonts w:eastAsia="Times New Roman" w:cs="Times New Roman"/>
          <w:szCs w:val="24"/>
        </w:rPr>
        <w:t>.</w:t>
      </w:r>
    </w:p>
    <w:p w14:paraId="567482F9" w14:textId="77777777" w:rsidR="00FC174E" w:rsidRPr="00AA4677" w:rsidRDefault="00FC174E" w:rsidP="00C129F1">
      <w:pPr>
        <w:numPr>
          <w:ilvl w:val="0"/>
          <w:numId w:val="2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Any person who has been married or who has </w:t>
      </w:r>
      <w:proofErr w:type="gramStart"/>
      <w:r w:rsidRPr="00AA4677">
        <w:rPr>
          <w:rFonts w:eastAsia="Times New Roman" w:cs="Times New Roman"/>
          <w:szCs w:val="24"/>
        </w:rPr>
        <w:t>borne</w:t>
      </w:r>
      <w:proofErr w:type="gramEnd"/>
      <w:r w:rsidRPr="00AA4677">
        <w:rPr>
          <w:rFonts w:eastAsia="Times New Roman" w:cs="Times New Roman"/>
          <w:szCs w:val="24"/>
        </w:rPr>
        <w:t xml:space="preserve"> a child may give effective consent for medical, dental health and hospital services for his or her child.</w:t>
      </w:r>
    </w:p>
    <w:p w14:paraId="4ED17827" w14:textId="4422BBE9" w:rsidR="00FC174E" w:rsidRPr="00AA4677" w:rsidRDefault="00FC174E" w:rsidP="00C129F1">
      <w:pPr>
        <w:numPr>
          <w:ilvl w:val="0"/>
          <w:numId w:val="2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Any person who is pregnant may give effective consent for medical, dental health and hospital services related to the pregnancy.</w:t>
      </w:r>
    </w:p>
    <w:p w14:paraId="54FB4702"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While consent by ‘emancipated’ individuals is not the general rule, there are other statutory provisions relating to consent for minors who are in military service or are seeking treatment for AIDS (PHL ’2781) and other sexually transmitted diseases (PHL ’2305).</w:t>
      </w:r>
    </w:p>
    <w:p w14:paraId="46E00592" w14:textId="2B39C56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general, where the individual is a minor, the presumption is that he or she is not emancipated and the burden of proof rests on the individual asserting it. Because New York State law does not specifically address consent of children with majority status by virtue of "emancipation" with respect to research, the </w:t>
      </w:r>
      <w:r w:rsidR="00EE7207" w:rsidRPr="00AA4677">
        <w:rPr>
          <w:rFonts w:eastAsia="Times New Roman" w:cs="Times New Roman"/>
          <w:szCs w:val="24"/>
        </w:rPr>
        <w:t>IRB</w:t>
      </w:r>
      <w:r w:rsidRPr="00AA4677">
        <w:rPr>
          <w:rFonts w:eastAsia="Times New Roman" w:cs="Times New Roman"/>
          <w:szCs w:val="24"/>
        </w:rPr>
        <w:t xml:space="preserve"> will review issues of consent related to enrollment of these minor children in research on a case-by-case basis.</w:t>
      </w:r>
    </w:p>
    <w:p w14:paraId="6256DEFA" w14:textId="1C5431FB" w:rsidR="009A23CE" w:rsidRPr="00AA4677" w:rsidRDefault="008E52F4" w:rsidP="00FC174E">
      <w:pPr>
        <w:shd w:val="clear" w:color="auto" w:fill="FFFFFF"/>
        <w:spacing w:before="100" w:beforeAutospacing="1" w:after="100" w:afterAutospacing="1" w:line="240" w:lineRule="auto"/>
      </w:pPr>
      <w:r w:rsidRPr="00AA4677">
        <w:rPr>
          <w:rStyle w:val="Emphasis"/>
          <w:b/>
          <w:bCs/>
          <w:i w:val="0"/>
        </w:rPr>
        <w:lastRenderedPageBreak/>
        <w:t xml:space="preserve">According to </w:t>
      </w:r>
      <w:r w:rsidRPr="00AA4677">
        <w:t>21 CFR 50.3</w:t>
      </w:r>
      <w:r w:rsidR="009A23CE" w:rsidRPr="00AA4677">
        <w:t xml:space="preserve"> </w:t>
      </w:r>
      <w:r w:rsidRPr="00AA4677">
        <w:t xml:space="preserve">children </w:t>
      </w:r>
      <w:proofErr w:type="gramStart"/>
      <w:r w:rsidR="009A23CE" w:rsidRPr="00AA4677">
        <w:t>means</w:t>
      </w:r>
      <w:proofErr w:type="gramEnd"/>
      <w:r w:rsidR="009A23CE" w:rsidRPr="00AA4677">
        <w:t xml:space="preserve"> </w:t>
      </w:r>
      <w:proofErr w:type="gramStart"/>
      <w:r w:rsidR="009A23CE" w:rsidRPr="00AA4677">
        <w:t>persons</w:t>
      </w:r>
      <w:proofErr w:type="gramEnd"/>
      <w:r w:rsidR="009A23CE" w:rsidRPr="00AA4677">
        <w:t xml:space="preserve"> who have not attained the legal age for consent to treatments or procedures involved in clinical investigations, under the applicable law of the jurisdiction in which the clinical investigation will be conducted</w:t>
      </w:r>
    </w:p>
    <w:p w14:paraId="70020D40" w14:textId="4D62ECC2" w:rsidR="009A23CE" w:rsidRPr="00AA4677" w:rsidRDefault="008E52F4" w:rsidP="00FC174E">
      <w:pPr>
        <w:shd w:val="clear" w:color="auto" w:fill="FFFFFF"/>
        <w:spacing w:before="100" w:beforeAutospacing="1" w:after="100" w:afterAutospacing="1" w:line="240" w:lineRule="auto"/>
        <w:rPr>
          <w:rFonts w:eastAsia="Times New Roman" w:cs="Times New Roman"/>
          <w:szCs w:val="24"/>
        </w:rPr>
      </w:pPr>
      <w:r w:rsidRPr="00AA4677">
        <w:rPr>
          <w:b/>
        </w:rPr>
        <w:t xml:space="preserve">According to </w:t>
      </w:r>
      <w:r w:rsidRPr="00AA4677">
        <w:t>45 CFR 46.402 children</w:t>
      </w:r>
      <w:r w:rsidR="009A23CE" w:rsidRPr="00AA4677">
        <w:t xml:space="preserve"> are </w:t>
      </w:r>
      <w:proofErr w:type="gramStart"/>
      <w:r w:rsidR="009A23CE" w:rsidRPr="00AA4677">
        <w:t>persons</w:t>
      </w:r>
      <w:proofErr w:type="gramEnd"/>
      <w:r w:rsidR="009A23CE" w:rsidRPr="00AA4677">
        <w:t xml:space="preserve"> who have not attained the legal age for consent to treatments or procedures involved in the research, under the applicable law of the jurisdiction in which the research will be conducted.</w:t>
      </w:r>
    </w:p>
    <w:p w14:paraId="2857BC88" w14:textId="121D4F1C" w:rsidR="009A23CE" w:rsidRPr="00AA4677" w:rsidRDefault="00C82D07"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Guardian: </w:t>
      </w:r>
      <w:r w:rsidRPr="00AA4677">
        <w:rPr>
          <w:rFonts w:eastAsia="Times New Roman" w:cs="Times New Roman"/>
          <w:bCs/>
          <w:szCs w:val="24"/>
        </w:rPr>
        <w:t xml:space="preserve"> I</w:t>
      </w:r>
      <w:r w:rsidR="00FC174E" w:rsidRPr="00AA4677">
        <w:rPr>
          <w:rFonts w:eastAsia="Times New Roman" w:cs="Times New Roman"/>
          <w:szCs w:val="24"/>
        </w:rPr>
        <w:t xml:space="preserve">n New York, </w:t>
      </w:r>
      <w:r w:rsidR="00682B0E" w:rsidRPr="00AA4677">
        <w:rPr>
          <w:rFonts w:eastAsia="Times New Roman" w:cs="Times New Roman"/>
          <w:szCs w:val="24"/>
        </w:rPr>
        <w:t>g</w:t>
      </w:r>
      <w:r w:rsidR="00FC174E" w:rsidRPr="00AA4677">
        <w:rPr>
          <w:rFonts w:eastAsia="Times New Roman" w:cs="Times New Roman"/>
          <w:szCs w:val="24"/>
        </w:rPr>
        <w:t>enerally</w:t>
      </w:r>
      <w:r w:rsidR="00ED5457" w:rsidRPr="00AA4677">
        <w:rPr>
          <w:rFonts w:eastAsia="Times New Roman" w:cs="Times New Roman"/>
          <w:szCs w:val="24"/>
        </w:rPr>
        <w:t>,</w:t>
      </w:r>
      <w:r w:rsidR="00FC174E" w:rsidRPr="00AA4677">
        <w:rPr>
          <w:rFonts w:eastAsia="Times New Roman" w:cs="Times New Roman"/>
          <w:szCs w:val="24"/>
        </w:rPr>
        <w:t xml:space="preserve"> the power of a guardian is dictated by the ‘legally appointed guardian powers’</w:t>
      </w:r>
      <w:r w:rsidR="00ED5457" w:rsidRPr="00AA4677">
        <w:rPr>
          <w:rFonts w:eastAsia="Times New Roman" w:cs="Times New Roman"/>
          <w:szCs w:val="24"/>
        </w:rPr>
        <w:t>,</w:t>
      </w:r>
      <w:r w:rsidR="00FC174E" w:rsidRPr="00AA4677">
        <w:rPr>
          <w:rFonts w:eastAsia="Times New Roman" w:cs="Times New Roman"/>
          <w:szCs w:val="24"/>
        </w:rPr>
        <w:t xml:space="preserve"> which are determined in scope and duration by a court and described in the guardian papers. Guardian powers can be very limited (e.g. to financial matters only) or much broader. Prior to relying on guardian consent for a specific subject, a copy of the legal gua</w:t>
      </w:r>
      <w:r w:rsidR="00ED5457" w:rsidRPr="00AA4677">
        <w:rPr>
          <w:rFonts w:eastAsia="Times New Roman" w:cs="Times New Roman"/>
          <w:szCs w:val="24"/>
        </w:rPr>
        <w:t xml:space="preserve">rdian papers must be sent to </w:t>
      </w:r>
      <w:r w:rsidR="00FC174E" w:rsidRPr="00AA4677">
        <w:rPr>
          <w:rFonts w:eastAsia="Times New Roman" w:cs="Times New Roman"/>
          <w:szCs w:val="24"/>
        </w:rPr>
        <w:t>ORC who (in consultation with Counsel’s office) will assess whether the scope and powers (if any exist at all) of the Guardian do or do not include the authority to consent to research. Obtaining guardian consent without fir</w:t>
      </w:r>
      <w:r w:rsidR="00ED5457" w:rsidRPr="00AA4677">
        <w:rPr>
          <w:rFonts w:eastAsia="Times New Roman" w:cs="Times New Roman"/>
          <w:szCs w:val="24"/>
        </w:rPr>
        <w:t xml:space="preserve">st obtaining approval from ORC </w:t>
      </w:r>
      <w:r w:rsidR="00FC174E" w:rsidRPr="00AA4677">
        <w:rPr>
          <w:rFonts w:eastAsia="Times New Roman" w:cs="Times New Roman"/>
          <w:szCs w:val="24"/>
        </w:rPr>
        <w:t>constitutes noncompliance with these SOPs.</w:t>
      </w:r>
      <w:r w:rsidR="00343BA4" w:rsidRPr="00AA4677">
        <w:rPr>
          <w:rFonts w:eastAsia="Times New Roman" w:cs="Times New Roman"/>
          <w:szCs w:val="24"/>
        </w:rPr>
        <w:t xml:space="preserve"> According to</w:t>
      </w:r>
      <w:r w:rsidR="008E52F4" w:rsidRPr="00AA4677">
        <w:rPr>
          <w:rFonts w:eastAsia="Times New Roman" w:cs="Times New Roman"/>
          <w:szCs w:val="24"/>
        </w:rPr>
        <w:t xml:space="preserve"> 45 CFR 46.402 a guardian is a</w:t>
      </w:r>
      <w:r w:rsidR="009A23CE" w:rsidRPr="00AA4677">
        <w:rPr>
          <w:rFonts w:eastAsia="Times New Roman" w:cs="Times New Roman"/>
          <w:szCs w:val="24"/>
        </w:rPr>
        <w:t xml:space="preserve">n individual </w:t>
      </w:r>
      <w:r w:rsidR="00120648" w:rsidRPr="00AA4677">
        <w:rPr>
          <w:rFonts w:eastAsia="Times New Roman" w:cs="Times New Roman"/>
          <w:szCs w:val="24"/>
        </w:rPr>
        <w:t>who is authorized under applicab</w:t>
      </w:r>
      <w:r w:rsidR="009A23CE" w:rsidRPr="00AA4677">
        <w:rPr>
          <w:rFonts w:eastAsia="Times New Roman" w:cs="Times New Roman"/>
          <w:szCs w:val="24"/>
        </w:rPr>
        <w:t>le s</w:t>
      </w:r>
      <w:r w:rsidR="00C90428" w:rsidRPr="00AA4677">
        <w:rPr>
          <w:rFonts w:eastAsia="Times New Roman" w:cs="Times New Roman"/>
          <w:szCs w:val="24"/>
        </w:rPr>
        <w:t>t</w:t>
      </w:r>
      <w:r w:rsidR="009A23CE" w:rsidRPr="00AA4677">
        <w:rPr>
          <w:rFonts w:eastAsia="Times New Roman" w:cs="Times New Roman"/>
          <w:szCs w:val="24"/>
        </w:rPr>
        <w:t>ate o</w:t>
      </w:r>
      <w:r w:rsidR="00C90428" w:rsidRPr="00AA4677">
        <w:rPr>
          <w:rFonts w:eastAsia="Times New Roman" w:cs="Times New Roman"/>
          <w:szCs w:val="24"/>
        </w:rPr>
        <w:t>r</w:t>
      </w:r>
      <w:r w:rsidR="009A23CE" w:rsidRPr="00AA4677">
        <w:rPr>
          <w:rFonts w:eastAsia="Times New Roman" w:cs="Times New Roman"/>
          <w:szCs w:val="24"/>
        </w:rPr>
        <w:t xml:space="preserve"> local law to consent on behalf of a child to general medical care</w:t>
      </w:r>
    </w:p>
    <w:p w14:paraId="64A0B587" w14:textId="1559403B"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Delivery</w:t>
      </w:r>
      <w:r w:rsidR="00ED5457" w:rsidRPr="00AA4677">
        <w:rPr>
          <w:rFonts w:eastAsia="Times New Roman" w:cs="Times New Roman"/>
          <w:b/>
          <w:bCs/>
          <w:szCs w:val="24"/>
        </w:rPr>
        <w:t>:</w:t>
      </w:r>
      <w:r w:rsidR="00C82D07" w:rsidRPr="00AA4677">
        <w:rPr>
          <w:rFonts w:eastAsia="Times New Roman" w:cs="Times New Roman"/>
          <w:szCs w:val="24"/>
        </w:rPr>
        <w:t xml:space="preserve"> C</w:t>
      </w:r>
      <w:r w:rsidRPr="00AA4677">
        <w:rPr>
          <w:rFonts w:eastAsia="Times New Roman" w:cs="Times New Roman"/>
          <w:szCs w:val="24"/>
        </w:rPr>
        <w:t>omplete separation of the fetus from the woman by expulsion, extraction, or any other means.</w:t>
      </w:r>
    </w:p>
    <w:p w14:paraId="0460E193" w14:textId="7D61755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Fetus</w:t>
      </w:r>
      <w:r w:rsidR="002717C3" w:rsidRPr="00AA4677">
        <w:rPr>
          <w:rFonts w:eastAsia="Times New Roman" w:cs="Times New Roman"/>
          <w:b/>
          <w:bCs/>
          <w:szCs w:val="24"/>
        </w:rPr>
        <w:t xml:space="preserve">: </w:t>
      </w:r>
      <w:r w:rsidR="00C82D07" w:rsidRPr="00AA4677">
        <w:rPr>
          <w:rFonts w:eastAsia="Times New Roman" w:cs="Times New Roman"/>
          <w:szCs w:val="24"/>
        </w:rPr>
        <w:t xml:space="preserve"> P</w:t>
      </w:r>
      <w:r w:rsidRPr="00AA4677">
        <w:rPr>
          <w:rFonts w:eastAsia="Times New Roman" w:cs="Times New Roman"/>
          <w:szCs w:val="24"/>
        </w:rPr>
        <w:t>roduct of conception from the time of implantation until delivery.</w:t>
      </w:r>
    </w:p>
    <w:p w14:paraId="2D7A456D" w14:textId="7583CF1F" w:rsidR="009A23CE" w:rsidRPr="00AA4677" w:rsidRDefault="009A23CE" w:rsidP="00FC174E">
      <w:pPr>
        <w:shd w:val="clear" w:color="auto" w:fill="FFFFFF"/>
        <w:spacing w:before="100" w:beforeAutospacing="1" w:after="100" w:afterAutospacing="1" w:line="240" w:lineRule="auto"/>
        <w:rPr>
          <w:rFonts w:eastAsia="Times New Roman" w:cs="Times New Roman"/>
          <w:b/>
          <w:bCs/>
          <w:szCs w:val="24"/>
        </w:rPr>
      </w:pPr>
      <w:r w:rsidRPr="00AA4677">
        <w:rPr>
          <w:rFonts w:eastAsia="Times New Roman" w:cs="Times New Roman"/>
          <w:b/>
          <w:bCs/>
          <w:szCs w:val="24"/>
        </w:rPr>
        <w:t xml:space="preserve">Legally Authorized Representative: </w:t>
      </w:r>
      <w:r w:rsidRPr="00AA4677">
        <w:rPr>
          <w:rFonts w:eastAsia="Times New Roman" w:cs="Times New Roman"/>
          <w:bCs/>
          <w:szCs w:val="24"/>
        </w:rPr>
        <w:t xml:space="preserve">(21 CFR 50.3) </w:t>
      </w:r>
      <w:r w:rsidRPr="00AA4677">
        <w:t>means an individual or judicial or other body authorized under applicable law to consent on behalf of a prospective subject to the subject's particpation in the procedure(s) involved in the research</w:t>
      </w:r>
    </w:p>
    <w:p w14:paraId="13BA7C9A" w14:textId="68B61CC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Viable fetus</w:t>
      </w:r>
      <w:r w:rsidR="002717C3" w:rsidRPr="00AA4677">
        <w:rPr>
          <w:rFonts w:eastAsia="Times New Roman" w:cs="Times New Roman"/>
          <w:b/>
          <w:bCs/>
          <w:szCs w:val="24"/>
        </w:rPr>
        <w:t>:</w:t>
      </w:r>
      <w:r w:rsidR="00C82D07" w:rsidRPr="00AA4677">
        <w:rPr>
          <w:rFonts w:eastAsia="Times New Roman" w:cs="Times New Roman"/>
          <w:szCs w:val="24"/>
        </w:rPr>
        <w:t xml:space="preserve"> N</w:t>
      </w:r>
      <w:r w:rsidRPr="00AA4677">
        <w:rPr>
          <w:rFonts w:eastAsia="Times New Roman" w:cs="Times New Roman"/>
          <w:szCs w:val="24"/>
        </w:rPr>
        <w:t>ow termed a “viable neonate.”</w:t>
      </w:r>
    </w:p>
    <w:p w14:paraId="744ADC42" w14:textId="1BC692D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Nonviable fetus</w:t>
      </w:r>
      <w:r w:rsidR="002717C3" w:rsidRPr="00AA4677">
        <w:rPr>
          <w:rFonts w:eastAsia="Times New Roman" w:cs="Times New Roman"/>
          <w:b/>
          <w:bCs/>
          <w:szCs w:val="24"/>
        </w:rPr>
        <w:t xml:space="preserve">: </w:t>
      </w:r>
      <w:r w:rsidR="00C82D07" w:rsidRPr="00AA4677">
        <w:rPr>
          <w:rFonts w:eastAsia="Times New Roman" w:cs="Times New Roman"/>
          <w:bCs/>
          <w:szCs w:val="24"/>
        </w:rPr>
        <w:t>A</w:t>
      </w:r>
      <w:r w:rsidRPr="00AA4677">
        <w:rPr>
          <w:rFonts w:eastAsia="Times New Roman" w:cs="Times New Roman"/>
          <w:szCs w:val="24"/>
        </w:rPr>
        <w:t xml:space="preserve"> fetus ex utero that, although living, is not able to survive to the point of independently maintaining heart and respiration. </w:t>
      </w:r>
      <w:r w:rsidRPr="00AA4677">
        <w:rPr>
          <w:rFonts w:eastAsia="Times New Roman" w:cs="Times New Roman"/>
          <w:b/>
          <w:bCs/>
          <w:i/>
          <w:iCs/>
          <w:szCs w:val="24"/>
        </w:rPr>
        <w:t>NOTE: </w:t>
      </w:r>
      <w:r w:rsidRPr="00AA4677">
        <w:rPr>
          <w:rFonts w:eastAsia="Times New Roman" w:cs="Times New Roman"/>
          <w:i/>
          <w:iCs/>
          <w:szCs w:val="24"/>
        </w:rPr>
        <w:t>In 45 CFR 46 Subpart B, this definition is used as the definition of a non-viable neonate.</w:t>
      </w:r>
    </w:p>
    <w:p w14:paraId="76F0D8A5" w14:textId="1C4D86AE"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Dead fetus</w:t>
      </w:r>
      <w:r w:rsidR="002717C3" w:rsidRPr="00AA4677">
        <w:rPr>
          <w:rFonts w:eastAsia="Times New Roman" w:cs="Times New Roman"/>
          <w:b/>
          <w:bCs/>
          <w:szCs w:val="24"/>
        </w:rPr>
        <w:t>:</w:t>
      </w:r>
      <w:r w:rsidR="00C82D07" w:rsidRPr="00AA4677">
        <w:rPr>
          <w:rFonts w:eastAsia="Times New Roman" w:cs="Times New Roman"/>
          <w:szCs w:val="24"/>
        </w:rPr>
        <w:t xml:space="preserve"> A</w:t>
      </w:r>
      <w:r w:rsidRPr="00AA4677">
        <w:rPr>
          <w:rFonts w:eastAsia="Times New Roman" w:cs="Times New Roman"/>
          <w:szCs w:val="24"/>
        </w:rPr>
        <w:t xml:space="preserve"> </w:t>
      </w:r>
      <w:r w:rsidR="001F76D0" w:rsidRPr="00AA4677">
        <w:rPr>
          <w:rFonts w:eastAsia="Times New Roman" w:cs="Times New Roman"/>
          <w:szCs w:val="24"/>
        </w:rPr>
        <w:t>fetus, which exhibits neither heartbeat, spontaneous respiratory activity, spontaneous movement of voluntary muscles, nor pulsation of the umbilical cord if still,</w:t>
      </w:r>
      <w:r w:rsidRPr="00AA4677">
        <w:rPr>
          <w:rFonts w:eastAsia="Times New Roman" w:cs="Times New Roman"/>
          <w:szCs w:val="24"/>
        </w:rPr>
        <w:t xml:space="preserve"> attached.</w:t>
      </w:r>
    </w:p>
    <w:p w14:paraId="10B417C6" w14:textId="02429266"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In vitro fertilization</w:t>
      </w:r>
      <w:r w:rsidR="002717C3" w:rsidRPr="00AA4677">
        <w:rPr>
          <w:rFonts w:eastAsia="Times New Roman" w:cs="Times New Roman"/>
          <w:b/>
          <w:bCs/>
          <w:szCs w:val="24"/>
        </w:rPr>
        <w:t>:</w:t>
      </w:r>
      <w:r w:rsidR="00C82D07" w:rsidRPr="00AA4677">
        <w:rPr>
          <w:rFonts w:eastAsia="Times New Roman" w:cs="Times New Roman"/>
          <w:szCs w:val="24"/>
        </w:rPr>
        <w:t xml:space="preserve"> A</w:t>
      </w:r>
      <w:r w:rsidRPr="00AA4677">
        <w:rPr>
          <w:rFonts w:eastAsia="Times New Roman" w:cs="Times New Roman"/>
          <w:szCs w:val="24"/>
        </w:rPr>
        <w:t xml:space="preserve">ny fertilization </w:t>
      </w:r>
      <w:r w:rsidR="00F051CA" w:rsidRPr="00AA4677">
        <w:rPr>
          <w:rFonts w:eastAsia="Times New Roman" w:cs="Times New Roman"/>
          <w:szCs w:val="24"/>
        </w:rPr>
        <w:t>either of human ova, which occurs outside the body of a female,</w:t>
      </w:r>
      <w:r w:rsidRPr="00AA4677">
        <w:rPr>
          <w:rFonts w:eastAsia="Times New Roman" w:cs="Times New Roman"/>
          <w:szCs w:val="24"/>
        </w:rPr>
        <w:t xml:space="preserve"> through a mixture of donor human sperm and ova or by any other means.</w:t>
      </w:r>
    </w:p>
    <w:p w14:paraId="66B640D6" w14:textId="6D7D57FC" w:rsidR="00FC174E" w:rsidRPr="00AA4677" w:rsidRDefault="00FC174E" w:rsidP="008B0347">
      <w:pPr>
        <w:shd w:val="clear" w:color="auto" w:fill="FFFFFF"/>
        <w:spacing w:before="240" w:after="0" w:line="240" w:lineRule="auto"/>
        <w:rPr>
          <w:rFonts w:eastAsia="Times New Roman" w:cs="Times New Roman"/>
          <w:szCs w:val="24"/>
        </w:rPr>
      </w:pPr>
      <w:r w:rsidRPr="00AA4677">
        <w:rPr>
          <w:rFonts w:eastAsia="Times New Roman" w:cs="Times New Roman"/>
          <w:b/>
          <w:szCs w:val="24"/>
        </w:rPr>
        <w:lastRenderedPageBreak/>
        <w:t>Federal (45 CFR § 46.10</w:t>
      </w:r>
      <w:r w:rsidR="008B0347" w:rsidRPr="00AA4677">
        <w:rPr>
          <w:rFonts w:eastAsia="Times New Roman" w:cs="Times New Roman"/>
          <w:b/>
          <w:szCs w:val="24"/>
        </w:rPr>
        <w:t>2(c)</w:t>
      </w:r>
      <w:r w:rsidR="00F051CA" w:rsidRPr="00AA4677">
        <w:rPr>
          <w:rFonts w:eastAsia="Times New Roman" w:cs="Times New Roman"/>
          <w:b/>
          <w:szCs w:val="24"/>
        </w:rPr>
        <w:t>:</w:t>
      </w:r>
      <w:r w:rsidR="008B0347" w:rsidRPr="00AA4677">
        <w:rPr>
          <w:rFonts w:eastAsia="Times New Roman" w:cs="Times New Roman"/>
          <w:szCs w:val="24"/>
        </w:rPr>
        <w:t xml:space="preserve"> </w:t>
      </w:r>
      <w:r w:rsidRPr="00AA4677">
        <w:rPr>
          <w:rFonts w:eastAsia="Times New Roman" w:cs="Times New Roman"/>
          <w:szCs w:val="24"/>
        </w:rPr>
        <w:t>An individual or judicial or other body authorized under applicable law to consent on behalf of a prospective subject to the subject's participation in the procedure(s) involved in the research</w:t>
      </w:r>
      <w:r w:rsidR="00BB5E38" w:rsidRPr="00AA4677">
        <w:rPr>
          <w:rFonts w:eastAsia="Times New Roman" w:cs="Times New Roman"/>
          <w:szCs w:val="24"/>
        </w:rPr>
        <w:t>.</w:t>
      </w:r>
    </w:p>
    <w:p w14:paraId="28C9C31F" w14:textId="77777777" w:rsidR="008B0347" w:rsidRPr="00AA4677" w:rsidRDefault="008B0347" w:rsidP="008B0347">
      <w:pPr>
        <w:shd w:val="clear" w:color="auto" w:fill="FFFFFF"/>
        <w:spacing w:after="0" w:line="240" w:lineRule="auto"/>
        <w:rPr>
          <w:rFonts w:eastAsia="Times New Roman" w:cs="Times New Roman"/>
          <w:szCs w:val="24"/>
        </w:rPr>
      </w:pPr>
    </w:p>
    <w:p w14:paraId="1D2F456F" w14:textId="1A77268F" w:rsidR="00FC174E" w:rsidRPr="00AA4677" w:rsidRDefault="00FC174E" w:rsidP="008B0347">
      <w:pPr>
        <w:shd w:val="clear" w:color="auto" w:fill="FFFFFF"/>
        <w:spacing w:after="0" w:line="240" w:lineRule="auto"/>
        <w:rPr>
          <w:rFonts w:eastAsia="Times New Roman" w:cs="Times New Roman"/>
          <w:szCs w:val="24"/>
        </w:rPr>
      </w:pPr>
      <w:r w:rsidRPr="00AA4677">
        <w:rPr>
          <w:rFonts w:eastAsia="Times New Roman" w:cs="Times New Roman"/>
          <w:b/>
          <w:szCs w:val="24"/>
        </w:rPr>
        <w:t>N</w:t>
      </w:r>
      <w:r w:rsidR="00C82D07" w:rsidRPr="00AA4677">
        <w:rPr>
          <w:rFonts w:eastAsia="Times New Roman" w:cs="Times New Roman"/>
          <w:b/>
          <w:szCs w:val="24"/>
        </w:rPr>
        <w:t xml:space="preserve">ew </w:t>
      </w:r>
      <w:r w:rsidRPr="00AA4677">
        <w:rPr>
          <w:rFonts w:eastAsia="Times New Roman" w:cs="Times New Roman"/>
          <w:b/>
          <w:szCs w:val="24"/>
        </w:rPr>
        <w:t>Y</w:t>
      </w:r>
      <w:r w:rsidR="00C82D07" w:rsidRPr="00AA4677">
        <w:rPr>
          <w:rFonts w:eastAsia="Times New Roman" w:cs="Times New Roman"/>
          <w:b/>
          <w:szCs w:val="24"/>
        </w:rPr>
        <w:t xml:space="preserve">ork </w:t>
      </w:r>
      <w:r w:rsidRPr="00AA4677">
        <w:rPr>
          <w:rFonts w:eastAsia="Times New Roman" w:cs="Times New Roman"/>
          <w:b/>
          <w:szCs w:val="24"/>
        </w:rPr>
        <w:t>S</w:t>
      </w:r>
      <w:r w:rsidR="00C82D07" w:rsidRPr="00AA4677">
        <w:rPr>
          <w:rFonts w:eastAsia="Times New Roman" w:cs="Times New Roman"/>
          <w:b/>
          <w:szCs w:val="24"/>
        </w:rPr>
        <w:t>tate</w:t>
      </w:r>
      <w:r w:rsidRPr="00AA4677">
        <w:rPr>
          <w:rFonts w:eastAsia="Times New Roman" w:cs="Times New Roman"/>
          <w:b/>
          <w:szCs w:val="24"/>
        </w:rPr>
        <w:t>:</w:t>
      </w:r>
      <w:r w:rsidR="008B0347" w:rsidRPr="00AA4677">
        <w:rPr>
          <w:rFonts w:eastAsia="Times New Roman" w:cs="Times New Roman"/>
          <w:szCs w:val="24"/>
        </w:rPr>
        <w:t xml:space="preserve"> </w:t>
      </w:r>
      <w:r w:rsidRPr="00AA4677">
        <w:rPr>
          <w:rFonts w:eastAsia="Times New Roman" w:cs="Times New Roman"/>
          <w:szCs w:val="24"/>
        </w:rPr>
        <w:t>Per the Family Health Care Decisions Act (FHCDA), a person in the highest category on the following surrogate list who is available, willing and competent to make decisions for the incapable patient, and is identified when there is no health care agent:</w:t>
      </w:r>
    </w:p>
    <w:p w14:paraId="3987744A" w14:textId="5B791B5E" w:rsidR="00FC174E" w:rsidRPr="00AA4677" w:rsidRDefault="00FC174E" w:rsidP="00C129F1">
      <w:pPr>
        <w:numPr>
          <w:ilvl w:val="0"/>
          <w:numId w:val="2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 court-appointed guardian (per NYS Mental Health Law Article 81</w:t>
      </w:r>
      <w:proofErr w:type="gramStart"/>
      <w:r w:rsidRPr="00AA4677">
        <w:rPr>
          <w:rFonts w:eastAsia="Times New Roman" w:cs="Times New Roman"/>
          <w:szCs w:val="24"/>
        </w:rPr>
        <w:t>)</w:t>
      </w:r>
      <w:r w:rsidR="002717C3" w:rsidRPr="00AA4677">
        <w:rPr>
          <w:rFonts w:eastAsia="Times New Roman" w:cs="Times New Roman"/>
          <w:szCs w:val="24"/>
        </w:rPr>
        <w:t>;</w:t>
      </w:r>
      <w:proofErr w:type="gramEnd"/>
    </w:p>
    <w:p w14:paraId="1C8500DE" w14:textId="6DEB7BD0" w:rsidR="00FC174E" w:rsidRPr="00AA4677" w:rsidRDefault="00FC174E" w:rsidP="00C129F1">
      <w:pPr>
        <w:numPr>
          <w:ilvl w:val="0"/>
          <w:numId w:val="2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An individual designated as a representative/agent through a health care proxy that is appropriately executed. For a health care proxy to be effective, it must have been signed at a time when the subject had </w:t>
      </w:r>
      <w:r w:rsidR="00F051CA" w:rsidRPr="00AA4677">
        <w:rPr>
          <w:rFonts w:eastAsia="Times New Roman" w:cs="Times New Roman"/>
          <w:szCs w:val="24"/>
        </w:rPr>
        <w:t>decision-making</w:t>
      </w:r>
      <w:r w:rsidRPr="00AA4677">
        <w:rPr>
          <w:rFonts w:eastAsia="Times New Roman" w:cs="Times New Roman"/>
          <w:szCs w:val="24"/>
        </w:rPr>
        <w:t xml:space="preserve"> capacity. The subject’s wishes, if any, </w:t>
      </w:r>
      <w:proofErr w:type="gramStart"/>
      <w:r w:rsidRPr="00AA4677">
        <w:rPr>
          <w:rFonts w:eastAsia="Times New Roman" w:cs="Times New Roman"/>
          <w:szCs w:val="24"/>
        </w:rPr>
        <w:t>with regard to</w:t>
      </w:r>
      <w:proofErr w:type="gramEnd"/>
      <w:r w:rsidRPr="00AA4677">
        <w:rPr>
          <w:rFonts w:eastAsia="Times New Roman" w:cs="Times New Roman"/>
          <w:szCs w:val="24"/>
        </w:rPr>
        <w:t xml:space="preserve"> research as expressed in the health care proxy govern (e.g., prohibiting all research or permitting only research which may provide a direct benefit</w:t>
      </w:r>
      <w:proofErr w:type="gramStart"/>
      <w:r w:rsidRPr="00AA4677">
        <w:rPr>
          <w:rFonts w:eastAsia="Times New Roman" w:cs="Times New Roman"/>
          <w:szCs w:val="24"/>
        </w:rPr>
        <w:t>)</w:t>
      </w:r>
      <w:r w:rsidR="002717C3" w:rsidRPr="00AA4677">
        <w:rPr>
          <w:rFonts w:eastAsia="Times New Roman" w:cs="Times New Roman"/>
          <w:szCs w:val="24"/>
        </w:rPr>
        <w:t>;</w:t>
      </w:r>
      <w:proofErr w:type="gramEnd"/>
      <w:r w:rsidRPr="00AA4677">
        <w:rPr>
          <w:rFonts w:eastAsia="Times New Roman" w:cs="Times New Roman"/>
          <w:szCs w:val="24"/>
        </w:rPr>
        <w:t xml:space="preserve">  </w:t>
      </w:r>
    </w:p>
    <w:p w14:paraId="357F1127" w14:textId="77777777" w:rsidR="00FC174E" w:rsidRPr="00AA4677" w:rsidRDefault="00FC174E" w:rsidP="00C129F1">
      <w:pPr>
        <w:numPr>
          <w:ilvl w:val="0"/>
          <w:numId w:val="2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spouse, if not legally separated from the patient,  or  the domestic </w:t>
      </w:r>
      <w:proofErr w:type="gramStart"/>
      <w:r w:rsidRPr="00AA4677">
        <w:rPr>
          <w:rFonts w:eastAsia="Times New Roman" w:cs="Times New Roman"/>
          <w:szCs w:val="24"/>
        </w:rPr>
        <w:t>partner;</w:t>
      </w:r>
      <w:proofErr w:type="gramEnd"/>
    </w:p>
    <w:p w14:paraId="66C1CA1A" w14:textId="77777777" w:rsidR="00FC174E" w:rsidRPr="00AA4677" w:rsidRDefault="00FC174E" w:rsidP="00C129F1">
      <w:pPr>
        <w:numPr>
          <w:ilvl w:val="0"/>
          <w:numId w:val="2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 son or daughter eighteen years of age or </w:t>
      </w:r>
      <w:proofErr w:type="gramStart"/>
      <w:r w:rsidRPr="00AA4677">
        <w:rPr>
          <w:rFonts w:eastAsia="Times New Roman" w:cs="Times New Roman"/>
          <w:szCs w:val="24"/>
        </w:rPr>
        <w:t>older;</w:t>
      </w:r>
      <w:proofErr w:type="gramEnd"/>
    </w:p>
    <w:p w14:paraId="3373257B" w14:textId="77777777" w:rsidR="00FC174E" w:rsidRPr="00AA4677" w:rsidRDefault="00FC174E" w:rsidP="00C129F1">
      <w:pPr>
        <w:numPr>
          <w:ilvl w:val="0"/>
          <w:numId w:val="2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 </w:t>
      </w:r>
      <w:proofErr w:type="gramStart"/>
      <w:r w:rsidRPr="00AA4677">
        <w:rPr>
          <w:rFonts w:eastAsia="Times New Roman" w:cs="Times New Roman"/>
          <w:szCs w:val="24"/>
        </w:rPr>
        <w:t>parent;</w:t>
      </w:r>
      <w:proofErr w:type="gramEnd"/>
    </w:p>
    <w:p w14:paraId="6371B7F3" w14:textId="211F2B6A" w:rsidR="00FC174E" w:rsidRPr="00AA4677" w:rsidRDefault="00FC174E" w:rsidP="00C129F1">
      <w:pPr>
        <w:numPr>
          <w:ilvl w:val="0"/>
          <w:numId w:val="2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 brother or sister eighteen years of age or older;</w:t>
      </w:r>
      <w:r w:rsidR="002717C3" w:rsidRPr="00AA4677">
        <w:rPr>
          <w:rFonts w:eastAsia="Times New Roman" w:cs="Times New Roman"/>
          <w:szCs w:val="24"/>
        </w:rPr>
        <w:t xml:space="preserve"> or</w:t>
      </w:r>
    </w:p>
    <w:p w14:paraId="1CAABE12" w14:textId="77777777" w:rsidR="00FC174E" w:rsidRPr="00AA4677" w:rsidRDefault="00FC174E" w:rsidP="00C129F1">
      <w:pPr>
        <w:numPr>
          <w:ilvl w:val="0"/>
          <w:numId w:val="2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 close friend (meaning a person eighteen (18) years of age or older who has maintained such regular contact with the subject as to be familiar with the subject’s activities, health and beliefs).</w:t>
      </w:r>
    </w:p>
    <w:p w14:paraId="5D4A7561" w14:textId="1CD6407B"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Neonate</w:t>
      </w:r>
      <w:r w:rsidR="002717C3" w:rsidRPr="00AA4677">
        <w:rPr>
          <w:rFonts w:eastAsia="Times New Roman" w:cs="Times New Roman"/>
          <w:b/>
          <w:bCs/>
          <w:szCs w:val="24"/>
        </w:rPr>
        <w:t>:</w:t>
      </w:r>
      <w:r w:rsidR="00C82D07" w:rsidRPr="00AA4677">
        <w:rPr>
          <w:rFonts w:eastAsia="Times New Roman" w:cs="Times New Roman"/>
          <w:szCs w:val="24"/>
        </w:rPr>
        <w:t xml:space="preserve"> N</w:t>
      </w:r>
      <w:r w:rsidRPr="00AA4677">
        <w:rPr>
          <w:rFonts w:eastAsia="Times New Roman" w:cs="Times New Roman"/>
          <w:szCs w:val="24"/>
        </w:rPr>
        <w:t>ewborn.</w:t>
      </w:r>
    </w:p>
    <w:p w14:paraId="0C85F6F6" w14:textId="526391C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Viable neonate</w:t>
      </w:r>
      <w:r w:rsidR="002717C3" w:rsidRPr="00AA4677">
        <w:rPr>
          <w:rFonts w:eastAsia="Times New Roman" w:cs="Times New Roman"/>
          <w:b/>
          <w:bCs/>
          <w:szCs w:val="24"/>
        </w:rPr>
        <w:t>:</w:t>
      </w:r>
      <w:r w:rsidR="00C82D07" w:rsidRPr="00AA4677">
        <w:rPr>
          <w:rFonts w:eastAsia="Times New Roman" w:cs="Times New Roman"/>
          <w:szCs w:val="24"/>
        </w:rPr>
        <w:t> B</w:t>
      </w:r>
      <w:r w:rsidRPr="00AA4677">
        <w:rPr>
          <w:rFonts w:eastAsia="Times New Roman" w:cs="Times New Roman"/>
          <w:szCs w:val="24"/>
        </w:rPr>
        <w:t>eing able, after delivery, to survive to the point of being independently maintaining heart and respiration (given the benefit of available medical therapy).</w:t>
      </w:r>
    </w:p>
    <w:p w14:paraId="0A60045A" w14:textId="3D2945A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Non-viable neonate</w:t>
      </w:r>
      <w:r w:rsidR="002717C3" w:rsidRPr="00AA4677">
        <w:rPr>
          <w:rFonts w:eastAsia="Times New Roman" w:cs="Times New Roman"/>
          <w:b/>
          <w:bCs/>
          <w:szCs w:val="24"/>
        </w:rPr>
        <w:t>:</w:t>
      </w:r>
      <w:r w:rsidR="00C82D07" w:rsidRPr="00AA4677">
        <w:rPr>
          <w:rFonts w:eastAsia="Times New Roman" w:cs="Times New Roman"/>
          <w:szCs w:val="24"/>
        </w:rPr>
        <w:t xml:space="preserve"> S</w:t>
      </w:r>
      <w:r w:rsidRPr="00AA4677">
        <w:rPr>
          <w:rFonts w:eastAsia="Times New Roman" w:cs="Times New Roman"/>
          <w:szCs w:val="24"/>
        </w:rPr>
        <w:t>ame as a non-viable fetus.</w:t>
      </w:r>
    </w:p>
    <w:p w14:paraId="2093A107" w14:textId="01C80D66"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Pregnancy</w:t>
      </w:r>
      <w:r w:rsidR="002717C3" w:rsidRPr="00AA4677">
        <w:rPr>
          <w:rFonts w:eastAsia="Times New Roman" w:cs="Times New Roman"/>
          <w:b/>
          <w:bCs/>
          <w:szCs w:val="24"/>
        </w:rPr>
        <w:t xml:space="preserve">: </w:t>
      </w:r>
      <w:r w:rsidR="00C82D07" w:rsidRPr="00AA4677">
        <w:rPr>
          <w:rFonts w:eastAsia="Times New Roman" w:cs="Times New Roman"/>
          <w:szCs w:val="24"/>
        </w:rPr>
        <w:t>T</w:t>
      </w:r>
      <w:r w:rsidRPr="00AA4677">
        <w:rPr>
          <w:rFonts w:eastAsia="Times New Roman" w:cs="Times New Roman"/>
          <w:szCs w:val="24"/>
        </w:rPr>
        <w:t xml:space="preserve">he </w:t>
      </w:r>
      <w:proofErr w:type="gramStart"/>
      <w:r w:rsidRPr="00AA4677">
        <w:rPr>
          <w:rFonts w:eastAsia="Times New Roman" w:cs="Times New Roman"/>
          <w:szCs w:val="24"/>
        </w:rPr>
        <w:t>period of time</w:t>
      </w:r>
      <w:proofErr w:type="gramEnd"/>
      <w:r w:rsidRPr="00AA4677">
        <w:rPr>
          <w:rFonts w:eastAsia="Times New Roman" w:cs="Times New Roman"/>
          <w:szCs w:val="24"/>
        </w:rPr>
        <w:t xml:space="preserve"> from confirmation of implantation (through any of the presumptive signs of pregnancy, such as missed menses, or by a medically acceptable pregnancy test), </w:t>
      </w:r>
      <w:proofErr w:type="gramStart"/>
      <w:r w:rsidRPr="00AA4677">
        <w:rPr>
          <w:rFonts w:eastAsia="Times New Roman" w:cs="Times New Roman"/>
          <w:szCs w:val="24"/>
        </w:rPr>
        <w:t>until</w:t>
      </w:r>
      <w:proofErr w:type="gramEnd"/>
      <w:r w:rsidRPr="00AA4677">
        <w:rPr>
          <w:rFonts w:eastAsia="Times New Roman" w:cs="Times New Roman"/>
          <w:szCs w:val="24"/>
        </w:rPr>
        <w:t xml:space="preserve"> expulsion or extraction of the fetus.</w:t>
      </w:r>
    </w:p>
    <w:p w14:paraId="5A954316" w14:textId="5FA7A1B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Prisoner</w:t>
      </w:r>
      <w:r w:rsidR="002717C3" w:rsidRPr="00AA4677">
        <w:rPr>
          <w:rFonts w:eastAsia="Times New Roman" w:cs="Times New Roman"/>
          <w:b/>
          <w:bCs/>
          <w:szCs w:val="24"/>
        </w:rPr>
        <w:t xml:space="preserve">: </w:t>
      </w:r>
      <w:r w:rsidR="00C82D07" w:rsidRPr="00AA4677">
        <w:rPr>
          <w:rFonts w:eastAsia="Times New Roman" w:cs="Times New Roman"/>
          <w:szCs w:val="24"/>
        </w:rPr>
        <w:t>A</w:t>
      </w:r>
      <w:r w:rsidR="002415B7" w:rsidRPr="00AA4677">
        <w:rPr>
          <w:rFonts w:eastAsia="Times New Roman" w:cs="Times New Roman"/>
          <w:szCs w:val="24"/>
        </w:rPr>
        <w:t>n</w:t>
      </w:r>
      <w:r w:rsidRPr="00AA4677">
        <w:rPr>
          <w:rFonts w:eastAsia="Times New Roman" w:cs="Times New Roman"/>
          <w:szCs w:val="24"/>
        </w:rPr>
        <w:t xml:space="preserve"> individual involuntarily confined or </w:t>
      </w:r>
      <w:proofErr w:type="gramStart"/>
      <w:r w:rsidRPr="00AA4677">
        <w:rPr>
          <w:rFonts w:eastAsia="Times New Roman" w:cs="Times New Roman"/>
          <w:szCs w:val="24"/>
        </w:rPr>
        <w:t>detained</w:t>
      </w:r>
      <w:r w:rsidR="004C6E97" w:rsidRPr="00AA4677">
        <w:rPr>
          <w:rFonts w:eastAsia="Times New Roman" w:cs="Times New Roman"/>
          <w:strike/>
          <w:szCs w:val="24"/>
        </w:rPr>
        <w:t>.</w:t>
      </w:r>
      <w:r w:rsidRPr="00AA4677">
        <w:rPr>
          <w:rFonts w:eastAsia="Times New Roman" w:cs="Times New Roman"/>
          <w:szCs w:val="24"/>
        </w:rPr>
        <w:t>.</w:t>
      </w:r>
      <w:proofErr w:type="gramEnd"/>
      <w:r w:rsidRPr="00AA4677">
        <w:rPr>
          <w:rFonts w:eastAsia="Times New Roman" w:cs="Times New Roman"/>
          <w:szCs w:val="24"/>
        </w:rPr>
        <w:t xml:space="preserve"> The term is intended to encompass individuals sentenced to such an institution under a criminal or civil statute, individuals detained in other facilities by virtue of statutes or commitment procedures that provide alternatives to criminal prosecution or incarceration in a penal institution, and individuals detained pending arraignment, trial, or sentencing.</w:t>
      </w:r>
    </w:p>
    <w:p w14:paraId="2B3B9004" w14:textId="7785892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lastRenderedPageBreak/>
        <w:t>Surrogate Consent</w:t>
      </w:r>
      <w:r w:rsidR="002717C3" w:rsidRPr="00AA4677">
        <w:rPr>
          <w:rFonts w:eastAsia="Times New Roman" w:cs="Times New Roman"/>
          <w:b/>
          <w:bCs/>
          <w:szCs w:val="24"/>
        </w:rPr>
        <w:t>:</w:t>
      </w:r>
      <w:r w:rsidR="00C82D07" w:rsidRPr="00AA4677">
        <w:rPr>
          <w:rFonts w:eastAsia="Times New Roman" w:cs="Times New Roman"/>
          <w:szCs w:val="24"/>
        </w:rPr>
        <w:t xml:space="preserve"> O</w:t>
      </w:r>
      <w:r w:rsidRPr="00AA4677">
        <w:rPr>
          <w:rFonts w:eastAsia="Times New Roman" w:cs="Times New Roman"/>
          <w:szCs w:val="24"/>
        </w:rPr>
        <w:t xml:space="preserve">btained from a legally authorized representative on behalf of a </w:t>
      </w:r>
      <w:r w:rsidR="00BF7470" w:rsidRPr="00AA4677">
        <w:rPr>
          <w:rFonts w:eastAsia="Times New Roman" w:cs="Times New Roman"/>
          <w:szCs w:val="24"/>
        </w:rPr>
        <w:t>subject</w:t>
      </w:r>
      <w:r w:rsidRPr="00AA4677">
        <w:rPr>
          <w:rFonts w:eastAsia="Times New Roman" w:cs="Times New Roman"/>
          <w:szCs w:val="24"/>
        </w:rPr>
        <w:t xml:space="preserve"> determined to lack decision-making capacity.</w:t>
      </w:r>
    </w:p>
    <w:p w14:paraId="2710A7F2" w14:textId="77777777" w:rsidR="00FC174E" w:rsidRPr="00AA4677" w:rsidRDefault="00FC174E" w:rsidP="00696B35">
      <w:pPr>
        <w:pStyle w:val="Heading2"/>
      </w:pPr>
      <w:bookmarkStart w:id="113" w:name="_Toc192678213"/>
      <w:r w:rsidRPr="00AA4677">
        <w:t>6.3 Involvement of Vulnerable Populations</w:t>
      </w:r>
      <w:bookmarkEnd w:id="113"/>
    </w:p>
    <w:p w14:paraId="53BC47AB" w14:textId="4F2EEF9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some or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w:t>
      </w:r>
      <w:r w:rsidR="00BF7470" w:rsidRPr="00AA4677">
        <w:rPr>
          <w:rFonts w:eastAsia="Times New Roman" w:cs="Times New Roman"/>
          <w:szCs w:val="24"/>
        </w:rPr>
        <w:t>subject</w:t>
      </w:r>
      <w:r w:rsidRPr="00AA4677">
        <w:rPr>
          <w:rFonts w:eastAsia="Times New Roman" w:cs="Times New Roman"/>
          <w:szCs w:val="24"/>
        </w:rPr>
        <w:t xml:space="preserve">s in a protocol are likely to be vulnerable to coercion or undue influence, </w:t>
      </w:r>
      <w:r w:rsidR="002717C3"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should include additional safeguards to protect the rights and welfare of these </w:t>
      </w:r>
      <w:r w:rsidR="00BF7470" w:rsidRPr="00AA4677">
        <w:rPr>
          <w:rFonts w:eastAsia="Times New Roman" w:cs="Times New Roman"/>
          <w:szCs w:val="24"/>
        </w:rPr>
        <w:t>subject</w:t>
      </w:r>
      <w:r w:rsidRPr="00AA4677">
        <w:rPr>
          <w:rFonts w:eastAsia="Times New Roman" w:cs="Times New Roman"/>
          <w:szCs w:val="24"/>
        </w:rPr>
        <w:t>s.  Some of the vulnerable populations that might be involved in research include children, pregnant women, fetuses, neonates, prisoners, adults who lack the ability to consent, students, employees, or homeless persons.</w:t>
      </w:r>
    </w:p>
    <w:p w14:paraId="4D756DBD" w14:textId="376FDB01" w:rsidR="00CD1B1A" w:rsidRPr="00AA4677" w:rsidRDefault="00CD1B1A" w:rsidP="00FC174E">
      <w:pPr>
        <w:shd w:val="clear" w:color="auto" w:fill="FFFFFF"/>
        <w:spacing w:before="100" w:beforeAutospacing="1" w:after="100" w:afterAutospacing="1" w:line="240" w:lineRule="auto"/>
        <w:rPr>
          <w:rFonts w:eastAsia="Times New Roman" w:cs="Times New Roman"/>
          <w:szCs w:val="24"/>
        </w:rPr>
      </w:pPr>
      <w:bookmarkStart w:id="114" w:name="_Hlk180669879"/>
      <w:r w:rsidRPr="00AA4677">
        <w:rPr>
          <w:rFonts w:eastAsia="Times New Roman" w:cs="Times New Roman"/>
          <w:szCs w:val="24"/>
        </w:rPr>
        <w:t>The IRB does not generally allow a researcher to</w:t>
      </w:r>
      <w:r w:rsidR="006B4BB9" w:rsidRPr="00AA4677">
        <w:rPr>
          <w:rFonts w:eastAsia="Times New Roman" w:cs="Times New Roman"/>
          <w:szCs w:val="24"/>
        </w:rPr>
        <w:t xml:space="preserve"> enroll in his or her own study or</w:t>
      </w:r>
      <w:r w:rsidRPr="00AA4677">
        <w:rPr>
          <w:rFonts w:eastAsia="Times New Roman" w:cs="Times New Roman"/>
          <w:szCs w:val="24"/>
        </w:rPr>
        <w:t xml:space="preserve"> use his or her own employees</w:t>
      </w:r>
      <w:r w:rsidR="001668DC" w:rsidRPr="00AA4677">
        <w:rPr>
          <w:rFonts w:eastAsia="Times New Roman" w:cs="Times New Roman"/>
          <w:szCs w:val="24"/>
        </w:rPr>
        <w:t xml:space="preserve"> as subjects</w:t>
      </w:r>
      <w:r w:rsidRPr="00AA4677">
        <w:rPr>
          <w:rFonts w:eastAsia="Times New Roman" w:cs="Times New Roman"/>
          <w:szCs w:val="24"/>
        </w:rPr>
        <w:t xml:space="preserve"> for a study.</w:t>
      </w:r>
      <w:r w:rsidR="00822A94" w:rsidRPr="00AA4677">
        <w:rPr>
          <w:rFonts w:eastAsia="Times New Roman" w:cs="Times New Roman"/>
          <w:szCs w:val="24"/>
        </w:rPr>
        <w:t xml:space="preserve"> </w:t>
      </w:r>
      <w:r w:rsidRPr="00AA4677">
        <w:rPr>
          <w:rFonts w:eastAsia="Times New Roman" w:cs="Times New Roman"/>
          <w:szCs w:val="24"/>
        </w:rPr>
        <w:t>It is understood that by virtue of the individual’s dependent position, an employee represents a vulnerable population</w:t>
      </w:r>
      <w:r w:rsidR="00822A94" w:rsidRPr="00AA4677">
        <w:rPr>
          <w:rFonts w:eastAsia="Times New Roman" w:cs="Times New Roman"/>
          <w:szCs w:val="24"/>
        </w:rPr>
        <w:t>. However, a principal investigator who does not supervi</w:t>
      </w:r>
      <w:r w:rsidR="007A3637" w:rsidRPr="00AA4677">
        <w:rPr>
          <w:rFonts w:eastAsia="Times New Roman" w:cs="Times New Roman"/>
          <w:szCs w:val="24"/>
        </w:rPr>
        <w:t>se</w:t>
      </w:r>
      <w:r w:rsidR="00822A94" w:rsidRPr="00AA4677">
        <w:rPr>
          <w:rFonts w:eastAsia="Times New Roman" w:cs="Times New Roman"/>
          <w:szCs w:val="24"/>
        </w:rPr>
        <w:t xml:space="preserve"> employees </w:t>
      </w:r>
      <w:r w:rsidRPr="00AA4677">
        <w:rPr>
          <w:rFonts w:eastAsia="Times New Roman" w:cs="Times New Roman"/>
          <w:szCs w:val="24"/>
        </w:rPr>
        <w:t>may announce a study at a staff meeting or place a flyer in areas where a staff member may see it</w:t>
      </w:r>
      <w:r w:rsidR="00822A94" w:rsidRPr="00AA4677">
        <w:rPr>
          <w:rFonts w:eastAsia="Times New Roman" w:cs="Times New Roman"/>
          <w:szCs w:val="24"/>
        </w:rPr>
        <w:t>. T</w:t>
      </w:r>
      <w:r w:rsidRPr="00AA4677">
        <w:rPr>
          <w:rFonts w:eastAsia="Times New Roman" w:cs="Times New Roman"/>
          <w:szCs w:val="24"/>
        </w:rPr>
        <w:t>h</w:t>
      </w:r>
      <w:r w:rsidR="00822A94" w:rsidRPr="00AA4677">
        <w:rPr>
          <w:rFonts w:eastAsia="Times New Roman" w:cs="Times New Roman"/>
          <w:szCs w:val="24"/>
        </w:rPr>
        <w:t>e PI</w:t>
      </w:r>
      <w:r w:rsidRPr="00AA4677">
        <w:rPr>
          <w:rFonts w:eastAsia="Times New Roman" w:cs="Times New Roman"/>
          <w:szCs w:val="24"/>
        </w:rPr>
        <w:t xml:space="preserve"> should</w:t>
      </w:r>
      <w:r w:rsidR="00822A94" w:rsidRPr="00AA4677">
        <w:rPr>
          <w:rFonts w:eastAsia="Times New Roman" w:cs="Times New Roman"/>
          <w:szCs w:val="24"/>
        </w:rPr>
        <w:t xml:space="preserve"> </w:t>
      </w:r>
      <w:r w:rsidRPr="00AA4677">
        <w:rPr>
          <w:rFonts w:eastAsia="Times New Roman" w:cs="Times New Roman"/>
          <w:szCs w:val="24"/>
        </w:rPr>
        <w:t>not endorse a study or otherwise encourage an employee to</w:t>
      </w:r>
      <w:r w:rsidR="00822A94" w:rsidRPr="00AA4677">
        <w:rPr>
          <w:rFonts w:eastAsia="Times New Roman" w:cs="Times New Roman"/>
          <w:szCs w:val="24"/>
        </w:rPr>
        <w:t xml:space="preserve"> enroll</w:t>
      </w:r>
      <w:r w:rsidR="006C313E" w:rsidRPr="00AA4677">
        <w:rPr>
          <w:rFonts w:eastAsia="Times New Roman" w:cs="Times New Roman"/>
          <w:szCs w:val="24"/>
        </w:rPr>
        <w:t>.</w:t>
      </w:r>
      <w:r w:rsidR="00822A94" w:rsidRPr="00AA4677">
        <w:rPr>
          <w:rFonts w:eastAsia="Times New Roman" w:cs="Times New Roman"/>
          <w:szCs w:val="24"/>
        </w:rPr>
        <w:t xml:space="preserve"> Princip</w:t>
      </w:r>
      <w:r w:rsidR="00E921A7" w:rsidRPr="00AA4677">
        <w:rPr>
          <w:rFonts w:eastAsia="Times New Roman" w:cs="Times New Roman"/>
          <w:szCs w:val="24"/>
        </w:rPr>
        <w:t>al</w:t>
      </w:r>
      <w:r w:rsidR="00822A94" w:rsidRPr="00AA4677">
        <w:rPr>
          <w:rFonts w:eastAsia="Times New Roman" w:cs="Times New Roman"/>
          <w:szCs w:val="24"/>
        </w:rPr>
        <w:t xml:space="preserve"> Investigators</w:t>
      </w:r>
      <w:r w:rsidRPr="00AA4677">
        <w:rPr>
          <w:rFonts w:eastAsia="Times New Roman" w:cs="Times New Roman"/>
          <w:szCs w:val="24"/>
        </w:rPr>
        <w:t xml:space="preserve"> should </w:t>
      </w:r>
      <w:r w:rsidR="00B24738" w:rsidRPr="00AA4677">
        <w:rPr>
          <w:rFonts w:eastAsia="Times New Roman" w:cs="Times New Roman"/>
          <w:szCs w:val="24"/>
        </w:rPr>
        <w:t xml:space="preserve">also </w:t>
      </w:r>
      <w:r w:rsidRPr="00AA4677">
        <w:rPr>
          <w:rFonts w:eastAsia="Times New Roman" w:cs="Times New Roman"/>
          <w:szCs w:val="24"/>
        </w:rPr>
        <w:t>be aware of the individual’s time</w:t>
      </w:r>
      <w:r w:rsidR="00B24738" w:rsidRPr="00AA4677">
        <w:rPr>
          <w:rFonts w:eastAsia="Times New Roman" w:cs="Times New Roman"/>
          <w:szCs w:val="24"/>
        </w:rPr>
        <w:t xml:space="preserve"> as i</w:t>
      </w:r>
      <w:r w:rsidRPr="00AA4677">
        <w:rPr>
          <w:rFonts w:eastAsia="Times New Roman" w:cs="Times New Roman"/>
          <w:szCs w:val="24"/>
        </w:rPr>
        <w:t>t would be unfair to place a burden on an employee or cause the individual to lose productivity which could affect their job</w:t>
      </w:r>
      <w:r w:rsidR="00822A94" w:rsidRPr="00AA4677">
        <w:rPr>
          <w:rFonts w:eastAsia="Times New Roman" w:cs="Times New Roman"/>
          <w:szCs w:val="24"/>
        </w:rPr>
        <w:t xml:space="preserve"> because of their participation</w:t>
      </w:r>
      <w:r w:rsidRPr="00AA4677">
        <w:rPr>
          <w:rFonts w:eastAsia="Times New Roman" w:cs="Times New Roman"/>
          <w:szCs w:val="24"/>
        </w:rPr>
        <w:t>.</w:t>
      </w:r>
    </w:p>
    <w:bookmarkEnd w:id="114"/>
    <w:p w14:paraId="2CA4A031" w14:textId="009904BD" w:rsidR="00055CCD" w:rsidRPr="00AA4677" w:rsidRDefault="00FC174E" w:rsidP="008B034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w:t>
      </w:r>
      <w:r w:rsidR="002717C3"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reviews research that </w:t>
      </w:r>
      <w:r w:rsidR="00343990" w:rsidRPr="00AA4677">
        <w:rPr>
          <w:rFonts w:eastAsia="Times New Roman" w:cs="Times New Roman"/>
          <w:szCs w:val="24"/>
        </w:rPr>
        <w:t>targets for enrollment</w:t>
      </w:r>
      <w:r w:rsidRPr="00AA4677">
        <w:rPr>
          <w:rFonts w:eastAsia="Times New Roman" w:cs="Times New Roman"/>
          <w:szCs w:val="24"/>
        </w:rPr>
        <w:t xml:space="preserve"> categories of </w:t>
      </w:r>
      <w:r w:rsidR="00BF7470" w:rsidRPr="00AA4677">
        <w:rPr>
          <w:rFonts w:eastAsia="Times New Roman" w:cs="Times New Roman"/>
          <w:szCs w:val="24"/>
        </w:rPr>
        <w:t>subject</w:t>
      </w:r>
      <w:r w:rsidRPr="00AA4677">
        <w:rPr>
          <w:rFonts w:eastAsia="Times New Roman" w:cs="Times New Roman"/>
          <w:szCs w:val="24"/>
        </w:rPr>
        <w:t xml:space="preserve">s vulnerable to coercion or undue influence, the review process will include one or more individuals who are knowledgeable about or experienced in working with these </w:t>
      </w:r>
      <w:r w:rsidR="00BF7470" w:rsidRPr="00AA4677">
        <w:rPr>
          <w:rFonts w:eastAsia="Times New Roman" w:cs="Times New Roman"/>
          <w:szCs w:val="24"/>
        </w:rPr>
        <w:t>subject</w:t>
      </w:r>
      <w:r w:rsidRPr="00AA4677">
        <w:rPr>
          <w:rFonts w:eastAsia="Times New Roman" w:cs="Times New Roman"/>
          <w:szCs w:val="24"/>
        </w:rPr>
        <w:t xml:space="preserve">s. For example, </w:t>
      </w:r>
      <w:r w:rsidR="002717C3"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include one or more individuals who are knowledgeable about or experienced in working with children, prisoners, or adults with limited decision-making capacity, when reviewing research that involves individuals from these populations.</w:t>
      </w:r>
    </w:p>
    <w:p w14:paraId="11983DB3" w14:textId="30BC62A4" w:rsidR="00FC174E" w:rsidRPr="00AA4677" w:rsidRDefault="00FC174E" w:rsidP="00696B35">
      <w:pPr>
        <w:pStyle w:val="Heading2"/>
      </w:pPr>
      <w:bookmarkStart w:id="115" w:name="_Toc192678214"/>
      <w:r w:rsidRPr="00AA4677">
        <w:t xml:space="preserve">6.4 </w:t>
      </w:r>
      <w:r w:rsidR="00343990" w:rsidRPr="00AA4677">
        <w:t>FWA and the 45 CFR 46 Subparts</w:t>
      </w:r>
      <w:bookmarkEnd w:id="115"/>
      <w:r w:rsidR="00343990" w:rsidRPr="00AA4677">
        <w:t xml:space="preserve"> </w:t>
      </w:r>
    </w:p>
    <w:p w14:paraId="5A46573A" w14:textId="77777777" w:rsidR="00343990" w:rsidRPr="00AA4677" w:rsidRDefault="00343990" w:rsidP="00343990">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45 CFR 46 has additional subparts designed to provide extra </w:t>
      </w:r>
      <w:proofErr w:type="gramStart"/>
      <w:r w:rsidRPr="00AA4677">
        <w:rPr>
          <w:rFonts w:eastAsia="Times New Roman" w:cs="Times New Roman"/>
          <w:szCs w:val="24"/>
        </w:rPr>
        <w:t>protections</w:t>
      </w:r>
      <w:proofErr w:type="gramEnd"/>
      <w:r w:rsidRPr="00AA4677">
        <w:rPr>
          <w:rFonts w:eastAsia="Times New Roman" w:cs="Times New Roman"/>
          <w:szCs w:val="24"/>
        </w:rPr>
        <w:t xml:space="preserve"> for vulnerable populations that also have additional requirements for the IRB.</w:t>
      </w:r>
    </w:p>
    <w:p w14:paraId="578D3B1D" w14:textId="77777777" w:rsidR="00343990" w:rsidRPr="00AA4677" w:rsidRDefault="00343990" w:rsidP="00343990">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Subpart B - Additional Protections for Pregnant Women, Human Fetuses and Neonates Involved in Research</w:t>
      </w:r>
    </w:p>
    <w:p w14:paraId="6021A8B7" w14:textId="77777777" w:rsidR="00343990" w:rsidRPr="00AA4677" w:rsidRDefault="00343990" w:rsidP="00343990">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Subpart C - Additional Protections Pertaining to Biomedical and Behavioral Research Involving Prisoners as Subjects</w:t>
      </w:r>
    </w:p>
    <w:p w14:paraId="065264E0" w14:textId="77777777" w:rsidR="00343990" w:rsidRPr="00AA4677" w:rsidRDefault="00343990" w:rsidP="00343990">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Subpart D - Additional Protections for Children Involved as Subjects in Research</w:t>
      </w:r>
    </w:p>
    <w:p w14:paraId="20B56086" w14:textId="135A1EA5" w:rsidR="00FC174E" w:rsidRPr="00AA4677" w:rsidRDefault="00FC174E" w:rsidP="00696B35">
      <w:pPr>
        <w:pStyle w:val="Heading2"/>
      </w:pPr>
      <w:bookmarkStart w:id="116" w:name="_Toc192678215"/>
      <w:r w:rsidRPr="00AA4677">
        <w:lastRenderedPageBreak/>
        <w:t>6.5 Procedures</w:t>
      </w:r>
      <w:bookmarkEnd w:id="116"/>
    </w:p>
    <w:p w14:paraId="0B49F451"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Initial Review of Research Proposal:</w:t>
      </w:r>
    </w:p>
    <w:p w14:paraId="2F2E9175" w14:textId="41EC2733" w:rsidR="00FC174E" w:rsidRPr="00AA4677" w:rsidRDefault="00FC174E">
      <w:pPr>
        <w:pStyle w:val="ListParagraph"/>
        <w:numPr>
          <w:ilvl w:val="0"/>
          <w:numId w:val="9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PI should identify the vulnerable subjects </w:t>
      </w:r>
      <w:r w:rsidR="00877032" w:rsidRPr="00AA4677">
        <w:rPr>
          <w:rFonts w:eastAsia="Times New Roman" w:cs="Times New Roman"/>
          <w:szCs w:val="24"/>
        </w:rPr>
        <w:t xml:space="preserve">to be enrolled </w:t>
      </w:r>
      <w:r w:rsidRPr="00AA4677">
        <w:rPr>
          <w:rFonts w:eastAsia="Times New Roman" w:cs="Times New Roman"/>
          <w:szCs w:val="24"/>
        </w:rPr>
        <w:t>in the proposed research at initial review and provide the justification for their inclusion in the study.</w:t>
      </w:r>
    </w:p>
    <w:p w14:paraId="288EFAAA" w14:textId="307EEC6F" w:rsidR="00FC174E" w:rsidRPr="00AA4677" w:rsidRDefault="002717C3">
      <w:pPr>
        <w:pStyle w:val="ListParagraph"/>
        <w:numPr>
          <w:ilvl w:val="0"/>
          <w:numId w:val="9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FC174E" w:rsidRPr="00AA4677">
        <w:rPr>
          <w:rFonts w:eastAsia="Times New Roman" w:cs="Times New Roman"/>
          <w:szCs w:val="24"/>
        </w:rPr>
        <w:t xml:space="preserve">evaluates the proposed plan for consent of the specific vulnerable populations involved. If the research involves adults unable to consent, </w:t>
      </w:r>
      <w:r w:rsidR="005B5ABE"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evaluates the proposed plan for permission of legally authorized representatives.</w:t>
      </w:r>
    </w:p>
    <w:p w14:paraId="10331856" w14:textId="10412B5B" w:rsidR="00FC174E" w:rsidRPr="00AA4677" w:rsidRDefault="002717C3">
      <w:pPr>
        <w:pStyle w:val="ListParagraph"/>
        <w:numPr>
          <w:ilvl w:val="0"/>
          <w:numId w:val="9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FC174E" w:rsidRPr="00AA4677">
        <w:rPr>
          <w:rFonts w:eastAsia="Times New Roman" w:cs="Times New Roman"/>
          <w:szCs w:val="24"/>
        </w:rPr>
        <w:t xml:space="preserve">evaluates and approves the proposed plan for the assent of </w:t>
      </w:r>
      <w:r w:rsidR="00BF7470" w:rsidRPr="00AA4677">
        <w:rPr>
          <w:rFonts w:eastAsia="Times New Roman" w:cs="Times New Roman"/>
          <w:szCs w:val="24"/>
        </w:rPr>
        <w:t>subject</w:t>
      </w:r>
      <w:r w:rsidR="00FC174E" w:rsidRPr="00AA4677">
        <w:rPr>
          <w:rFonts w:eastAsia="Times New Roman" w:cs="Times New Roman"/>
          <w:szCs w:val="24"/>
        </w:rPr>
        <w:t>s, if applicable.</w:t>
      </w:r>
    </w:p>
    <w:p w14:paraId="13396726" w14:textId="29F891C0" w:rsidR="00FC174E" w:rsidRPr="00AA4677" w:rsidRDefault="002717C3">
      <w:pPr>
        <w:pStyle w:val="ListParagraph"/>
        <w:numPr>
          <w:ilvl w:val="0"/>
          <w:numId w:val="9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FC174E" w:rsidRPr="00AA4677">
        <w:rPr>
          <w:rFonts w:eastAsia="Times New Roman" w:cs="Times New Roman"/>
          <w:szCs w:val="24"/>
        </w:rPr>
        <w:t xml:space="preserve">evaluates the research to determine the need for additional </w:t>
      </w:r>
      <w:proofErr w:type="gramStart"/>
      <w:r w:rsidR="00FC174E" w:rsidRPr="00AA4677">
        <w:rPr>
          <w:rFonts w:eastAsia="Times New Roman" w:cs="Times New Roman"/>
          <w:szCs w:val="24"/>
        </w:rPr>
        <w:t>protections</w:t>
      </w:r>
      <w:proofErr w:type="gramEnd"/>
      <w:r w:rsidR="00877032" w:rsidRPr="00AA4677">
        <w:rPr>
          <w:rFonts w:eastAsia="Times New Roman" w:cs="Times New Roman"/>
          <w:szCs w:val="24"/>
        </w:rPr>
        <w:t>.</w:t>
      </w:r>
    </w:p>
    <w:p w14:paraId="30A1A74C" w14:textId="46CC1BE3" w:rsidR="00FC174E" w:rsidRPr="00AA4677" w:rsidRDefault="002717C3">
      <w:pPr>
        <w:pStyle w:val="ListParagraph"/>
        <w:numPr>
          <w:ilvl w:val="0"/>
          <w:numId w:val="9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FC174E" w:rsidRPr="00AA4677">
        <w:rPr>
          <w:rFonts w:eastAsia="Times New Roman" w:cs="Times New Roman"/>
          <w:szCs w:val="24"/>
        </w:rPr>
        <w:t>assesses the adequacy of additional protections for vulnerable populations provided by the PI.</w:t>
      </w:r>
    </w:p>
    <w:p w14:paraId="449BDD5C" w14:textId="152D7B5E"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Continuing Review and Monitoring</w:t>
      </w:r>
      <w:r w:rsidRPr="00AA4677">
        <w:rPr>
          <w:rFonts w:eastAsia="Times New Roman" w:cs="Times New Roman"/>
          <w:szCs w:val="24"/>
        </w:rPr>
        <w:t xml:space="preserve">.  At continuing </w:t>
      </w:r>
      <w:r w:rsidR="00F051CA" w:rsidRPr="00AA4677">
        <w:rPr>
          <w:rFonts w:eastAsia="Times New Roman" w:cs="Times New Roman"/>
          <w:szCs w:val="24"/>
        </w:rPr>
        <w:t>review,</w:t>
      </w:r>
      <w:r w:rsidRPr="00AA4677">
        <w:rPr>
          <w:rFonts w:eastAsia="Times New Roman" w:cs="Times New Roman"/>
          <w:szCs w:val="24"/>
        </w:rPr>
        <w:t xml:space="preserve"> the PI should identify the number of vulnerable subjects </w:t>
      </w:r>
      <w:proofErr w:type="gramStart"/>
      <w:r w:rsidRPr="00AA4677">
        <w:rPr>
          <w:rFonts w:eastAsia="Times New Roman" w:cs="Times New Roman"/>
          <w:szCs w:val="24"/>
        </w:rPr>
        <w:t>enrolled</w:t>
      </w:r>
      <w:proofErr w:type="gramEnd"/>
      <w:r w:rsidRPr="00AA4677">
        <w:rPr>
          <w:rFonts w:eastAsia="Times New Roman" w:cs="Times New Roman"/>
          <w:szCs w:val="24"/>
        </w:rPr>
        <w:t xml:space="preserve"> and any that needed an independent monitor in the progress report.</w:t>
      </w:r>
    </w:p>
    <w:p w14:paraId="2A87E897" w14:textId="77777777" w:rsidR="00FC174E" w:rsidRPr="00AA4677" w:rsidRDefault="00FC174E" w:rsidP="00696B35">
      <w:pPr>
        <w:pStyle w:val="Heading2"/>
      </w:pPr>
      <w:bookmarkStart w:id="117" w:name="_Toc192678216"/>
      <w:r w:rsidRPr="00AA4677">
        <w:t>6.6 Research Involving Pregnant Women, Human Fetuses and Neonates</w:t>
      </w:r>
      <w:bookmarkEnd w:id="117"/>
    </w:p>
    <w:p w14:paraId="0141C397" w14:textId="77777777" w:rsidR="007D2E3C" w:rsidRPr="00AA4677" w:rsidRDefault="007D2E3C" w:rsidP="007D2E3C">
      <w:pPr>
        <w:pStyle w:val="Bullet1DoDDeptofDefense"/>
        <w:numPr>
          <w:ilvl w:val="0"/>
          <w:numId w:val="0"/>
        </w:numPr>
        <w:tabs>
          <w:tab w:val="clear" w:pos="407"/>
          <w:tab w:val="clear" w:pos="673"/>
          <w:tab w:val="num" w:pos="2880"/>
        </w:tabs>
        <w:rPr>
          <w:rFonts w:asciiTheme="minorHAnsi" w:hAnsiTheme="minorHAnsi" w:cstheme="minorHAnsi"/>
          <w:color w:val="auto"/>
          <w:sz w:val="24"/>
          <w:szCs w:val="24"/>
        </w:rPr>
      </w:pPr>
    </w:p>
    <w:p w14:paraId="156329D3" w14:textId="7DECD203" w:rsidR="00F26FB0" w:rsidRPr="00AA4677" w:rsidRDefault="00FC174E">
      <w:pPr>
        <w:pStyle w:val="Bullet1DoDDeptofDefense"/>
        <w:numPr>
          <w:ilvl w:val="0"/>
          <w:numId w:val="125"/>
        </w:numPr>
        <w:tabs>
          <w:tab w:val="clear" w:pos="407"/>
          <w:tab w:val="num" w:pos="360"/>
        </w:tabs>
        <w:ind w:left="360" w:hanging="360"/>
        <w:rPr>
          <w:rFonts w:asciiTheme="minorHAnsi" w:hAnsiTheme="minorHAnsi" w:cstheme="minorHAnsi"/>
          <w:color w:val="auto"/>
          <w:sz w:val="24"/>
          <w:szCs w:val="24"/>
        </w:rPr>
      </w:pPr>
      <w:r w:rsidRPr="00AA4677">
        <w:rPr>
          <w:rFonts w:asciiTheme="minorHAnsi" w:hAnsiTheme="minorHAnsi" w:cstheme="minorHAnsi"/>
          <w:color w:val="auto"/>
          <w:sz w:val="24"/>
          <w:szCs w:val="24"/>
        </w:rPr>
        <w:t>The following applies to all research regardless of funding source.</w:t>
      </w:r>
      <w:r w:rsidR="00BB7E44" w:rsidRPr="00AA4677">
        <w:rPr>
          <w:rFonts w:asciiTheme="minorHAnsi" w:hAnsiTheme="minorHAnsi" w:cstheme="minorHAnsi"/>
          <w:color w:val="auto"/>
          <w:sz w:val="24"/>
          <w:szCs w:val="24"/>
        </w:rPr>
        <w:t xml:space="preserve"> A</w:t>
      </w:r>
      <w:r w:rsidRPr="00AA4677">
        <w:rPr>
          <w:rFonts w:asciiTheme="minorHAnsi" w:hAnsiTheme="minorHAnsi" w:cstheme="minorHAnsi"/>
          <w:color w:val="auto"/>
          <w:sz w:val="24"/>
          <w:szCs w:val="24"/>
        </w:rPr>
        <w:t xml:space="preserve">ccording to the </w:t>
      </w:r>
      <w:r w:rsidR="002717C3" w:rsidRPr="00AA4677">
        <w:rPr>
          <w:rFonts w:asciiTheme="minorHAnsi" w:hAnsiTheme="minorHAnsi" w:cstheme="minorHAnsi"/>
          <w:color w:val="auto"/>
          <w:sz w:val="24"/>
          <w:szCs w:val="24"/>
        </w:rPr>
        <w:t>University</w:t>
      </w:r>
      <w:r w:rsidRPr="00AA4677">
        <w:rPr>
          <w:rFonts w:asciiTheme="minorHAnsi" w:hAnsiTheme="minorHAnsi" w:cstheme="minorHAnsi"/>
          <w:color w:val="auto"/>
          <w:sz w:val="24"/>
          <w:szCs w:val="24"/>
        </w:rPr>
        <w:t xml:space="preserve"> FWA, Subpart B of 45 CFR 46 applies only to DHHS</w:t>
      </w:r>
      <w:r w:rsidR="002717C3" w:rsidRPr="00AA4677">
        <w:rPr>
          <w:rFonts w:asciiTheme="minorHAnsi" w:hAnsiTheme="minorHAnsi" w:cstheme="minorHAnsi"/>
          <w:color w:val="auto"/>
          <w:sz w:val="24"/>
          <w:szCs w:val="24"/>
        </w:rPr>
        <w:t xml:space="preserve"> </w:t>
      </w:r>
      <w:r w:rsidRPr="00AA4677">
        <w:rPr>
          <w:rFonts w:asciiTheme="minorHAnsi" w:hAnsiTheme="minorHAnsi" w:cstheme="minorHAnsi"/>
          <w:color w:val="auto"/>
          <w:sz w:val="24"/>
          <w:szCs w:val="24"/>
        </w:rPr>
        <w:t>funded research</w:t>
      </w:r>
      <w:r w:rsidR="00BB7E44" w:rsidRPr="00AA4677">
        <w:rPr>
          <w:rFonts w:asciiTheme="minorHAnsi" w:hAnsiTheme="minorHAnsi" w:cstheme="minorHAnsi"/>
          <w:color w:val="auto"/>
          <w:sz w:val="24"/>
          <w:szCs w:val="24"/>
        </w:rPr>
        <w:t>.</w:t>
      </w:r>
      <w:r w:rsidRPr="00AA4677">
        <w:rPr>
          <w:rFonts w:asciiTheme="minorHAnsi" w:hAnsiTheme="minorHAnsi" w:cstheme="minorHAnsi"/>
          <w:color w:val="auto"/>
          <w:sz w:val="24"/>
          <w:szCs w:val="24"/>
        </w:rPr>
        <w:t xml:space="preserve"> </w:t>
      </w:r>
      <w:r w:rsidR="00BB7E44" w:rsidRPr="00AA4677">
        <w:rPr>
          <w:rFonts w:asciiTheme="minorHAnsi" w:hAnsiTheme="minorHAnsi" w:cstheme="minorHAnsi"/>
          <w:color w:val="auto"/>
          <w:sz w:val="24"/>
          <w:szCs w:val="24"/>
        </w:rPr>
        <w:t>T</w:t>
      </w:r>
      <w:r w:rsidRPr="00AA4677">
        <w:rPr>
          <w:rFonts w:asciiTheme="minorHAnsi" w:hAnsiTheme="minorHAnsi" w:cstheme="minorHAnsi"/>
          <w:color w:val="auto"/>
          <w:sz w:val="24"/>
          <w:szCs w:val="24"/>
        </w:rPr>
        <w:t>he funding</w:t>
      </w:r>
      <w:r w:rsidR="00BB7E44" w:rsidRPr="00AA4677">
        <w:rPr>
          <w:rFonts w:asciiTheme="minorHAnsi" w:hAnsiTheme="minorHAnsi" w:cstheme="minorHAnsi"/>
          <w:color w:val="auto"/>
          <w:sz w:val="24"/>
          <w:szCs w:val="24"/>
        </w:rPr>
        <w:t xml:space="preserve"> </w:t>
      </w:r>
      <w:r w:rsidRPr="00AA4677">
        <w:rPr>
          <w:rFonts w:asciiTheme="minorHAnsi" w:hAnsiTheme="minorHAnsi" w:cstheme="minorHAnsi"/>
          <w:color w:val="auto"/>
          <w:sz w:val="24"/>
          <w:szCs w:val="24"/>
        </w:rPr>
        <w:t>source</w:t>
      </w:r>
      <w:r w:rsidR="00BB7E44" w:rsidRPr="00AA4677">
        <w:rPr>
          <w:rFonts w:asciiTheme="minorHAnsi" w:hAnsiTheme="minorHAnsi" w:cstheme="minorHAnsi"/>
          <w:color w:val="auto"/>
          <w:sz w:val="24"/>
          <w:szCs w:val="24"/>
        </w:rPr>
        <w:t>-</w:t>
      </w:r>
      <w:r w:rsidRPr="00AA4677">
        <w:rPr>
          <w:rFonts w:asciiTheme="minorHAnsi" w:hAnsiTheme="minorHAnsi" w:cstheme="minorHAnsi"/>
          <w:color w:val="auto"/>
          <w:sz w:val="24"/>
          <w:szCs w:val="24"/>
        </w:rPr>
        <w:t>specific requirements are not</w:t>
      </w:r>
      <w:r w:rsidR="008B0347" w:rsidRPr="00AA4677">
        <w:rPr>
          <w:rFonts w:asciiTheme="minorHAnsi" w:hAnsiTheme="minorHAnsi" w:cstheme="minorHAnsi"/>
          <w:color w:val="auto"/>
          <w:sz w:val="24"/>
          <w:szCs w:val="24"/>
        </w:rPr>
        <w:t>ed in the appropriate sections</w:t>
      </w:r>
      <w:r w:rsidR="00F26FB0" w:rsidRPr="00AA4677">
        <w:rPr>
          <w:rFonts w:asciiTheme="minorHAnsi" w:hAnsiTheme="minorHAnsi" w:cstheme="minorHAnsi"/>
          <w:color w:val="auto"/>
          <w:sz w:val="24"/>
          <w:szCs w:val="24"/>
        </w:rPr>
        <w:t>. Note that for Department of Defense-sponsored research, research involving pregnant women, is subject to DHHS Subpart B</w:t>
      </w:r>
      <w:r w:rsidR="00D26401" w:rsidRPr="00AA4677">
        <w:rPr>
          <w:rFonts w:asciiTheme="minorHAnsi" w:hAnsiTheme="minorHAnsi" w:cstheme="minorHAnsi"/>
          <w:color w:val="auto"/>
          <w:sz w:val="24"/>
          <w:szCs w:val="24"/>
        </w:rPr>
        <w:t xml:space="preserve"> and must receive DoD component-level administrative review (CLAR)</w:t>
      </w:r>
      <w:r w:rsidR="00F26FB0" w:rsidRPr="00AA4677">
        <w:rPr>
          <w:rFonts w:asciiTheme="minorHAnsi" w:hAnsiTheme="minorHAnsi" w:cstheme="minorHAnsi"/>
          <w:color w:val="auto"/>
          <w:sz w:val="24"/>
          <w:szCs w:val="24"/>
        </w:rPr>
        <w:t>.</w:t>
      </w:r>
    </w:p>
    <w:p w14:paraId="18483F39" w14:textId="0E2222F2" w:rsidR="00F26FB0" w:rsidRPr="00AA4677" w:rsidRDefault="00F26FB0">
      <w:pPr>
        <w:numPr>
          <w:ilvl w:val="1"/>
          <w:numId w:val="125"/>
        </w:numPr>
        <w:tabs>
          <w:tab w:val="num" w:pos="2880"/>
        </w:tabs>
        <w:spacing w:after="0" w:line="240" w:lineRule="auto"/>
        <w:ind w:left="720" w:hanging="360"/>
        <w:rPr>
          <w:rFonts w:eastAsia="Times New Roman" w:cstheme="minorHAnsi"/>
          <w:szCs w:val="24"/>
        </w:rPr>
      </w:pPr>
      <w:r w:rsidRPr="00AA4677">
        <w:rPr>
          <w:rFonts w:eastAsia="Times New Roman" w:cstheme="minorHAnsi"/>
          <w:szCs w:val="24"/>
        </w:rPr>
        <w:t>For purposes of applying Subpart B, the phr</w:t>
      </w:r>
      <w:r w:rsidR="00F35410" w:rsidRPr="00AA4677">
        <w:rPr>
          <w:rFonts w:eastAsia="Times New Roman" w:cstheme="minorHAnsi"/>
          <w:szCs w:val="24"/>
        </w:rPr>
        <w:t xml:space="preserve">ase “biomedical knowledge” must </w:t>
      </w:r>
      <w:r w:rsidRPr="00AA4677">
        <w:rPr>
          <w:rFonts w:eastAsia="Times New Roman" w:cstheme="minorHAnsi"/>
          <w:szCs w:val="24"/>
        </w:rPr>
        <w:t>be replace</w:t>
      </w:r>
      <w:r w:rsidR="00F35410" w:rsidRPr="00AA4677">
        <w:rPr>
          <w:rFonts w:eastAsia="Times New Roman" w:cstheme="minorHAnsi"/>
          <w:szCs w:val="24"/>
        </w:rPr>
        <w:t>d with “generalizable knowledge</w:t>
      </w:r>
      <w:r w:rsidRPr="00AA4677">
        <w:rPr>
          <w:rFonts w:eastAsia="Times New Roman" w:cstheme="minorHAnsi"/>
          <w:szCs w:val="24"/>
        </w:rPr>
        <w:t>”</w:t>
      </w:r>
    </w:p>
    <w:p w14:paraId="26AE30B2" w14:textId="589B5100" w:rsidR="00F26FB0" w:rsidRPr="00AA4677" w:rsidRDefault="00F26FB0">
      <w:pPr>
        <w:numPr>
          <w:ilvl w:val="1"/>
          <w:numId w:val="125"/>
        </w:numPr>
        <w:tabs>
          <w:tab w:val="num" w:pos="2880"/>
        </w:tabs>
        <w:spacing w:after="0" w:line="240" w:lineRule="auto"/>
        <w:ind w:left="720" w:hanging="360"/>
        <w:rPr>
          <w:rFonts w:eastAsia="Times New Roman" w:cstheme="minorHAnsi"/>
          <w:szCs w:val="20"/>
        </w:rPr>
      </w:pPr>
      <w:r w:rsidRPr="00AA4677">
        <w:rPr>
          <w:rFonts w:eastAsia="Times New Roman" w:cstheme="minorHAnsi"/>
          <w:szCs w:val="24"/>
        </w:rPr>
        <w:t>The applicability of Subpart B is limited to research involving pregnant women as participants in research that is more than minimal risk and includes interventions or</w:t>
      </w:r>
      <w:r w:rsidRPr="00AA4677">
        <w:rPr>
          <w:rFonts w:eastAsia="Times New Roman" w:cstheme="minorHAnsi"/>
          <w:szCs w:val="20"/>
        </w:rPr>
        <w:t xml:space="preserve"> invasive procedures to the woman or the fetus or involving fetu</w:t>
      </w:r>
      <w:r w:rsidR="00F35410" w:rsidRPr="00AA4677">
        <w:rPr>
          <w:rFonts w:eastAsia="Times New Roman" w:cstheme="minorHAnsi"/>
          <w:szCs w:val="20"/>
        </w:rPr>
        <w:t>ses or neonates as participants</w:t>
      </w:r>
    </w:p>
    <w:p w14:paraId="42A238C4" w14:textId="22F25C5C" w:rsidR="00055CCD" w:rsidRPr="00AA4677" w:rsidRDefault="00F26FB0">
      <w:pPr>
        <w:numPr>
          <w:ilvl w:val="1"/>
          <w:numId w:val="125"/>
        </w:numPr>
        <w:tabs>
          <w:tab w:val="num" w:pos="2880"/>
        </w:tabs>
        <w:spacing w:after="0" w:line="240" w:lineRule="auto"/>
        <w:ind w:left="720" w:hanging="360"/>
        <w:rPr>
          <w:rFonts w:eastAsia="Times New Roman" w:cstheme="minorHAnsi"/>
          <w:szCs w:val="24"/>
        </w:rPr>
      </w:pPr>
      <w:r w:rsidRPr="00AA4677">
        <w:rPr>
          <w:rFonts w:eastAsia="Times New Roman" w:cstheme="minorHAnsi"/>
          <w:szCs w:val="24"/>
        </w:rPr>
        <w:t>Fetal research must comply with the US Code Title 42, Chapter 6A, Subchapter III, Part H, 289g</w:t>
      </w:r>
      <w:r w:rsidR="00D26401" w:rsidRPr="00AA4677">
        <w:rPr>
          <w:rFonts w:eastAsia="Times New Roman" w:cstheme="minorHAnsi"/>
          <w:szCs w:val="24"/>
        </w:rPr>
        <w:t xml:space="preserve"> and 289g-2</w:t>
      </w:r>
    </w:p>
    <w:p w14:paraId="066AD2AF" w14:textId="77777777" w:rsidR="00961BBC" w:rsidRPr="00AA4677" w:rsidRDefault="00961BBC">
      <w:pPr>
        <w:pStyle w:val="ListParagraph"/>
        <w:numPr>
          <w:ilvl w:val="5"/>
          <w:numId w:val="313"/>
        </w:numPr>
        <w:shd w:val="clear" w:color="auto" w:fill="FFFFFF"/>
        <w:spacing w:after="0" w:line="240" w:lineRule="auto"/>
        <w:ind w:left="1170" w:hanging="450"/>
        <w:rPr>
          <w:rFonts w:cstheme="minorHAnsi"/>
        </w:rPr>
      </w:pPr>
      <w:r w:rsidRPr="00AA4677">
        <w:rPr>
          <w:rFonts w:cstheme="minorHAnsi"/>
        </w:rPr>
        <w:t>Research or experimentation may not be conducted, in the United States or in any other country, on a nonviable living human fetus ex utero or a living human fetus ex utero for whom viability has not been ascertained unless the research or experimentation:</w:t>
      </w:r>
    </w:p>
    <w:p w14:paraId="4B2140A4" w14:textId="6847F338" w:rsidR="00961BBC" w:rsidRPr="00AA4677" w:rsidRDefault="00961BBC">
      <w:pPr>
        <w:pStyle w:val="ListParagraph"/>
        <w:numPr>
          <w:ilvl w:val="0"/>
          <w:numId w:val="314"/>
        </w:numPr>
        <w:shd w:val="clear" w:color="auto" w:fill="FFFFFF"/>
        <w:spacing w:after="0" w:line="240" w:lineRule="auto"/>
        <w:ind w:left="1530"/>
        <w:rPr>
          <w:rFonts w:cstheme="minorHAnsi"/>
          <w:szCs w:val="20"/>
        </w:rPr>
      </w:pPr>
      <w:r w:rsidRPr="00AA4677">
        <w:rPr>
          <w:rFonts w:cstheme="minorHAnsi"/>
          <w:szCs w:val="20"/>
        </w:rPr>
        <w:t>May enhance the well-being or meet the health needs of the fetus or enhance the probability of its survival to viability; or</w:t>
      </w:r>
    </w:p>
    <w:p w14:paraId="55B9AED7" w14:textId="6D723FBA" w:rsidR="00961BBC" w:rsidRPr="00AA4677" w:rsidRDefault="00961BBC">
      <w:pPr>
        <w:pStyle w:val="ListParagraph"/>
        <w:numPr>
          <w:ilvl w:val="0"/>
          <w:numId w:val="314"/>
        </w:numPr>
        <w:shd w:val="clear" w:color="auto" w:fill="FFFFFF"/>
        <w:spacing w:after="0" w:line="240" w:lineRule="auto"/>
        <w:ind w:left="1530"/>
        <w:rPr>
          <w:rFonts w:cstheme="minorHAnsi"/>
          <w:szCs w:val="20"/>
        </w:rPr>
      </w:pPr>
      <w:r w:rsidRPr="00AA4677">
        <w:rPr>
          <w:rFonts w:cstheme="minorHAnsi"/>
          <w:szCs w:val="20"/>
        </w:rPr>
        <w:lastRenderedPageBreak/>
        <w:t>Will pose no added risk of suffering, injury, or death to the fetus and the purpose of the research or experimentation is the development of important biomedical knowledge which cannot be obtained by other means.</w:t>
      </w:r>
    </w:p>
    <w:p w14:paraId="04118BA6" w14:textId="5C876512" w:rsidR="00961BBC" w:rsidRPr="00AA4677" w:rsidRDefault="00961BBC">
      <w:pPr>
        <w:pStyle w:val="ListParagraph"/>
        <w:numPr>
          <w:ilvl w:val="5"/>
          <w:numId w:val="313"/>
        </w:numPr>
        <w:shd w:val="clear" w:color="auto" w:fill="FFFFFF"/>
        <w:spacing w:after="0" w:line="240" w:lineRule="auto"/>
        <w:ind w:left="1170"/>
        <w:rPr>
          <w:rFonts w:cstheme="minorHAnsi"/>
        </w:rPr>
      </w:pPr>
      <w:r w:rsidRPr="00AA4677">
        <w:rPr>
          <w:rFonts w:cstheme="minorHAnsi"/>
        </w:rPr>
        <w:t>The risk standard must be the same for fetuses which are intended to be aborted and fetuses which are intended to be carried to term.</w:t>
      </w:r>
    </w:p>
    <w:p w14:paraId="1906D6FA" w14:textId="77777777" w:rsidR="00FC174E" w:rsidRPr="00AA4677" w:rsidRDefault="00FC174E" w:rsidP="00C57C98">
      <w:pPr>
        <w:pStyle w:val="Heading3"/>
      </w:pPr>
      <w:r w:rsidRPr="00AA4677">
        <w:t>6.6.1     Research Involving Pregnant Women or Fetuses</w:t>
      </w:r>
    </w:p>
    <w:p w14:paraId="3671ED51" w14:textId="77777777" w:rsidR="00FC174E" w:rsidRPr="00AA4677" w:rsidRDefault="00FC174E" w:rsidP="001D3801">
      <w:pPr>
        <w:pStyle w:val="Heading4"/>
      </w:pPr>
      <w:r w:rsidRPr="00AA4677">
        <w:t>6.6.1.1    Research Not Funded by DHHS</w:t>
      </w:r>
    </w:p>
    <w:p w14:paraId="4BAA149E" w14:textId="47D8A9E6" w:rsidR="00FC174E" w:rsidRPr="00AA4677" w:rsidRDefault="00842B4F"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Where the risk to the fetus is </w:t>
      </w:r>
      <w:r w:rsidRPr="00AA4677">
        <w:rPr>
          <w:rFonts w:eastAsia="Times New Roman" w:cs="Times New Roman"/>
          <w:b/>
          <w:szCs w:val="24"/>
        </w:rPr>
        <w:t>no more than minimal</w:t>
      </w:r>
      <w:r w:rsidRPr="00AA4677">
        <w:rPr>
          <w:rFonts w:eastAsia="Times New Roman" w:cs="Times New Roman"/>
          <w:szCs w:val="24"/>
        </w:rPr>
        <w:t xml:space="preserve">, </w:t>
      </w:r>
      <w:r w:rsidR="00FC174E" w:rsidRPr="00AA4677">
        <w:rPr>
          <w:rFonts w:eastAsia="Times New Roman" w:cs="Times New Roman"/>
          <w:szCs w:val="24"/>
        </w:rPr>
        <w:t>no additional safeguards are required and there are no restrictions on the involvement of pregnant women in research</w:t>
      </w:r>
      <w:r w:rsidRPr="00AA4677">
        <w:rPr>
          <w:rFonts w:eastAsia="Times New Roman" w:cs="Times New Roman"/>
          <w:szCs w:val="24"/>
        </w:rPr>
        <w:t xml:space="preserve">. </w:t>
      </w:r>
      <w:r w:rsidR="00FC174E" w:rsidRPr="00AA4677">
        <w:rPr>
          <w:rFonts w:eastAsia="Times New Roman" w:cs="Times New Roman"/>
          <w:szCs w:val="24"/>
        </w:rPr>
        <w:t> </w:t>
      </w:r>
    </w:p>
    <w:p w14:paraId="56E5C338" w14:textId="7CADC8A9" w:rsidR="00FC174E" w:rsidRPr="00AA4677" w:rsidRDefault="00842B4F"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Where the risk to the fetus is </w:t>
      </w:r>
      <w:r w:rsidRPr="00AA4677">
        <w:rPr>
          <w:rFonts w:eastAsia="Times New Roman" w:cs="Times New Roman"/>
          <w:b/>
          <w:szCs w:val="24"/>
        </w:rPr>
        <w:t>more than minimal</w:t>
      </w:r>
      <w:r w:rsidRPr="00AA4677">
        <w:rPr>
          <w:rFonts w:eastAsia="Times New Roman" w:cs="Times New Roman"/>
          <w:szCs w:val="24"/>
        </w:rPr>
        <w:t>, p</w:t>
      </w:r>
      <w:r w:rsidR="00FC174E" w:rsidRPr="00AA4677">
        <w:rPr>
          <w:rFonts w:eastAsia="Times New Roman" w:cs="Times New Roman"/>
          <w:szCs w:val="24"/>
        </w:rPr>
        <w:t xml:space="preserve">regnant women or fetuses may be involved in research if </w:t>
      </w:r>
      <w:proofErr w:type="gramStart"/>
      <w:r w:rsidR="00FC174E" w:rsidRPr="00AA4677">
        <w:rPr>
          <w:rFonts w:eastAsia="Times New Roman" w:cs="Times New Roman"/>
          <w:szCs w:val="24"/>
        </w:rPr>
        <w:t>all of</w:t>
      </w:r>
      <w:proofErr w:type="gramEnd"/>
      <w:r w:rsidR="00FC174E" w:rsidRPr="00AA4677">
        <w:rPr>
          <w:rFonts w:eastAsia="Times New Roman" w:cs="Times New Roman"/>
          <w:szCs w:val="24"/>
        </w:rPr>
        <w:t xml:space="preserve"> the following conditions are met:</w:t>
      </w:r>
    </w:p>
    <w:p w14:paraId="477F22AB" w14:textId="77777777" w:rsidR="00FC174E" w:rsidRPr="00AA4677" w:rsidRDefault="00FC174E" w:rsidP="00C129F1">
      <w:pPr>
        <w:numPr>
          <w:ilvl w:val="0"/>
          <w:numId w:val="2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Where scientifically appropriate, pre-clinical studies, including studies on pregnant animals, and clinical studies, including studies on non-pregnant women, have been conducted and provide data for assessing potential risks to pregnant women and </w:t>
      </w:r>
      <w:proofErr w:type="gramStart"/>
      <w:r w:rsidRPr="00AA4677">
        <w:rPr>
          <w:rFonts w:eastAsia="Times New Roman" w:cs="Times New Roman"/>
          <w:szCs w:val="24"/>
        </w:rPr>
        <w:t>fetuses;</w:t>
      </w:r>
      <w:proofErr w:type="gramEnd"/>
    </w:p>
    <w:p w14:paraId="7361E677" w14:textId="77777777" w:rsidR="00FC174E" w:rsidRPr="00AA4677" w:rsidRDefault="00FC174E" w:rsidP="00C129F1">
      <w:pPr>
        <w:numPr>
          <w:ilvl w:val="0"/>
          <w:numId w:val="2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risk to the fetus is caused solely by interventions or procedures that hold out the prospect of direct benefit for the woman or the </w:t>
      </w:r>
      <w:proofErr w:type="gramStart"/>
      <w:r w:rsidRPr="00AA4677">
        <w:rPr>
          <w:rFonts w:eastAsia="Times New Roman" w:cs="Times New Roman"/>
          <w:szCs w:val="24"/>
        </w:rPr>
        <w:t>fetus;</w:t>
      </w:r>
      <w:proofErr w:type="gramEnd"/>
    </w:p>
    <w:p w14:paraId="0DD35619" w14:textId="77777777" w:rsidR="00FC174E" w:rsidRPr="00AA4677" w:rsidRDefault="00FC174E" w:rsidP="00C129F1">
      <w:pPr>
        <w:numPr>
          <w:ilvl w:val="0"/>
          <w:numId w:val="2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Any risk is the least possible for achieving the objectives of the </w:t>
      </w:r>
      <w:proofErr w:type="gramStart"/>
      <w:r w:rsidRPr="00AA4677">
        <w:rPr>
          <w:rFonts w:eastAsia="Times New Roman" w:cs="Times New Roman"/>
          <w:szCs w:val="24"/>
        </w:rPr>
        <w:t>research;</w:t>
      </w:r>
      <w:proofErr w:type="gramEnd"/>
    </w:p>
    <w:p w14:paraId="7F9AC216" w14:textId="77777777" w:rsidR="00FC174E" w:rsidRPr="00AA4677" w:rsidRDefault="00FC174E" w:rsidP="00C129F1">
      <w:pPr>
        <w:numPr>
          <w:ilvl w:val="0"/>
          <w:numId w:val="2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the research holds out the prospect of direct benefit to the pregnant woman, the prospect of a direct benefit both to the pregnant woman and the fetus, then the consent of the pregnant woman is obtained in accord with the provisions for informed </w:t>
      </w:r>
      <w:proofErr w:type="gramStart"/>
      <w:r w:rsidRPr="00AA4677">
        <w:rPr>
          <w:rFonts w:eastAsia="Times New Roman" w:cs="Times New Roman"/>
          <w:szCs w:val="24"/>
        </w:rPr>
        <w:t>consent;</w:t>
      </w:r>
      <w:proofErr w:type="gramEnd"/>
    </w:p>
    <w:p w14:paraId="6F14D15B" w14:textId="2D7E6719" w:rsidR="00FC174E" w:rsidRPr="00AA4677" w:rsidRDefault="00FC174E" w:rsidP="00C129F1">
      <w:pPr>
        <w:numPr>
          <w:ilvl w:val="0"/>
          <w:numId w:val="2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the research holds out the prospect of direct benefit solely to the fetus then the consent of the pregnant woman and the father is obtained in accord with the provisions for informed consent, except that the father's consent need not be obtained if he is unable to consent because of unavailability, incompetence, or temporary incapacity or the pregnancy resulted from rape or incest</w:t>
      </w:r>
      <w:r w:rsidR="002717C3" w:rsidRPr="00AA4677">
        <w:rPr>
          <w:rFonts w:eastAsia="Times New Roman" w:cs="Times New Roman"/>
          <w:szCs w:val="24"/>
        </w:rPr>
        <w:t>;</w:t>
      </w:r>
    </w:p>
    <w:p w14:paraId="0CB08A92" w14:textId="77777777" w:rsidR="00FC174E" w:rsidRPr="00AA4677" w:rsidRDefault="00FC174E" w:rsidP="00C129F1">
      <w:pPr>
        <w:numPr>
          <w:ilvl w:val="0"/>
          <w:numId w:val="26"/>
        </w:num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Each individual</w:t>
      </w:r>
      <w:proofErr w:type="gramEnd"/>
      <w:r w:rsidRPr="00AA4677">
        <w:rPr>
          <w:rFonts w:eastAsia="Times New Roman" w:cs="Times New Roman"/>
          <w:szCs w:val="24"/>
        </w:rPr>
        <w:t xml:space="preserve"> providing consent under paragraph 4 or 5 of this section is fully informed regarding the reasonably foreseeable impact of the research on the fetus or </w:t>
      </w:r>
      <w:proofErr w:type="gramStart"/>
      <w:r w:rsidRPr="00AA4677">
        <w:rPr>
          <w:rFonts w:eastAsia="Times New Roman" w:cs="Times New Roman"/>
          <w:szCs w:val="24"/>
        </w:rPr>
        <w:t>neonate;</w:t>
      </w:r>
      <w:proofErr w:type="gramEnd"/>
    </w:p>
    <w:p w14:paraId="6BC0B5EA" w14:textId="77777777" w:rsidR="00FC174E" w:rsidRPr="00AA4677" w:rsidRDefault="00FC174E" w:rsidP="00C129F1">
      <w:pPr>
        <w:numPr>
          <w:ilvl w:val="0"/>
          <w:numId w:val="2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children who are pregnant, assent and permission are obtained in accord with the provisions of permission and </w:t>
      </w:r>
      <w:proofErr w:type="gramStart"/>
      <w:r w:rsidRPr="00AA4677">
        <w:rPr>
          <w:rFonts w:eastAsia="Times New Roman" w:cs="Times New Roman"/>
          <w:szCs w:val="24"/>
        </w:rPr>
        <w:t>assent;</w:t>
      </w:r>
      <w:proofErr w:type="gramEnd"/>
    </w:p>
    <w:p w14:paraId="5B0FB8A9" w14:textId="77777777" w:rsidR="00FC174E" w:rsidRPr="00AA4677" w:rsidRDefault="00FC174E" w:rsidP="00C129F1">
      <w:pPr>
        <w:numPr>
          <w:ilvl w:val="0"/>
          <w:numId w:val="2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No inducements, monetary or otherwise, will be offered to terminate a </w:t>
      </w:r>
      <w:proofErr w:type="gramStart"/>
      <w:r w:rsidRPr="00AA4677">
        <w:rPr>
          <w:rFonts w:eastAsia="Times New Roman" w:cs="Times New Roman"/>
          <w:szCs w:val="24"/>
        </w:rPr>
        <w:t>pregnancy;</w:t>
      </w:r>
      <w:proofErr w:type="gramEnd"/>
    </w:p>
    <w:p w14:paraId="052BFF8B" w14:textId="77777777" w:rsidR="00FC174E" w:rsidRPr="00AA4677" w:rsidRDefault="00FC174E" w:rsidP="00C129F1">
      <w:pPr>
        <w:numPr>
          <w:ilvl w:val="0"/>
          <w:numId w:val="2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Individuals engaged in the research will have no part in any decisions as to the timing, method, or procedures used to terminate a pregnancy; and</w:t>
      </w:r>
    </w:p>
    <w:p w14:paraId="03F72A4D" w14:textId="77777777" w:rsidR="00FC174E" w:rsidRPr="00AA4677" w:rsidRDefault="00FC174E" w:rsidP="00C129F1">
      <w:pPr>
        <w:numPr>
          <w:ilvl w:val="0"/>
          <w:numId w:val="2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Individuals engaged in the research will have no part in determining the viability of a neonate.</w:t>
      </w:r>
    </w:p>
    <w:p w14:paraId="3C1E854B" w14:textId="77777777" w:rsidR="00FC174E" w:rsidRPr="00AA4677" w:rsidRDefault="00FC174E" w:rsidP="001D3801">
      <w:pPr>
        <w:pStyle w:val="Heading4"/>
      </w:pPr>
      <w:r w:rsidRPr="00AA4677">
        <w:lastRenderedPageBreak/>
        <w:t>6.6.1.2    Research Funded by DHHS</w:t>
      </w:r>
    </w:p>
    <w:p w14:paraId="79EC665C"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DHHS-funded research, 45 CFR Subpart B applies to all research involving pregnant women.  Under 45 CFR Subpart B, pregnant women or fetuses may be involved in research funded by DHHS if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following conditions are met:</w:t>
      </w:r>
    </w:p>
    <w:p w14:paraId="7D1FC8A3" w14:textId="0277E824" w:rsidR="00FC174E" w:rsidRPr="00AA4677" w:rsidRDefault="00FC174E" w:rsidP="00C129F1">
      <w:pPr>
        <w:numPr>
          <w:ilvl w:val="0"/>
          <w:numId w:val="2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Where scientifically appropriate, pre-clinical studies, including studies on pregnant animals, and clinical studies, including studies on non-pregnant women, have been conducted and provide data for assessing potential risk to pregnant women and fetuses</w:t>
      </w:r>
      <w:proofErr w:type="gramStart"/>
      <w:r w:rsidRPr="00AA4677">
        <w:rPr>
          <w:rFonts w:eastAsia="Times New Roman" w:cs="Times New Roman"/>
          <w:szCs w:val="24"/>
        </w:rPr>
        <w:t>.</w:t>
      </w:r>
      <w:r w:rsidR="002717C3" w:rsidRPr="00AA4677">
        <w:rPr>
          <w:rFonts w:eastAsia="Times New Roman" w:cs="Times New Roman"/>
          <w:szCs w:val="24"/>
        </w:rPr>
        <w:t>;</w:t>
      </w:r>
      <w:proofErr w:type="gramEnd"/>
    </w:p>
    <w:p w14:paraId="476100BD" w14:textId="77777777" w:rsidR="00FC174E" w:rsidRPr="00AA4677" w:rsidRDefault="00FC174E" w:rsidP="00C129F1">
      <w:pPr>
        <w:numPr>
          <w:ilvl w:val="0"/>
          <w:numId w:val="2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risk to the fetus is caused solely by interventions or procedures that hold out the prospect of direct benefit for the woman or the fetus or, if there is no such prospect of benefit, the risk to the fetus is not greater than minimal and the purpose of the research is the development of important biomedical knowledge which cannot be obtained by any other means;</w:t>
      </w:r>
    </w:p>
    <w:p w14:paraId="6F661F4F" w14:textId="77777777" w:rsidR="00FC174E" w:rsidRPr="00AA4677" w:rsidRDefault="00FC174E" w:rsidP="00C129F1">
      <w:pPr>
        <w:numPr>
          <w:ilvl w:val="0"/>
          <w:numId w:val="2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Any risk is the least possible for achieving the objectives of the </w:t>
      </w:r>
      <w:proofErr w:type="gramStart"/>
      <w:r w:rsidRPr="00AA4677">
        <w:rPr>
          <w:rFonts w:eastAsia="Times New Roman" w:cs="Times New Roman"/>
          <w:szCs w:val="24"/>
        </w:rPr>
        <w:t>research;</w:t>
      </w:r>
      <w:proofErr w:type="gramEnd"/>
    </w:p>
    <w:p w14:paraId="3BCC12EF" w14:textId="07067558" w:rsidR="00FC174E" w:rsidRPr="00AA4677" w:rsidRDefault="00FC174E" w:rsidP="00C129F1">
      <w:pPr>
        <w:numPr>
          <w:ilvl w:val="0"/>
          <w:numId w:val="2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the research holds out the prospect of direct benefit to the pregnant woman, the prospect of a direct benefit both to the pregnant woman and the fetus, or no prospect of benefit for the woman nor the fetus when risk to the fetus is not greater than minimal and the purpose of the research is the development of important biomedical knowledge that cannot be obtained by any other means, then the consent of the pregnant woman is obtained in accord with the provisions for informed consent</w:t>
      </w:r>
      <w:r w:rsidR="002717C3" w:rsidRPr="00AA4677">
        <w:rPr>
          <w:rFonts w:eastAsia="Times New Roman" w:cs="Times New Roman"/>
          <w:szCs w:val="24"/>
        </w:rPr>
        <w:t>;</w:t>
      </w:r>
    </w:p>
    <w:p w14:paraId="1EFF30C5" w14:textId="5FEC2C9A" w:rsidR="00FC174E" w:rsidRPr="00AA4677" w:rsidRDefault="00FC174E" w:rsidP="00C129F1">
      <w:pPr>
        <w:numPr>
          <w:ilvl w:val="0"/>
          <w:numId w:val="2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the research holds out the prospect of direct benefit solely to the fetus then the consent of the pregnant woman and the father is obtained in accord with the provisions for informed consent, except that the father's consent need not be obtained if he is unable to consent because of unavailability, incompetence, or temporary incapacity or the pregnan</w:t>
      </w:r>
      <w:r w:rsidR="002717C3" w:rsidRPr="00AA4677">
        <w:rPr>
          <w:rFonts w:eastAsia="Times New Roman" w:cs="Times New Roman"/>
          <w:szCs w:val="24"/>
        </w:rPr>
        <w:t>cy resulted from rape or incest;</w:t>
      </w:r>
    </w:p>
    <w:p w14:paraId="3EFEB628" w14:textId="77777777" w:rsidR="00FC174E" w:rsidRPr="00AA4677" w:rsidRDefault="00FC174E" w:rsidP="00C129F1">
      <w:pPr>
        <w:numPr>
          <w:ilvl w:val="0"/>
          <w:numId w:val="27"/>
        </w:num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Each individual</w:t>
      </w:r>
      <w:proofErr w:type="gramEnd"/>
      <w:r w:rsidRPr="00AA4677">
        <w:rPr>
          <w:rFonts w:eastAsia="Times New Roman" w:cs="Times New Roman"/>
          <w:szCs w:val="24"/>
        </w:rPr>
        <w:t xml:space="preserve"> providing consent under paragraph 4 or 5 of this section is fully informed regarding the reasonably foreseeable impact of the research on the fetus or </w:t>
      </w:r>
      <w:proofErr w:type="gramStart"/>
      <w:r w:rsidRPr="00AA4677">
        <w:rPr>
          <w:rFonts w:eastAsia="Times New Roman" w:cs="Times New Roman"/>
          <w:szCs w:val="24"/>
        </w:rPr>
        <w:t>neonate;</w:t>
      </w:r>
      <w:proofErr w:type="gramEnd"/>
    </w:p>
    <w:p w14:paraId="4C9EE609" w14:textId="77777777" w:rsidR="00FC174E" w:rsidRPr="00AA4677" w:rsidRDefault="00FC174E" w:rsidP="00C129F1">
      <w:pPr>
        <w:numPr>
          <w:ilvl w:val="0"/>
          <w:numId w:val="2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children who are pregnant, assent and permission are obtained in accord with the provisions of permission and assent in Section </w:t>
      </w:r>
      <w:proofErr w:type="gramStart"/>
      <w:r w:rsidRPr="00AA4677">
        <w:rPr>
          <w:rFonts w:eastAsia="Times New Roman" w:cs="Times New Roman"/>
          <w:szCs w:val="24"/>
        </w:rPr>
        <w:t>6.8.2;</w:t>
      </w:r>
      <w:proofErr w:type="gramEnd"/>
    </w:p>
    <w:p w14:paraId="06EBC861" w14:textId="77777777" w:rsidR="00FC174E" w:rsidRPr="00AA4677" w:rsidRDefault="00FC174E" w:rsidP="00C129F1">
      <w:pPr>
        <w:numPr>
          <w:ilvl w:val="0"/>
          <w:numId w:val="2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No inducements, monetary or otherwise, will be offered to terminate a </w:t>
      </w:r>
      <w:proofErr w:type="gramStart"/>
      <w:r w:rsidRPr="00AA4677">
        <w:rPr>
          <w:rFonts w:eastAsia="Times New Roman" w:cs="Times New Roman"/>
          <w:szCs w:val="24"/>
        </w:rPr>
        <w:t>pregnancy;</w:t>
      </w:r>
      <w:proofErr w:type="gramEnd"/>
    </w:p>
    <w:p w14:paraId="1E72F44D" w14:textId="77777777" w:rsidR="00FC174E" w:rsidRPr="00AA4677" w:rsidRDefault="00FC174E" w:rsidP="00C129F1">
      <w:pPr>
        <w:numPr>
          <w:ilvl w:val="0"/>
          <w:numId w:val="2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Individuals engaged in the research will have no part in any decisions as to the timing, method, or procedures used to terminate a pregnancy; and</w:t>
      </w:r>
    </w:p>
    <w:p w14:paraId="3B12F741" w14:textId="77777777" w:rsidR="00FC174E" w:rsidRPr="00AA4677" w:rsidRDefault="00FC174E" w:rsidP="00C129F1">
      <w:pPr>
        <w:numPr>
          <w:ilvl w:val="0"/>
          <w:numId w:val="2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Individuals engaged in the research will have no part in determining the viability of a neonate.</w:t>
      </w:r>
    </w:p>
    <w:p w14:paraId="61A444D0" w14:textId="274512D5" w:rsidR="00FC174E" w:rsidRPr="00AA4677" w:rsidRDefault="00FC174E" w:rsidP="00C57C98">
      <w:pPr>
        <w:pStyle w:val="Heading3"/>
      </w:pPr>
      <w:r w:rsidRPr="00AA4677">
        <w:t xml:space="preserve">6.6.2 Research </w:t>
      </w:r>
      <w:r w:rsidR="00D660F9" w:rsidRPr="00AA4677">
        <w:t>I</w:t>
      </w:r>
      <w:r w:rsidRPr="00AA4677">
        <w:t xml:space="preserve">nvolving </w:t>
      </w:r>
      <w:r w:rsidR="00D660F9" w:rsidRPr="00AA4677">
        <w:t>N</w:t>
      </w:r>
      <w:r w:rsidRPr="00AA4677">
        <w:t>eonates</w:t>
      </w:r>
      <w:r w:rsidR="00842B4F" w:rsidRPr="00AA4677">
        <w:t xml:space="preserve"> of Uncertain Viability, and Nonviable Neonates</w:t>
      </w:r>
    </w:p>
    <w:p w14:paraId="75F0D559"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Neonates of uncertain viability and nonviable neonates may be involved in research if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following conditions are met:</w:t>
      </w:r>
    </w:p>
    <w:p w14:paraId="3335A5DA" w14:textId="31212CF9" w:rsidR="00FC174E" w:rsidRPr="00AA4677" w:rsidRDefault="00FC174E">
      <w:pPr>
        <w:pStyle w:val="ListParagraph"/>
        <w:numPr>
          <w:ilvl w:val="0"/>
          <w:numId w:val="9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Where scientifically appropriate, preclinical and clinical studies have been conducted and provide data for assess</w:t>
      </w:r>
      <w:r w:rsidR="00D660F9" w:rsidRPr="00AA4677">
        <w:rPr>
          <w:rFonts w:eastAsia="Times New Roman" w:cs="Times New Roman"/>
          <w:szCs w:val="24"/>
        </w:rPr>
        <w:t xml:space="preserve">ing potential risks to </w:t>
      </w:r>
      <w:proofErr w:type="gramStart"/>
      <w:r w:rsidR="00D660F9" w:rsidRPr="00AA4677">
        <w:rPr>
          <w:rFonts w:eastAsia="Times New Roman" w:cs="Times New Roman"/>
          <w:szCs w:val="24"/>
        </w:rPr>
        <w:t>neonates;</w:t>
      </w:r>
      <w:proofErr w:type="gramEnd"/>
    </w:p>
    <w:p w14:paraId="2C28730A" w14:textId="52BEC729" w:rsidR="00FC174E" w:rsidRPr="00AA4677" w:rsidRDefault="00FC174E">
      <w:pPr>
        <w:pStyle w:val="ListParagraph"/>
        <w:numPr>
          <w:ilvl w:val="0"/>
          <w:numId w:val="94"/>
        </w:num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Each individual</w:t>
      </w:r>
      <w:proofErr w:type="gramEnd"/>
      <w:r w:rsidRPr="00AA4677">
        <w:rPr>
          <w:rFonts w:eastAsia="Times New Roman" w:cs="Times New Roman"/>
          <w:szCs w:val="24"/>
        </w:rPr>
        <w:t xml:space="preserve"> providing consent is fully informed regarding the reasonably foreseeable impact</w:t>
      </w:r>
      <w:r w:rsidR="00D660F9" w:rsidRPr="00AA4677">
        <w:rPr>
          <w:rFonts w:eastAsia="Times New Roman" w:cs="Times New Roman"/>
          <w:szCs w:val="24"/>
        </w:rPr>
        <w:t xml:space="preserve"> of the research on the </w:t>
      </w:r>
      <w:proofErr w:type="gramStart"/>
      <w:r w:rsidR="00D660F9" w:rsidRPr="00AA4677">
        <w:rPr>
          <w:rFonts w:eastAsia="Times New Roman" w:cs="Times New Roman"/>
          <w:szCs w:val="24"/>
        </w:rPr>
        <w:t>neonate;</w:t>
      </w:r>
      <w:proofErr w:type="gramEnd"/>
    </w:p>
    <w:p w14:paraId="26D20E1E" w14:textId="0DAEF501" w:rsidR="00FC174E" w:rsidRPr="00AA4677" w:rsidRDefault="00FC174E">
      <w:pPr>
        <w:pStyle w:val="ListParagraph"/>
        <w:numPr>
          <w:ilvl w:val="0"/>
          <w:numId w:val="9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Individuals engaged in the research will have no part in determi</w:t>
      </w:r>
      <w:r w:rsidR="00D660F9" w:rsidRPr="00AA4677">
        <w:rPr>
          <w:rFonts w:eastAsia="Times New Roman" w:cs="Times New Roman"/>
          <w:szCs w:val="24"/>
        </w:rPr>
        <w:t>ning the viability of a neonate; and</w:t>
      </w:r>
    </w:p>
    <w:p w14:paraId="63745350" w14:textId="49950993" w:rsidR="00FC174E" w:rsidRPr="00AA4677" w:rsidRDefault="00FC174E">
      <w:pPr>
        <w:pStyle w:val="ListParagraph"/>
        <w:numPr>
          <w:ilvl w:val="0"/>
          <w:numId w:val="9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requirements of Neonates of Uncertain Viability or Nonviable Neonates (see below in this section) have been met as applicable.</w:t>
      </w:r>
    </w:p>
    <w:p w14:paraId="00AD09AB"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Neonates of Uncertain Viability.   </w:t>
      </w:r>
      <w:r w:rsidRPr="00AA4677">
        <w:rPr>
          <w:rFonts w:eastAsia="Times New Roman" w:cs="Times New Roman"/>
          <w:szCs w:val="24"/>
        </w:rPr>
        <w:t xml:space="preserve">Until it has been ascertained </w:t>
      </w:r>
      <w:proofErr w:type="gramStart"/>
      <w:r w:rsidRPr="00AA4677">
        <w:rPr>
          <w:rFonts w:eastAsia="Times New Roman" w:cs="Times New Roman"/>
          <w:szCs w:val="24"/>
        </w:rPr>
        <w:t>whether or not</w:t>
      </w:r>
      <w:proofErr w:type="gramEnd"/>
      <w:r w:rsidRPr="00AA4677">
        <w:rPr>
          <w:rFonts w:eastAsia="Times New Roman" w:cs="Times New Roman"/>
          <w:szCs w:val="24"/>
        </w:rPr>
        <w:t xml:space="preserve"> a neonate is viable, a neonate may not be involved in research covered by this subpart unless the following additional conditions have been met:</w:t>
      </w:r>
    </w:p>
    <w:p w14:paraId="0958A44A" w14:textId="31F7F65A" w:rsidR="00FC174E" w:rsidRPr="00AA4677" w:rsidRDefault="00D660F9"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determines that:</w:t>
      </w:r>
    </w:p>
    <w:p w14:paraId="28A36315" w14:textId="4BDA225A" w:rsidR="00FC174E" w:rsidRPr="00AA4677" w:rsidRDefault="00FC174E">
      <w:pPr>
        <w:pStyle w:val="ListParagraph"/>
        <w:numPr>
          <w:ilvl w:val="0"/>
          <w:numId w:val="9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research holds out the prospect of enhancing the probability of survival of the neonate to the point of viability, and any risk is the least possible for achieving that objective, or</w:t>
      </w:r>
    </w:p>
    <w:p w14:paraId="1F1CE473" w14:textId="0A64BB07" w:rsidR="00FC174E" w:rsidRPr="00AA4677" w:rsidRDefault="00FC174E">
      <w:pPr>
        <w:pStyle w:val="ListParagraph"/>
        <w:numPr>
          <w:ilvl w:val="0"/>
          <w:numId w:val="9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purpose of the research is the development of important biomedical knowledge which cannot be obtained by other means and there will be no added risk to the neonate resulting from the research; and</w:t>
      </w:r>
    </w:p>
    <w:p w14:paraId="3274DA5F" w14:textId="5567B756" w:rsidR="00FC174E" w:rsidRPr="00AA4677" w:rsidRDefault="00FC174E">
      <w:pPr>
        <w:pStyle w:val="ListParagraph"/>
        <w:numPr>
          <w:ilvl w:val="0"/>
          <w:numId w:val="9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legally effective informed consent of either parent of the neonate or, if neither parent is able to consent because of unavailability, incompetence, or temporary incapacity, the legally effective informed consent of either parent's legally authorized representative is obtained in accord with the provisions of permission and assent, except that the consent of the father or his legally authorized representative need not be obtained if the pregnancy resulted from rape or incest.</w:t>
      </w:r>
    </w:p>
    <w:p w14:paraId="47EA2E63" w14:textId="29A54D1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Nonviable Neonates.   </w:t>
      </w:r>
      <w:r w:rsidRPr="00AA4677">
        <w:rPr>
          <w:rFonts w:eastAsia="Times New Roman" w:cs="Times New Roman"/>
          <w:szCs w:val="24"/>
        </w:rPr>
        <w:t>After delivery, nonviable neonates may not be involved in research covered by this subpart unless</w:t>
      </w:r>
      <w:r w:rsidR="007602FE" w:rsidRPr="00AA4677">
        <w:rPr>
          <w:rFonts w:eastAsia="Times New Roman" w:cs="Times New Roman"/>
          <w:szCs w:val="24"/>
        </w:rPr>
        <w:t xml:space="preserve"> the IRB determines that</w:t>
      </w:r>
      <w:r w:rsidRPr="00AA4677">
        <w:rPr>
          <w:rFonts w:eastAsia="Times New Roman" w:cs="Times New Roman"/>
          <w:szCs w:val="24"/>
        </w:rPr>
        <w:t xml:space="preserve">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following additional conditions are met:</w:t>
      </w:r>
    </w:p>
    <w:p w14:paraId="7E02732D" w14:textId="77777777" w:rsidR="00FC174E" w:rsidRPr="00AA4677" w:rsidRDefault="00FC174E" w:rsidP="00C129F1">
      <w:pPr>
        <w:numPr>
          <w:ilvl w:val="0"/>
          <w:numId w:val="2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Vital functions of the neonate will not be artificially </w:t>
      </w:r>
      <w:proofErr w:type="gramStart"/>
      <w:r w:rsidRPr="00AA4677">
        <w:rPr>
          <w:rFonts w:eastAsia="Times New Roman" w:cs="Times New Roman"/>
          <w:szCs w:val="24"/>
        </w:rPr>
        <w:t>maintained;</w:t>
      </w:r>
      <w:proofErr w:type="gramEnd"/>
    </w:p>
    <w:p w14:paraId="3F097A63" w14:textId="77777777" w:rsidR="00FC174E" w:rsidRPr="00AA4677" w:rsidRDefault="00FC174E" w:rsidP="00C129F1">
      <w:pPr>
        <w:numPr>
          <w:ilvl w:val="0"/>
          <w:numId w:val="2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research will not terminate the heartbeat or respiration of the </w:t>
      </w:r>
      <w:proofErr w:type="gramStart"/>
      <w:r w:rsidRPr="00AA4677">
        <w:rPr>
          <w:rFonts w:eastAsia="Times New Roman" w:cs="Times New Roman"/>
          <w:szCs w:val="24"/>
        </w:rPr>
        <w:t>neonate;</w:t>
      </w:r>
      <w:proofErr w:type="gramEnd"/>
    </w:p>
    <w:p w14:paraId="69A8F750" w14:textId="77777777" w:rsidR="00FC174E" w:rsidRPr="00AA4677" w:rsidRDefault="00FC174E" w:rsidP="00C129F1">
      <w:pPr>
        <w:numPr>
          <w:ilvl w:val="0"/>
          <w:numId w:val="2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There will be no added risk to the neonate resulting from the </w:t>
      </w:r>
      <w:proofErr w:type="gramStart"/>
      <w:r w:rsidRPr="00AA4677">
        <w:rPr>
          <w:rFonts w:eastAsia="Times New Roman" w:cs="Times New Roman"/>
          <w:szCs w:val="24"/>
        </w:rPr>
        <w:t>research;</w:t>
      </w:r>
      <w:proofErr w:type="gramEnd"/>
    </w:p>
    <w:p w14:paraId="12249F9E" w14:textId="77777777" w:rsidR="00FC174E" w:rsidRPr="00AA4677" w:rsidRDefault="00FC174E" w:rsidP="00C129F1">
      <w:pPr>
        <w:numPr>
          <w:ilvl w:val="0"/>
          <w:numId w:val="2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purpose of the research is the development of important biomedical knowledge that cannot be obtained by other means; and</w:t>
      </w:r>
    </w:p>
    <w:p w14:paraId="46F1583C" w14:textId="3668E7C3" w:rsidR="00FC174E" w:rsidRPr="00AA4677" w:rsidRDefault="00FC174E" w:rsidP="00C129F1">
      <w:pPr>
        <w:numPr>
          <w:ilvl w:val="0"/>
          <w:numId w:val="2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legally effective informed consent of both parents of the neonate is obtained in accord with the provisions of permission and assent, except that the waiver and alteration of the provisions of permission and assent do not apply.</w:t>
      </w:r>
      <w:r w:rsidR="00D660F9" w:rsidRPr="00AA4677">
        <w:rPr>
          <w:rFonts w:eastAsia="Times New Roman" w:cs="Times New Roman"/>
          <w:szCs w:val="24"/>
        </w:rPr>
        <w:t xml:space="preserve"> </w:t>
      </w:r>
      <w:r w:rsidRPr="00AA4677">
        <w:rPr>
          <w:rFonts w:eastAsia="Times New Roman" w:cs="Times New Roman"/>
          <w:szCs w:val="24"/>
        </w:rPr>
        <w:t xml:space="preserve">However, if either parent is unable to consent because of unavailability, incompetence, or temporary incapacity, the informed </w:t>
      </w:r>
      <w:r w:rsidRPr="00AA4677">
        <w:rPr>
          <w:rFonts w:eastAsia="Times New Roman" w:cs="Times New Roman"/>
          <w:szCs w:val="24"/>
        </w:rPr>
        <w:lastRenderedPageBreak/>
        <w:t xml:space="preserve">consent of one parent of a nonviable neonate will suffice to meet the requirements of this paragraph, except that the consent of the father need not be obtained if the pregnancy resulted from rape or incest. The consent of a legally authorized representative of either or </w:t>
      </w:r>
      <w:proofErr w:type="gramStart"/>
      <w:r w:rsidRPr="00AA4677">
        <w:rPr>
          <w:rFonts w:eastAsia="Times New Roman" w:cs="Times New Roman"/>
          <w:szCs w:val="24"/>
        </w:rPr>
        <w:t>both of the parents</w:t>
      </w:r>
      <w:proofErr w:type="gramEnd"/>
      <w:r w:rsidRPr="00AA4677">
        <w:rPr>
          <w:rFonts w:eastAsia="Times New Roman" w:cs="Times New Roman"/>
          <w:szCs w:val="24"/>
        </w:rPr>
        <w:t xml:space="preserve"> of a nonviable neonate will not suffice to meet the requirements of this paragraph.</w:t>
      </w:r>
    </w:p>
    <w:p w14:paraId="33D2E238" w14:textId="1B96EE3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Viable Neonates.   </w:t>
      </w:r>
      <w:r w:rsidRPr="00AA4677">
        <w:rPr>
          <w:rFonts w:eastAsia="Times New Roman" w:cs="Times New Roman"/>
          <w:szCs w:val="24"/>
        </w:rPr>
        <w:t>A neonate, after delivery, that has been determined to be viable may be included in research only to the extent permitted by and in accord</w:t>
      </w:r>
      <w:r w:rsidR="008B0347" w:rsidRPr="00AA4677">
        <w:rPr>
          <w:rFonts w:eastAsia="Times New Roman" w:cs="Times New Roman"/>
          <w:szCs w:val="24"/>
        </w:rPr>
        <w:t xml:space="preserve"> with the requirements of the IRB</w:t>
      </w:r>
      <w:r w:rsidRPr="00AA4677">
        <w:rPr>
          <w:rFonts w:eastAsia="Times New Roman" w:cs="Times New Roman"/>
          <w:szCs w:val="24"/>
        </w:rPr>
        <w:t xml:space="preserve"> Review Process and Research Involving Children.</w:t>
      </w:r>
    </w:p>
    <w:p w14:paraId="3C3D51D0" w14:textId="77777777" w:rsidR="00FC174E" w:rsidRPr="00AA4677" w:rsidRDefault="00FC174E" w:rsidP="00C57C98">
      <w:pPr>
        <w:pStyle w:val="Heading3"/>
      </w:pPr>
      <w:r w:rsidRPr="00AA4677">
        <w:t xml:space="preserve">6.6.3 Research </w:t>
      </w:r>
      <w:proofErr w:type="gramStart"/>
      <w:r w:rsidRPr="00AA4677">
        <w:t>Involving,</w:t>
      </w:r>
      <w:proofErr w:type="gramEnd"/>
      <w:r w:rsidRPr="00AA4677">
        <w:t xml:space="preserve"> After Delivery, the Placenta, the Dead Fetus or Fetal Material</w:t>
      </w:r>
    </w:p>
    <w:p w14:paraId="17787FBE" w14:textId="2EAB651E"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Research involving, after delivery, the placenta; the dead fetus; macerated fetal material; or cells, tissue, or organs excised from a dead fetus, must be conducted only in accord with any applicable </w:t>
      </w:r>
      <w:r w:rsidR="00D660F9" w:rsidRPr="00AA4677">
        <w:rPr>
          <w:rFonts w:eastAsia="Times New Roman" w:cs="Times New Roman"/>
          <w:szCs w:val="24"/>
        </w:rPr>
        <w:t>f</w:t>
      </w:r>
      <w:r w:rsidRPr="00AA4677">
        <w:rPr>
          <w:rFonts w:eastAsia="Times New Roman" w:cs="Times New Roman"/>
          <w:szCs w:val="24"/>
        </w:rPr>
        <w:t xml:space="preserve">ederal, </w:t>
      </w:r>
      <w:r w:rsidR="00D660F9" w:rsidRPr="00AA4677">
        <w:rPr>
          <w:rFonts w:eastAsia="Times New Roman" w:cs="Times New Roman"/>
          <w:szCs w:val="24"/>
        </w:rPr>
        <w:t>s</w:t>
      </w:r>
      <w:r w:rsidRPr="00AA4677">
        <w:rPr>
          <w:rFonts w:eastAsia="Times New Roman" w:cs="Times New Roman"/>
          <w:szCs w:val="24"/>
        </w:rPr>
        <w:t>tate, or local laws and regulations regarding such activities.</w:t>
      </w:r>
    </w:p>
    <w:p w14:paraId="04C95413"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information associated with material described above in this section is recorded for research purposes in a manner that living individuals can be identified, directly or through identifiers linked to those individuals, those individuals are research </w:t>
      </w:r>
      <w:proofErr w:type="gramStart"/>
      <w:r w:rsidRPr="00AA4677">
        <w:rPr>
          <w:rFonts w:eastAsia="Times New Roman" w:cs="Times New Roman"/>
          <w:szCs w:val="24"/>
        </w:rPr>
        <w:t>subjects</w:t>
      </w:r>
      <w:proofErr w:type="gramEnd"/>
      <w:r w:rsidRPr="00AA4677">
        <w:rPr>
          <w:rFonts w:eastAsia="Times New Roman" w:cs="Times New Roman"/>
          <w:szCs w:val="24"/>
        </w:rPr>
        <w:t xml:space="preserve"> and all pertinent sections of this manual are applicable.</w:t>
      </w:r>
    </w:p>
    <w:p w14:paraId="3AAB0B49" w14:textId="77777777" w:rsidR="00FC174E" w:rsidRPr="00AA4677" w:rsidRDefault="00FC174E" w:rsidP="00C57C98">
      <w:pPr>
        <w:pStyle w:val="Heading3"/>
      </w:pPr>
      <w:r w:rsidRPr="00AA4677">
        <w:t>6.6.4 Research Not Otherwise Approvable</w:t>
      </w:r>
    </w:p>
    <w:p w14:paraId="4EDCB3B4" w14:textId="77777777" w:rsidR="00FC174E" w:rsidRPr="00AA4677" w:rsidRDefault="00FC174E" w:rsidP="001D3801">
      <w:pPr>
        <w:pStyle w:val="Heading4"/>
      </w:pPr>
      <w:r w:rsidRPr="00AA4677">
        <w:t>6.6.4.1    Research Not Funded by DHHS</w:t>
      </w:r>
    </w:p>
    <w:p w14:paraId="03E6E579" w14:textId="525CC99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szCs w:val="24"/>
        </w:rPr>
        <w:t>If</w:t>
      </w:r>
      <w:r w:rsidRPr="00AA4677">
        <w:rPr>
          <w:rFonts w:eastAsia="Times New Roman" w:cs="Times New Roman"/>
          <w:szCs w:val="24"/>
        </w:rPr>
        <w:t xml:space="preserve"> </w:t>
      </w:r>
      <w:r w:rsidR="00D660F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finds that the research presents a reasonable opportunity to further the understanding, prevention, or alleviation of a serious problem affecting the health or welfare of pregnant women, fetuses or neonates</w:t>
      </w:r>
      <w:r w:rsidR="00877032" w:rsidRPr="00AA4677">
        <w:rPr>
          <w:rFonts w:eastAsia="Times New Roman" w:cs="Times New Roman"/>
          <w:szCs w:val="24"/>
        </w:rPr>
        <w:t xml:space="preserve">, </w:t>
      </w:r>
      <w:r w:rsidR="00877032" w:rsidRPr="00AA4677">
        <w:rPr>
          <w:rFonts w:eastAsia="Times New Roman" w:cs="Times New Roman"/>
          <w:b/>
          <w:szCs w:val="24"/>
        </w:rPr>
        <w:t>and</w:t>
      </w:r>
      <w:r w:rsidR="00877032" w:rsidRPr="00AA4677">
        <w:rPr>
          <w:rFonts w:eastAsia="Times New Roman" w:cs="Times New Roman"/>
          <w:szCs w:val="24"/>
        </w:rPr>
        <w:t xml:space="preserve">, </w:t>
      </w:r>
      <w:r w:rsidRPr="00AA4677">
        <w:rPr>
          <w:rFonts w:eastAsia="Times New Roman" w:cs="Times New Roman"/>
          <w:szCs w:val="24"/>
        </w:rPr>
        <w:t xml:space="preserve">the research is not approvable under the above provisions, </w:t>
      </w:r>
      <w:r w:rsidRPr="00AA4677">
        <w:rPr>
          <w:rFonts w:eastAsia="Times New Roman" w:cs="Times New Roman"/>
          <w:b/>
          <w:szCs w:val="24"/>
        </w:rPr>
        <w:t>then</w:t>
      </w:r>
      <w:r w:rsidRPr="00AA4677">
        <w:rPr>
          <w:rFonts w:eastAsia="Times New Roman" w:cs="Times New Roman"/>
          <w:szCs w:val="24"/>
        </w:rPr>
        <w:t xml:space="preserve"> </w:t>
      </w:r>
      <w:r w:rsidR="00D660F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consult with a panel of experts in pertinent disciplines (for example: science, medicine, ethics, law).  Based on the recommendation of the panel, </w:t>
      </w:r>
      <w:r w:rsidR="00D660F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may approve the research based on either:</w:t>
      </w:r>
    </w:p>
    <w:p w14:paraId="4BFE07B5" w14:textId="008D72AE" w:rsidR="00FC174E" w:rsidRPr="00AA4677" w:rsidRDefault="00FC174E" w:rsidP="00C129F1">
      <w:pPr>
        <w:numPr>
          <w:ilvl w:val="0"/>
          <w:numId w:val="2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That the research in fact satisfies the conditions of Section 6.</w:t>
      </w:r>
      <w:r w:rsidR="00497D75" w:rsidRPr="00AA4677">
        <w:rPr>
          <w:rFonts w:eastAsia="Times New Roman" w:cs="Times New Roman"/>
          <w:szCs w:val="24"/>
        </w:rPr>
        <w:t>6</w:t>
      </w:r>
      <w:r w:rsidRPr="00AA4677">
        <w:rPr>
          <w:rFonts w:eastAsia="Times New Roman" w:cs="Times New Roman"/>
          <w:szCs w:val="24"/>
        </w:rPr>
        <w:t>.2, as applicable; or</w:t>
      </w:r>
    </w:p>
    <w:p w14:paraId="6B7A7FCC" w14:textId="77777777" w:rsidR="00FC174E" w:rsidRPr="00AA4677" w:rsidRDefault="00FC174E" w:rsidP="00C129F1">
      <w:pPr>
        <w:numPr>
          <w:ilvl w:val="0"/>
          <w:numId w:val="29"/>
        </w:numPr>
        <w:shd w:val="clear" w:color="auto" w:fill="FFFFFF"/>
        <w:spacing w:after="0" w:line="240" w:lineRule="auto"/>
        <w:rPr>
          <w:rFonts w:eastAsia="Times New Roman" w:cs="Times New Roman"/>
          <w:szCs w:val="24"/>
        </w:rPr>
      </w:pPr>
      <w:r w:rsidRPr="00AA4677">
        <w:rPr>
          <w:rFonts w:eastAsia="Times New Roman" w:cs="Times New Roman"/>
          <w:szCs w:val="24"/>
        </w:rPr>
        <w:t>The following:</w:t>
      </w:r>
    </w:p>
    <w:p w14:paraId="5585952B" w14:textId="77777777" w:rsidR="00FC174E" w:rsidRPr="00AA4677" w:rsidRDefault="00FC174E">
      <w:pPr>
        <w:numPr>
          <w:ilvl w:val="0"/>
          <w:numId w:val="277"/>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research presents a reasonable opportunity to further the understanding, prevention, or alleviation of a serious problem affecting the health or welfare of pregnant women, fetuses or </w:t>
      </w:r>
      <w:proofErr w:type="gramStart"/>
      <w:r w:rsidRPr="00AA4677">
        <w:rPr>
          <w:rFonts w:eastAsia="Times New Roman" w:cs="Times New Roman"/>
          <w:szCs w:val="24"/>
        </w:rPr>
        <w:t>neonates;</w:t>
      </w:r>
      <w:proofErr w:type="gramEnd"/>
    </w:p>
    <w:p w14:paraId="00B8675F" w14:textId="77777777" w:rsidR="00FC174E" w:rsidRPr="00AA4677" w:rsidRDefault="00FC174E">
      <w:pPr>
        <w:numPr>
          <w:ilvl w:val="0"/>
          <w:numId w:val="277"/>
        </w:numPr>
        <w:shd w:val="clear" w:color="auto" w:fill="FFFFFF"/>
        <w:spacing w:after="0" w:line="240" w:lineRule="auto"/>
        <w:rPr>
          <w:rFonts w:eastAsia="Times New Roman" w:cs="Times New Roman"/>
          <w:szCs w:val="24"/>
        </w:rPr>
      </w:pPr>
      <w:r w:rsidRPr="00AA4677">
        <w:rPr>
          <w:rFonts w:eastAsia="Times New Roman" w:cs="Times New Roman"/>
          <w:szCs w:val="24"/>
        </w:rPr>
        <w:t>The research will be conducted in accord with sound ethical principles; and</w:t>
      </w:r>
    </w:p>
    <w:p w14:paraId="3D624555" w14:textId="58573ED8" w:rsidR="00FC174E" w:rsidRPr="00AA4677" w:rsidRDefault="00FC174E">
      <w:pPr>
        <w:numPr>
          <w:ilvl w:val="0"/>
          <w:numId w:val="277"/>
        </w:numPr>
        <w:shd w:val="clear" w:color="auto" w:fill="FFFFFF"/>
        <w:spacing w:after="0" w:line="240" w:lineRule="auto"/>
        <w:rPr>
          <w:rFonts w:eastAsia="Times New Roman" w:cs="Times New Roman"/>
          <w:szCs w:val="24"/>
        </w:rPr>
      </w:pPr>
      <w:r w:rsidRPr="00AA4677">
        <w:rPr>
          <w:rFonts w:eastAsia="Times New Roman" w:cs="Times New Roman"/>
          <w:szCs w:val="24"/>
        </w:rPr>
        <w:t>Informed consent will be obtained in accord with the provisions for informed consent and other applicable sections of this manual.</w:t>
      </w:r>
    </w:p>
    <w:p w14:paraId="1EF976A0" w14:textId="77777777" w:rsidR="00356ED6" w:rsidRPr="00AA4677" w:rsidRDefault="00356ED6" w:rsidP="00356ED6">
      <w:pPr>
        <w:shd w:val="clear" w:color="auto" w:fill="FFFFFF"/>
        <w:spacing w:after="0" w:line="240" w:lineRule="auto"/>
        <w:rPr>
          <w:rFonts w:eastAsia="Times New Roman" w:cs="Times New Roman"/>
          <w:szCs w:val="24"/>
        </w:rPr>
      </w:pPr>
    </w:p>
    <w:p w14:paraId="2612C607" w14:textId="56FC15DB" w:rsidR="00356ED6" w:rsidRPr="00AA4677" w:rsidRDefault="00356ED6" w:rsidP="00356ED6">
      <w:pPr>
        <w:shd w:val="clear" w:color="auto" w:fill="FFFFFF"/>
        <w:spacing w:after="0" w:line="240" w:lineRule="auto"/>
        <w:rPr>
          <w:rFonts w:eastAsia="Times New Roman" w:cs="Times New Roman"/>
          <w:szCs w:val="24"/>
        </w:rPr>
      </w:pPr>
      <w:r w:rsidRPr="00AA4677">
        <w:rPr>
          <w:rFonts w:eastAsia="Times New Roman" w:cs="Times New Roman"/>
          <w:b/>
          <w:szCs w:val="24"/>
        </w:rPr>
        <w:t>NOTE:</w:t>
      </w:r>
      <w:r w:rsidRPr="00AA4677">
        <w:rPr>
          <w:rFonts w:eastAsia="Times New Roman" w:cs="Times New Roman"/>
          <w:szCs w:val="24"/>
        </w:rPr>
        <w:t xml:space="preserve"> If funded by the Department of Defense written approval from the DOHRP mu</w:t>
      </w:r>
      <w:r w:rsidR="00D26401" w:rsidRPr="00AA4677">
        <w:rPr>
          <w:rFonts w:eastAsia="Times New Roman" w:cs="Times New Roman"/>
          <w:szCs w:val="24"/>
        </w:rPr>
        <w:t>st be obtained through the COHRP</w:t>
      </w:r>
      <w:r w:rsidRPr="00AA4677">
        <w:rPr>
          <w:rFonts w:eastAsia="Times New Roman" w:cs="Times New Roman"/>
          <w:szCs w:val="24"/>
        </w:rPr>
        <w:t xml:space="preserve"> prior to research starting.</w:t>
      </w:r>
    </w:p>
    <w:p w14:paraId="7E0AB2F4" w14:textId="77777777" w:rsidR="00FC174E" w:rsidRPr="00AA4677" w:rsidRDefault="00FC174E" w:rsidP="001D3801">
      <w:pPr>
        <w:pStyle w:val="Heading4"/>
      </w:pPr>
      <w:r w:rsidRPr="00AA4677">
        <w:t>6.6.4.2    Research Funded by DHHS</w:t>
      </w:r>
    </w:p>
    <w:p w14:paraId="7B804794" w14:textId="4CADA25B"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DHHS</w:t>
      </w:r>
      <w:r w:rsidR="00F051CA" w:rsidRPr="00AA4677">
        <w:rPr>
          <w:rFonts w:eastAsia="Times New Roman" w:cs="Times New Roman"/>
          <w:szCs w:val="24"/>
        </w:rPr>
        <w:t xml:space="preserve"> </w:t>
      </w:r>
      <w:r w:rsidRPr="00AA4677">
        <w:rPr>
          <w:rFonts w:eastAsia="Times New Roman" w:cs="Times New Roman"/>
          <w:szCs w:val="24"/>
        </w:rPr>
        <w:t xml:space="preserve">funded research that falls </w:t>
      </w:r>
      <w:proofErr w:type="gramStart"/>
      <w:r w:rsidRPr="00AA4677">
        <w:rPr>
          <w:rFonts w:eastAsia="Times New Roman" w:cs="Times New Roman"/>
          <w:szCs w:val="24"/>
        </w:rPr>
        <w:t>in</w:t>
      </w:r>
      <w:proofErr w:type="gramEnd"/>
      <w:r w:rsidRPr="00AA4677">
        <w:rPr>
          <w:rFonts w:eastAsia="Times New Roman" w:cs="Times New Roman"/>
          <w:szCs w:val="24"/>
        </w:rPr>
        <w:t xml:space="preserve"> this category must be approved by the Secretary of Health and Human Services.  If </w:t>
      </w:r>
      <w:r w:rsidR="00D660F9" w:rsidRPr="00AA4677">
        <w:rPr>
          <w:rFonts w:eastAsia="Times New Roman" w:cs="Times New Roman"/>
          <w:szCs w:val="24"/>
        </w:rPr>
        <w:t xml:space="preserve">the </w:t>
      </w:r>
      <w:r w:rsidR="00EE7207" w:rsidRPr="00AA4677">
        <w:rPr>
          <w:rFonts w:eastAsia="Times New Roman" w:cs="Times New Roman"/>
          <w:szCs w:val="24"/>
        </w:rPr>
        <w:t>IRB</w:t>
      </w:r>
      <w:r w:rsidR="00D660F9" w:rsidRPr="00AA4677">
        <w:rPr>
          <w:rFonts w:eastAsia="Times New Roman" w:cs="Times New Roman"/>
          <w:szCs w:val="24"/>
        </w:rPr>
        <w:t xml:space="preserve"> </w:t>
      </w:r>
      <w:r w:rsidRPr="00AA4677">
        <w:rPr>
          <w:rFonts w:eastAsia="Times New Roman" w:cs="Times New Roman"/>
          <w:szCs w:val="24"/>
        </w:rPr>
        <w:t>finds that the research presents a reasonable opportunity to further the understanding, prevention, or alleviation of a serious problem affecting the health or welfare of preg</w:t>
      </w:r>
      <w:r w:rsidR="00F051CA" w:rsidRPr="00AA4677">
        <w:rPr>
          <w:rFonts w:eastAsia="Times New Roman" w:cs="Times New Roman"/>
          <w:szCs w:val="24"/>
        </w:rPr>
        <w:t>nant women, fetuses or neonates</w:t>
      </w:r>
      <w:r w:rsidRPr="00AA4677">
        <w:rPr>
          <w:rFonts w:eastAsia="Times New Roman" w:cs="Times New Roman"/>
          <w:szCs w:val="24"/>
        </w:rPr>
        <w:t xml:space="preserve"> and the research is not approvable under the above provisions, then the research will be sent to OHRP for DHHS review.</w:t>
      </w:r>
    </w:p>
    <w:p w14:paraId="0346EC3C" w14:textId="77777777" w:rsidR="00FC174E" w:rsidRPr="00AA4677" w:rsidRDefault="00FC174E" w:rsidP="00696B35">
      <w:pPr>
        <w:pStyle w:val="Heading2"/>
      </w:pPr>
      <w:bookmarkStart w:id="118" w:name="_Toc192678217"/>
      <w:r w:rsidRPr="00AA4677">
        <w:t>6.7 Research Involving Prisoners</w:t>
      </w:r>
      <w:bookmarkEnd w:id="118"/>
    </w:p>
    <w:p w14:paraId="2CA5AE0E" w14:textId="3CF9676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Prisoners are another of the three classes that are deemed so vulnerable to exploitation in research that there are special rules protecting them. In the past, prisoners were viewed as a convenient research population.  They are housed in a single location, constitute a large and relatively stable population, and live a routine life.  Unfortunately, all the things that make a prison and prisoners a convenie</w:t>
      </w:r>
      <w:r w:rsidR="008B0347" w:rsidRPr="00AA4677">
        <w:rPr>
          <w:rFonts w:eastAsia="Times New Roman" w:cs="Times New Roman"/>
          <w:szCs w:val="24"/>
        </w:rPr>
        <w:t>nt research population also allow for exploitation of prisoners</w:t>
      </w:r>
      <w:r w:rsidRPr="00AA4677">
        <w:rPr>
          <w:rFonts w:eastAsia="Times New Roman" w:cs="Times New Roman"/>
          <w:szCs w:val="24"/>
        </w:rPr>
        <w:t>.</w:t>
      </w:r>
    </w:p>
    <w:p w14:paraId="6B1316DD" w14:textId="3C8B3D8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concern Subpart C and this policy based on Subpart C attempts to address is whether prisoners have any real choice in participation in research, or whether incarceration prohibits free choice.</w:t>
      </w:r>
    </w:p>
    <w:p w14:paraId="56611CF0" w14:textId="1589F61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following applies to all research involving prisoners, regardless of funding source.  The requirements in this section are consistent with Subpart C of 45 CFR 46, which applies to DHHS</w:t>
      </w:r>
      <w:r w:rsidR="00D660F9" w:rsidRPr="00AA4677">
        <w:rPr>
          <w:rFonts w:eastAsia="Times New Roman" w:cs="Times New Roman"/>
          <w:szCs w:val="24"/>
        </w:rPr>
        <w:t xml:space="preserve"> </w:t>
      </w:r>
      <w:r w:rsidRPr="00AA4677">
        <w:rPr>
          <w:rFonts w:eastAsia="Times New Roman" w:cs="Times New Roman"/>
          <w:szCs w:val="24"/>
        </w:rPr>
        <w:t>funded research.</w:t>
      </w:r>
    </w:p>
    <w:p w14:paraId="6BC98BC9" w14:textId="77777777" w:rsidR="009E41E7" w:rsidRPr="00AA4677" w:rsidRDefault="009E41E7" w:rsidP="00F32ADD">
      <w:pPr>
        <w:pStyle w:val="Bullet1DoDDeptofDefense"/>
        <w:numPr>
          <w:ilvl w:val="0"/>
          <w:numId w:val="0"/>
        </w:numPr>
        <w:ind w:left="407" w:hanging="407"/>
        <w:rPr>
          <w:rFonts w:asciiTheme="minorHAnsi" w:hAnsiTheme="minorHAnsi" w:cstheme="minorHAnsi"/>
          <w:color w:val="auto"/>
          <w:sz w:val="24"/>
        </w:rPr>
      </w:pPr>
      <w:r w:rsidRPr="00AA4677">
        <w:rPr>
          <w:rFonts w:asciiTheme="minorHAnsi" w:hAnsiTheme="minorHAnsi" w:cstheme="minorHAnsi"/>
          <w:color w:val="auto"/>
          <w:sz w:val="24"/>
        </w:rPr>
        <w:t>Research involving a detainee as a human participant is prohibited.</w:t>
      </w:r>
    </w:p>
    <w:p w14:paraId="446D2638" w14:textId="77777777" w:rsidR="00A8504B" w:rsidRPr="00AA4677" w:rsidRDefault="009E41E7">
      <w:pPr>
        <w:pStyle w:val="Bullet2DoDDeptofDefense"/>
        <w:numPr>
          <w:ilvl w:val="1"/>
          <w:numId w:val="276"/>
        </w:numPr>
        <w:tabs>
          <w:tab w:val="clear" w:pos="2880"/>
        </w:tabs>
        <w:ind w:left="360" w:hanging="360"/>
        <w:rPr>
          <w:rFonts w:asciiTheme="minorHAnsi" w:hAnsiTheme="minorHAnsi" w:cstheme="minorHAnsi"/>
          <w:color w:val="auto"/>
          <w:sz w:val="24"/>
        </w:rPr>
      </w:pPr>
      <w:r w:rsidRPr="00AA4677">
        <w:rPr>
          <w:rFonts w:asciiTheme="minorHAnsi" w:hAnsiTheme="minorHAnsi" w:cstheme="minorHAnsi"/>
          <w:color w:val="auto"/>
          <w:sz w:val="24"/>
        </w:rPr>
        <w:t>This prohibition does not apply to research involving investigational drugs and devices when the same products would be offered to US military personnel in the same location for the same condition</w:t>
      </w:r>
      <w:r w:rsidR="00A8504B" w:rsidRPr="00AA4677">
        <w:rPr>
          <w:rFonts w:asciiTheme="minorHAnsi" w:hAnsiTheme="minorHAnsi" w:cstheme="minorHAnsi"/>
          <w:color w:val="auto"/>
          <w:sz w:val="24"/>
        </w:rPr>
        <w:t xml:space="preserve"> and the purpose is for diagnosis or treatment of a medical condition in a patient</w:t>
      </w:r>
      <w:r w:rsidRPr="00AA4677">
        <w:rPr>
          <w:rFonts w:asciiTheme="minorHAnsi" w:hAnsiTheme="minorHAnsi" w:cstheme="minorHAnsi"/>
          <w:color w:val="auto"/>
          <w:sz w:val="24"/>
        </w:rPr>
        <w:t>.</w:t>
      </w:r>
    </w:p>
    <w:p w14:paraId="25D06A86" w14:textId="539F7B22" w:rsidR="00A8504B" w:rsidRPr="00AA4677" w:rsidRDefault="00A8504B">
      <w:pPr>
        <w:pStyle w:val="Bullet2DoDDeptofDefense"/>
        <w:numPr>
          <w:ilvl w:val="1"/>
          <w:numId w:val="276"/>
        </w:numPr>
        <w:tabs>
          <w:tab w:val="clear" w:pos="2880"/>
        </w:tabs>
        <w:ind w:left="360" w:hanging="360"/>
        <w:rPr>
          <w:rFonts w:asciiTheme="minorHAnsi" w:hAnsiTheme="minorHAnsi" w:cstheme="minorHAnsi"/>
          <w:color w:val="auto"/>
          <w:sz w:val="32"/>
        </w:rPr>
      </w:pPr>
      <w:r w:rsidRPr="00AA4677">
        <w:rPr>
          <w:rFonts w:asciiTheme="minorHAnsi" w:hAnsiTheme="minorHAnsi" w:cstheme="minorHAnsi"/>
          <w:color w:val="auto"/>
          <w:sz w:val="24"/>
        </w:rPr>
        <w:t>Such treatment may be offered to detainees or prisoners of war with their informed consent when the medical products are subject to FDA regulations, and only when the same product may be available to DoD-affiliated personnel consistent with established medical practices.</w:t>
      </w:r>
    </w:p>
    <w:p w14:paraId="68B1B33B" w14:textId="54C08FE3" w:rsidR="009E41E7" w:rsidRPr="00AA4677" w:rsidRDefault="009E41E7">
      <w:pPr>
        <w:pStyle w:val="Bullet2DoDDeptofDefense"/>
        <w:numPr>
          <w:ilvl w:val="1"/>
          <w:numId w:val="276"/>
        </w:numPr>
        <w:tabs>
          <w:tab w:val="clear" w:pos="2880"/>
        </w:tabs>
        <w:ind w:left="360" w:hanging="360"/>
        <w:rPr>
          <w:rFonts w:asciiTheme="minorHAnsi" w:hAnsiTheme="minorHAnsi" w:cstheme="minorHAnsi"/>
          <w:color w:val="auto"/>
          <w:sz w:val="24"/>
        </w:rPr>
      </w:pPr>
      <w:r w:rsidRPr="00AA4677">
        <w:rPr>
          <w:rFonts w:asciiTheme="minorHAnsi" w:hAnsiTheme="minorHAnsi" w:cstheme="minorHAnsi"/>
          <w:color w:val="auto"/>
          <w:sz w:val="24"/>
        </w:rPr>
        <w:t xml:space="preserve">The exemption for research involving survey or interview procedures or observation of public behavior does not apply to research with children, except for research involving observations of public behavior when the researcher(s) </w:t>
      </w:r>
      <w:proofErr w:type="gramStart"/>
      <w:r w:rsidRPr="00AA4677">
        <w:rPr>
          <w:rFonts w:asciiTheme="minorHAnsi" w:hAnsiTheme="minorHAnsi" w:cstheme="minorHAnsi"/>
          <w:color w:val="auto"/>
          <w:sz w:val="24"/>
        </w:rPr>
        <w:t>do</w:t>
      </w:r>
      <w:proofErr w:type="gramEnd"/>
      <w:r w:rsidRPr="00AA4677">
        <w:rPr>
          <w:rFonts w:asciiTheme="minorHAnsi" w:hAnsiTheme="minorHAnsi" w:cstheme="minorHAnsi"/>
          <w:color w:val="auto"/>
          <w:sz w:val="24"/>
        </w:rPr>
        <w:t xml:space="preserve"> not participate in the activities being observed.</w:t>
      </w:r>
    </w:p>
    <w:p w14:paraId="22088F3C" w14:textId="77777777" w:rsidR="00FC174E" w:rsidRPr="00AA4677" w:rsidRDefault="00FC174E" w:rsidP="00C57C98">
      <w:pPr>
        <w:pStyle w:val="Heading3"/>
      </w:pPr>
      <w:r w:rsidRPr="00AA4677">
        <w:lastRenderedPageBreak/>
        <w:t>6.7.1 Applicability</w:t>
      </w:r>
    </w:p>
    <w:p w14:paraId="3D6BBD26" w14:textId="3C3A5F5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This policy applies to all biomedical and behavioral research c</w:t>
      </w:r>
      <w:r w:rsidR="00D660F9" w:rsidRPr="00AA4677">
        <w:rPr>
          <w:rFonts w:eastAsia="Times New Roman" w:cs="Times New Roman"/>
          <w:szCs w:val="24"/>
        </w:rPr>
        <w:t>onducted under the auspices of the University</w:t>
      </w:r>
      <w:r w:rsidRPr="00AA4677">
        <w:rPr>
          <w:rFonts w:eastAsia="Times New Roman" w:cs="Times New Roman"/>
          <w:szCs w:val="24"/>
        </w:rPr>
        <w:t xml:space="preserve"> involving prisoners as subjects. Even though </w:t>
      </w:r>
      <w:r w:rsidR="00D660F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may approve a research protocol involving prisoners as subjects according to this policy, investigators are still subject to the Administrative Regulations of the New York State Department of Corrections and any other applicable State or local law. [45 CFR 46.301]</w:t>
      </w:r>
    </w:p>
    <w:p w14:paraId="6944382A" w14:textId="58C4B53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Note that for Department of Defense</w:t>
      </w:r>
      <w:r w:rsidR="00D660F9" w:rsidRPr="00AA4677">
        <w:rPr>
          <w:rFonts w:eastAsia="Times New Roman" w:cs="Times New Roman"/>
          <w:szCs w:val="24"/>
        </w:rPr>
        <w:t xml:space="preserve"> </w:t>
      </w:r>
      <w:r w:rsidRPr="00AA4677">
        <w:rPr>
          <w:rFonts w:eastAsia="Times New Roman" w:cs="Times New Roman"/>
          <w:szCs w:val="24"/>
        </w:rPr>
        <w:t>sponsored research, research involving prisoners of war (POW) is prohibited. This includes any person captured, detained, held or otherwise under the control of DoD personnel (military and civilian, or contractor employee).</w:t>
      </w:r>
    </w:p>
    <w:p w14:paraId="792B8988" w14:textId="7E6F34E4" w:rsidR="00FC174E" w:rsidRPr="00AA4677" w:rsidRDefault="00FC174E" w:rsidP="00C57C98">
      <w:pPr>
        <w:pStyle w:val="Heading3"/>
      </w:pPr>
      <w:r w:rsidRPr="00AA4677">
        <w:t>6.7.2 Minimal Risk</w:t>
      </w:r>
    </w:p>
    <w:p w14:paraId="0F79A894" w14:textId="0AACFEA4" w:rsidR="00DA36CA" w:rsidRPr="00AA4677" w:rsidRDefault="00FC174E" w:rsidP="00DA36CA">
      <w:pPr>
        <w:shd w:val="clear" w:color="auto" w:fill="FFFFFF"/>
        <w:spacing w:after="0" w:line="240" w:lineRule="auto"/>
        <w:rPr>
          <w:rFonts w:cstheme="minorHAnsi"/>
          <w:szCs w:val="24"/>
        </w:rPr>
      </w:pPr>
      <w:r w:rsidRPr="00AA4677">
        <w:rPr>
          <w:rFonts w:eastAsia="Times New Roman" w:cs="Times New Roman"/>
          <w:szCs w:val="24"/>
        </w:rPr>
        <w:t xml:space="preserve">The definition of minimal risk in the Subpart C is different than in the rest of the federal regulations. According to 45 CFR 46.303, minimal risk is the probability and magnitude of physical or psychological harm that is normally encountered in the daily lives, or in the routine medical, dental, or psychological examination </w:t>
      </w:r>
      <w:r w:rsidR="00DA36CA" w:rsidRPr="00AA4677">
        <w:rPr>
          <w:rFonts w:eastAsia="Times New Roman" w:cs="Times New Roman"/>
          <w:szCs w:val="24"/>
        </w:rPr>
        <w:t xml:space="preserve">of healthy </w:t>
      </w:r>
      <w:proofErr w:type="gramStart"/>
      <w:r w:rsidR="00DA36CA" w:rsidRPr="00AA4677">
        <w:rPr>
          <w:rFonts w:eastAsia="Times New Roman" w:cs="Times New Roman"/>
          <w:szCs w:val="24"/>
        </w:rPr>
        <w:t>persons</w:t>
      </w:r>
      <w:proofErr w:type="gramEnd"/>
      <w:r w:rsidR="00DA36CA" w:rsidRPr="00AA4677">
        <w:rPr>
          <w:rFonts w:eastAsia="Times New Roman" w:cs="Times New Roman"/>
          <w:szCs w:val="24"/>
        </w:rPr>
        <w:t xml:space="preserve">. According to the Department of Defense </w:t>
      </w:r>
      <w:r w:rsidR="00DA36CA" w:rsidRPr="00AA4677">
        <w:rPr>
          <w:rFonts w:cstheme="minorHAnsi"/>
          <w:szCs w:val="24"/>
        </w:rPr>
        <w:t>the definition of minimal risk in 32 CFR 219 does not include the inherent occupational risks that certain participants face in their everyday life, such as those:</w:t>
      </w:r>
    </w:p>
    <w:p w14:paraId="49450185" w14:textId="77777777" w:rsidR="00DA36CA" w:rsidRPr="00AA4677" w:rsidRDefault="00DA36CA">
      <w:pPr>
        <w:numPr>
          <w:ilvl w:val="2"/>
          <w:numId w:val="311"/>
        </w:numPr>
        <w:shd w:val="clear" w:color="auto" w:fill="FFFFFF"/>
        <w:tabs>
          <w:tab w:val="clear" w:pos="2160"/>
        </w:tabs>
        <w:spacing w:after="0" w:line="240" w:lineRule="auto"/>
        <w:ind w:left="360"/>
        <w:rPr>
          <w:rFonts w:cstheme="minorHAnsi"/>
          <w:szCs w:val="24"/>
        </w:rPr>
      </w:pPr>
      <w:r w:rsidRPr="00AA4677">
        <w:rPr>
          <w:rFonts w:cstheme="minorHAnsi"/>
          <w:szCs w:val="24"/>
        </w:rPr>
        <w:t>Encountered by Service members, law enforcement, or first responders while on duty.</w:t>
      </w:r>
    </w:p>
    <w:p w14:paraId="7758174A" w14:textId="77777777" w:rsidR="00DA36CA" w:rsidRPr="00AA4677" w:rsidRDefault="00DA36CA">
      <w:pPr>
        <w:numPr>
          <w:ilvl w:val="2"/>
          <w:numId w:val="311"/>
        </w:numPr>
        <w:shd w:val="clear" w:color="auto" w:fill="FFFFFF"/>
        <w:tabs>
          <w:tab w:val="clear" w:pos="2160"/>
        </w:tabs>
        <w:spacing w:after="0" w:line="240" w:lineRule="auto"/>
        <w:ind w:left="360"/>
        <w:rPr>
          <w:rFonts w:cstheme="minorHAnsi"/>
          <w:szCs w:val="24"/>
        </w:rPr>
      </w:pPr>
      <w:r w:rsidRPr="00AA4677">
        <w:rPr>
          <w:rFonts w:cstheme="minorHAnsi"/>
          <w:szCs w:val="24"/>
        </w:rPr>
        <w:t>Resulting from or associated with high-risk behaviors or pursuits.</w:t>
      </w:r>
    </w:p>
    <w:p w14:paraId="23C23075" w14:textId="34E804C4" w:rsidR="00AD4843" w:rsidRPr="00AA4677" w:rsidRDefault="00DA36CA">
      <w:pPr>
        <w:numPr>
          <w:ilvl w:val="2"/>
          <w:numId w:val="311"/>
        </w:numPr>
        <w:shd w:val="clear" w:color="auto" w:fill="FFFFFF"/>
        <w:tabs>
          <w:tab w:val="clear" w:pos="2160"/>
        </w:tabs>
        <w:spacing w:after="0" w:line="240" w:lineRule="auto"/>
        <w:ind w:left="360"/>
        <w:rPr>
          <w:rFonts w:cstheme="minorHAnsi"/>
          <w:szCs w:val="24"/>
        </w:rPr>
      </w:pPr>
      <w:r w:rsidRPr="00AA4677">
        <w:rPr>
          <w:rFonts w:cstheme="minorHAnsi"/>
          <w:szCs w:val="24"/>
        </w:rPr>
        <w:t>Experienced by individuals whose medical conditions involve frequent tests or constant pain.</w:t>
      </w:r>
    </w:p>
    <w:p w14:paraId="68A4E45A" w14:textId="2669589D" w:rsidR="00FC174E" w:rsidRPr="00AA4677" w:rsidRDefault="00D660F9" w:rsidP="00C57C98">
      <w:pPr>
        <w:pStyle w:val="Heading3"/>
      </w:pPr>
      <w:r w:rsidRPr="00AA4677">
        <w:t xml:space="preserve">6.7.3 Composition of the </w:t>
      </w:r>
      <w:r w:rsidR="00EE7207" w:rsidRPr="00AA4677">
        <w:t>IRB</w:t>
      </w:r>
    </w:p>
    <w:p w14:paraId="18D936C0"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[45 CFR 46.304]</w:t>
      </w:r>
    </w:p>
    <w:p w14:paraId="6016265C" w14:textId="11AADB2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addition to satisfying the general requirements detailed in </w:t>
      </w:r>
      <w:r w:rsidR="00D660F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section of this manual, when reviewing </w:t>
      </w:r>
      <w:r w:rsidR="00F051CA" w:rsidRPr="00AA4677">
        <w:rPr>
          <w:rFonts w:eastAsia="Times New Roman" w:cs="Times New Roman"/>
          <w:szCs w:val="24"/>
        </w:rPr>
        <w:t>research-involving</w:t>
      </w:r>
      <w:r w:rsidRPr="00AA4677">
        <w:rPr>
          <w:rFonts w:eastAsia="Times New Roman" w:cs="Times New Roman"/>
          <w:szCs w:val="24"/>
        </w:rPr>
        <w:t xml:space="preserve"> prisoners, </w:t>
      </w:r>
      <w:r w:rsidR="00D660F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must also meet the following requirements:</w:t>
      </w:r>
    </w:p>
    <w:p w14:paraId="4CCA839E" w14:textId="35C73629" w:rsidR="00FC174E" w:rsidRPr="00AA4677" w:rsidRDefault="00FC174E">
      <w:pPr>
        <w:numPr>
          <w:ilvl w:val="0"/>
          <w:numId w:val="21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 majority of </w:t>
      </w:r>
      <w:r w:rsidR="00D660F9" w:rsidRPr="00AA4677">
        <w:rPr>
          <w:rFonts w:eastAsia="Times New Roman" w:cs="Times New Roman"/>
          <w:szCs w:val="24"/>
        </w:rPr>
        <w:t xml:space="preserve">the </w:t>
      </w:r>
      <w:r w:rsidR="00EE7207" w:rsidRPr="00AA4677">
        <w:rPr>
          <w:rFonts w:eastAsia="Times New Roman" w:cs="Times New Roman"/>
          <w:szCs w:val="24"/>
        </w:rPr>
        <w:t>IRB</w:t>
      </w:r>
      <w:r w:rsidR="00D660F9" w:rsidRPr="00AA4677">
        <w:rPr>
          <w:rFonts w:eastAsia="Times New Roman" w:cs="Times New Roman"/>
          <w:szCs w:val="24"/>
        </w:rPr>
        <w:t xml:space="preserve"> </w:t>
      </w:r>
      <w:r w:rsidRPr="00AA4677">
        <w:rPr>
          <w:rFonts w:eastAsia="Times New Roman" w:cs="Times New Roman"/>
          <w:szCs w:val="24"/>
        </w:rPr>
        <w:t xml:space="preserve">(exclusive of prisoner members) must have no association with the prison(s) involved, apart from their membership on </w:t>
      </w:r>
      <w:r w:rsidR="00D660F9" w:rsidRPr="00AA4677">
        <w:rPr>
          <w:rFonts w:eastAsia="Times New Roman" w:cs="Times New Roman"/>
          <w:szCs w:val="24"/>
        </w:rPr>
        <w:t xml:space="preserve">the </w:t>
      </w:r>
      <w:r w:rsidR="00EE7207" w:rsidRPr="00AA4677">
        <w:rPr>
          <w:rFonts w:eastAsia="Times New Roman" w:cs="Times New Roman"/>
          <w:szCs w:val="24"/>
        </w:rPr>
        <w:t>IRB</w:t>
      </w:r>
      <w:r w:rsidR="00D660F9" w:rsidRPr="00AA4677">
        <w:rPr>
          <w:rFonts w:eastAsia="Times New Roman" w:cs="Times New Roman"/>
          <w:szCs w:val="24"/>
        </w:rPr>
        <w:t xml:space="preserve">. </w:t>
      </w:r>
    </w:p>
    <w:p w14:paraId="10282955" w14:textId="075A0F88" w:rsidR="00FC174E" w:rsidRPr="00AA4677" w:rsidRDefault="00FC174E">
      <w:pPr>
        <w:numPr>
          <w:ilvl w:val="0"/>
          <w:numId w:val="21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At least one member of </w:t>
      </w:r>
      <w:r w:rsidR="00D660F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must be a prisoner, or a prisoner representative with appropriate background and experience to serve in that capacity, except that where a particular research project is reviewed by more than one </w:t>
      </w:r>
      <w:r w:rsidR="00D660F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only one </w:t>
      </w:r>
      <w:r w:rsidR="00D660F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proofErr w:type="gramStart"/>
      <w:r w:rsidRPr="00AA4677">
        <w:rPr>
          <w:rFonts w:eastAsia="Times New Roman" w:cs="Times New Roman"/>
          <w:szCs w:val="24"/>
        </w:rPr>
        <w:t>need</w:t>
      </w:r>
      <w:proofErr w:type="gramEnd"/>
      <w:r w:rsidRPr="00AA4677">
        <w:rPr>
          <w:rFonts w:eastAsia="Times New Roman" w:cs="Times New Roman"/>
          <w:szCs w:val="24"/>
        </w:rPr>
        <w:t xml:space="preserve"> satisfy this requirement.</w:t>
      </w:r>
    </w:p>
    <w:p w14:paraId="251293A6" w14:textId="020DA1C3" w:rsidR="004C66BA" w:rsidRPr="00AA4677" w:rsidRDefault="004C66BA">
      <w:pPr>
        <w:numPr>
          <w:ilvl w:val="0"/>
          <w:numId w:val="21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proofErr w:type="gramStart"/>
      <w:r w:rsidRPr="00AA4677">
        <w:rPr>
          <w:rFonts w:eastAsia="Times New Roman" w:cs="Times New Roman"/>
          <w:szCs w:val="24"/>
        </w:rPr>
        <w:t>prisoner</w:t>
      </w:r>
      <w:proofErr w:type="gramEnd"/>
      <w:r w:rsidRPr="00AA4677">
        <w:rPr>
          <w:rFonts w:eastAsia="Times New Roman" w:cs="Times New Roman"/>
          <w:szCs w:val="24"/>
        </w:rPr>
        <w:t xml:space="preserve"> representative is listed as an alternative member who becomes a voting member when needed</w:t>
      </w:r>
    </w:p>
    <w:p w14:paraId="6FC648B0" w14:textId="5A53993D" w:rsidR="00FC174E" w:rsidRPr="00AA4677" w:rsidRDefault="00FC174E">
      <w:pPr>
        <w:numPr>
          <w:ilvl w:val="0"/>
          <w:numId w:val="21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At least one of the </w:t>
      </w:r>
      <w:r w:rsidR="00EE7207" w:rsidRPr="00AA4677">
        <w:rPr>
          <w:rFonts w:eastAsia="Times New Roman" w:cs="Times New Roman"/>
          <w:szCs w:val="24"/>
        </w:rPr>
        <w:t>IRB</w:t>
      </w:r>
      <w:r w:rsidRPr="00AA4677">
        <w:rPr>
          <w:rFonts w:eastAsia="Times New Roman" w:cs="Times New Roman"/>
          <w:szCs w:val="24"/>
        </w:rPr>
        <w:t xml:space="preserve"> committees will be duly constituted to review research involving prisoners. Consultation with ORC is strongly recommended if such research is proposed.</w:t>
      </w:r>
    </w:p>
    <w:p w14:paraId="24DF8B97" w14:textId="57734EA4" w:rsidR="00FC174E" w:rsidRPr="00AA4677" w:rsidRDefault="00FC174E">
      <w:pPr>
        <w:pStyle w:val="Heading3"/>
        <w:numPr>
          <w:ilvl w:val="2"/>
          <w:numId w:val="216"/>
        </w:numPr>
      </w:pPr>
      <w:r w:rsidRPr="00AA4677">
        <w:t>Review of Research Involving Prisoners</w:t>
      </w:r>
    </w:p>
    <w:p w14:paraId="66E41693" w14:textId="7D9CDDDD" w:rsidR="00D00A4C" w:rsidRPr="00AA4677" w:rsidRDefault="00FC174E" w:rsidP="00C129F1">
      <w:pPr>
        <w:pStyle w:val="Bullet2DoDDeptofDefense"/>
        <w:numPr>
          <w:ilvl w:val="0"/>
          <w:numId w:val="30"/>
        </w:numPr>
        <w:tabs>
          <w:tab w:val="clear" w:pos="2880"/>
        </w:tabs>
        <w:rPr>
          <w:rFonts w:asciiTheme="minorHAnsi" w:hAnsiTheme="minorHAnsi" w:cstheme="minorHAnsi"/>
          <w:color w:val="auto"/>
          <w:sz w:val="24"/>
        </w:rPr>
      </w:pPr>
      <w:r w:rsidRPr="00AA4677">
        <w:rPr>
          <w:rFonts w:asciiTheme="minorHAnsi" w:hAnsiTheme="minorHAnsi" w:cstheme="minorHAnsi"/>
          <w:color w:val="auto"/>
          <w:sz w:val="24"/>
          <w:szCs w:val="24"/>
        </w:rPr>
        <w:t>The prisoner representative must review research involving prisoners, focusing on the requirements in Subpart C.</w:t>
      </w:r>
      <w:r w:rsidR="00766BB7" w:rsidRPr="00AA4677">
        <w:rPr>
          <w:rFonts w:asciiTheme="minorHAnsi" w:hAnsiTheme="minorHAnsi" w:cstheme="minorHAnsi"/>
          <w:color w:val="auto"/>
          <w:sz w:val="24"/>
          <w:szCs w:val="24"/>
        </w:rPr>
        <w:t xml:space="preserve"> For research funded by the DoD, </w:t>
      </w:r>
      <w:r w:rsidR="00F35410" w:rsidRPr="00AA4677">
        <w:rPr>
          <w:rFonts w:asciiTheme="minorHAnsi" w:hAnsiTheme="minorHAnsi" w:cstheme="minorHAnsi"/>
          <w:color w:val="auto"/>
          <w:sz w:val="24"/>
        </w:rPr>
        <w:t>w</w:t>
      </w:r>
      <w:r w:rsidR="00766BB7" w:rsidRPr="00AA4677">
        <w:rPr>
          <w:rFonts w:asciiTheme="minorHAnsi" w:hAnsiTheme="minorHAnsi" w:cstheme="minorHAnsi"/>
          <w:color w:val="auto"/>
          <w:sz w:val="24"/>
        </w:rPr>
        <w:t>hen the IRB reviews research involving prisoners, at least one prisoner representative must be present for quorum.</w:t>
      </w:r>
    </w:p>
    <w:p w14:paraId="685EEBFA" w14:textId="714F5B61" w:rsidR="00FC174E" w:rsidRPr="00AA4677" w:rsidRDefault="00FC174E" w:rsidP="00C129F1">
      <w:pPr>
        <w:pStyle w:val="Bullet2DoDDeptofDefense"/>
        <w:numPr>
          <w:ilvl w:val="0"/>
          <w:numId w:val="30"/>
        </w:numPr>
        <w:tabs>
          <w:tab w:val="clear" w:pos="2880"/>
        </w:tabs>
        <w:rPr>
          <w:rFonts w:ascii="Calibri" w:hAnsi="Calibri" w:cs="Calibri"/>
          <w:color w:val="000000" w:themeColor="text1"/>
          <w:szCs w:val="24"/>
        </w:rPr>
      </w:pPr>
      <w:r w:rsidRPr="00AA4677">
        <w:rPr>
          <w:rFonts w:ascii="Calibri" w:hAnsi="Calibri" w:cs="Calibri"/>
          <w:color w:val="000000" w:themeColor="text1"/>
          <w:sz w:val="24"/>
          <w:szCs w:val="24"/>
        </w:rPr>
        <w:t>The prisoner representative must receive all review materials pertaining to the research (same as primary reviewer)</w:t>
      </w:r>
      <w:r w:rsidR="00465751" w:rsidRPr="00AA4677">
        <w:rPr>
          <w:rFonts w:ascii="Calibri" w:hAnsi="Calibri" w:cs="Calibri"/>
          <w:color w:val="000000" w:themeColor="text1"/>
          <w:sz w:val="24"/>
          <w:szCs w:val="24"/>
        </w:rPr>
        <w:t>.</w:t>
      </w:r>
    </w:p>
    <w:p w14:paraId="1C8FD786" w14:textId="77777777" w:rsidR="00FC174E" w:rsidRPr="00AA4677" w:rsidRDefault="00FC174E" w:rsidP="00C129F1">
      <w:pPr>
        <w:numPr>
          <w:ilvl w:val="0"/>
          <w:numId w:val="3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proofErr w:type="gramStart"/>
      <w:r w:rsidRPr="00AA4677">
        <w:rPr>
          <w:rFonts w:eastAsia="Times New Roman" w:cs="Times New Roman"/>
          <w:szCs w:val="24"/>
        </w:rPr>
        <w:t>prisoner</w:t>
      </w:r>
      <w:proofErr w:type="gramEnd"/>
      <w:r w:rsidRPr="00AA4677">
        <w:rPr>
          <w:rFonts w:eastAsia="Times New Roman" w:cs="Times New Roman"/>
          <w:szCs w:val="24"/>
        </w:rPr>
        <w:t xml:space="preserve"> representative must be present at a convened meeting when the research involving prisoners is reviewed. If the prisoner representative is not present, research involving prisoners cannot be reviewed or approved.  The </w:t>
      </w:r>
      <w:proofErr w:type="gramStart"/>
      <w:r w:rsidRPr="00AA4677">
        <w:rPr>
          <w:rFonts w:eastAsia="Times New Roman" w:cs="Times New Roman"/>
          <w:szCs w:val="24"/>
        </w:rPr>
        <w:t>prisoner</w:t>
      </w:r>
      <w:proofErr w:type="gramEnd"/>
      <w:r w:rsidRPr="00AA4677">
        <w:rPr>
          <w:rFonts w:eastAsia="Times New Roman" w:cs="Times New Roman"/>
          <w:szCs w:val="24"/>
        </w:rPr>
        <w:t xml:space="preserve"> representative may attend the meeting by phone, </w:t>
      </w:r>
      <w:proofErr w:type="gramStart"/>
      <w:r w:rsidRPr="00AA4677">
        <w:rPr>
          <w:rFonts w:eastAsia="Times New Roman" w:cs="Times New Roman"/>
          <w:szCs w:val="24"/>
        </w:rPr>
        <w:t>video-conference</w:t>
      </w:r>
      <w:proofErr w:type="gramEnd"/>
      <w:r w:rsidRPr="00AA4677">
        <w:rPr>
          <w:rFonts w:eastAsia="Times New Roman" w:cs="Times New Roman"/>
          <w:szCs w:val="24"/>
        </w:rPr>
        <w:t xml:space="preserve">, or webinar, </w:t>
      </w:r>
      <w:proofErr w:type="gramStart"/>
      <w:r w:rsidRPr="00AA4677">
        <w:rPr>
          <w:rFonts w:eastAsia="Times New Roman" w:cs="Times New Roman"/>
          <w:szCs w:val="24"/>
        </w:rPr>
        <w:t>as long as</w:t>
      </w:r>
      <w:proofErr w:type="gramEnd"/>
      <w:r w:rsidRPr="00AA4677">
        <w:rPr>
          <w:rFonts w:eastAsia="Times New Roman" w:cs="Times New Roman"/>
          <w:szCs w:val="24"/>
        </w:rPr>
        <w:t xml:space="preserve"> the representative </w:t>
      </w:r>
      <w:proofErr w:type="gramStart"/>
      <w:r w:rsidRPr="00AA4677">
        <w:rPr>
          <w:rFonts w:eastAsia="Times New Roman" w:cs="Times New Roman"/>
          <w:szCs w:val="24"/>
        </w:rPr>
        <w:t>is able to</w:t>
      </w:r>
      <w:proofErr w:type="gramEnd"/>
      <w:r w:rsidRPr="00AA4677">
        <w:rPr>
          <w:rFonts w:eastAsia="Times New Roman" w:cs="Times New Roman"/>
          <w:szCs w:val="24"/>
        </w:rPr>
        <w:t xml:space="preserve"> participate in the meeting as if they were present in person at the meeting.</w:t>
      </w:r>
    </w:p>
    <w:p w14:paraId="554BF344" w14:textId="00D4B2FC" w:rsidR="00FC174E" w:rsidRPr="00AA4677" w:rsidRDefault="00FC174E" w:rsidP="00C129F1">
      <w:pPr>
        <w:numPr>
          <w:ilvl w:val="0"/>
          <w:numId w:val="30"/>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proofErr w:type="gramStart"/>
      <w:r w:rsidRPr="00AA4677">
        <w:rPr>
          <w:rFonts w:eastAsia="Times New Roman" w:cs="Times New Roman"/>
          <w:szCs w:val="24"/>
        </w:rPr>
        <w:t>prisoner</w:t>
      </w:r>
      <w:proofErr w:type="gramEnd"/>
      <w:r w:rsidRPr="00AA4677">
        <w:rPr>
          <w:rFonts w:eastAsia="Times New Roman" w:cs="Times New Roman"/>
          <w:szCs w:val="24"/>
        </w:rPr>
        <w:t xml:space="preserve"> representative must present his/her review either orally or in writing at the convened meeting of the</w:t>
      </w:r>
      <w:r w:rsidR="00465751"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when the research involving prisoners is reviewed.</w:t>
      </w:r>
    </w:p>
    <w:p w14:paraId="5DC04B66" w14:textId="77777777" w:rsidR="00FC174E" w:rsidRPr="00AA4677" w:rsidRDefault="00FC174E" w:rsidP="00C129F1">
      <w:pPr>
        <w:numPr>
          <w:ilvl w:val="0"/>
          <w:numId w:val="30"/>
        </w:numPr>
        <w:shd w:val="clear" w:color="auto" w:fill="FFFFFF"/>
        <w:spacing w:after="0" w:line="240" w:lineRule="auto"/>
        <w:rPr>
          <w:rFonts w:eastAsia="Times New Roman" w:cs="Times New Roman"/>
          <w:szCs w:val="24"/>
        </w:rPr>
      </w:pPr>
      <w:r w:rsidRPr="00AA4677">
        <w:rPr>
          <w:rFonts w:eastAsia="Times New Roman" w:cs="Times New Roman"/>
          <w:szCs w:val="24"/>
        </w:rPr>
        <w:t>Modifications.</w:t>
      </w:r>
    </w:p>
    <w:p w14:paraId="35195DC6" w14:textId="77777777" w:rsidR="00FC174E" w:rsidRPr="00AA4677" w:rsidRDefault="00FC174E">
      <w:pPr>
        <w:pStyle w:val="ListParagraph"/>
        <w:numPr>
          <w:ilvl w:val="0"/>
          <w:numId w:val="275"/>
        </w:numPr>
        <w:shd w:val="clear" w:color="auto" w:fill="FFFFFF"/>
        <w:spacing w:after="0" w:line="240" w:lineRule="auto"/>
        <w:rPr>
          <w:rFonts w:eastAsia="Times New Roman" w:cs="Times New Roman"/>
          <w:szCs w:val="24"/>
        </w:rPr>
      </w:pPr>
      <w:r w:rsidRPr="00AA4677">
        <w:rPr>
          <w:rFonts w:eastAsia="Times New Roman" w:cs="Times New Roman"/>
          <w:szCs w:val="24"/>
        </w:rPr>
        <w:t>Minor modifications to research may be reviewed using the expedited procedure described below, using either of the two procedures described based on the type of modification.</w:t>
      </w:r>
    </w:p>
    <w:p w14:paraId="292F46FA" w14:textId="77F7E385" w:rsidR="00FC174E" w:rsidRPr="00AA4677" w:rsidRDefault="00FC174E">
      <w:pPr>
        <w:pStyle w:val="ListParagraph"/>
        <w:numPr>
          <w:ilvl w:val="0"/>
          <w:numId w:val="275"/>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Modifications involving more than a minor change reviewed by the convened </w:t>
      </w:r>
      <w:r w:rsidR="00EE7207" w:rsidRPr="00AA4677">
        <w:rPr>
          <w:rFonts w:eastAsia="Times New Roman" w:cs="Times New Roman"/>
          <w:szCs w:val="24"/>
        </w:rPr>
        <w:t>IRB</w:t>
      </w:r>
      <w:r w:rsidRPr="00AA4677">
        <w:rPr>
          <w:rFonts w:eastAsia="Times New Roman" w:cs="Times New Roman"/>
          <w:szCs w:val="24"/>
        </w:rPr>
        <w:t xml:space="preserve"> must use the same procedures for initial review including the responsibility of the prisoner representative to review the modification and participate in the meeting (as described above).</w:t>
      </w:r>
    </w:p>
    <w:p w14:paraId="15C2BAB1" w14:textId="77777777" w:rsidR="00FC174E" w:rsidRPr="00AA4677" w:rsidRDefault="00FC174E" w:rsidP="00C129F1">
      <w:pPr>
        <w:numPr>
          <w:ilvl w:val="0"/>
          <w:numId w:val="30"/>
        </w:numPr>
        <w:shd w:val="clear" w:color="auto" w:fill="FFFFFF"/>
        <w:spacing w:after="0" w:line="240" w:lineRule="auto"/>
        <w:rPr>
          <w:rFonts w:eastAsia="Times New Roman" w:cs="Times New Roman"/>
          <w:szCs w:val="24"/>
        </w:rPr>
      </w:pPr>
      <w:r w:rsidRPr="00AA4677">
        <w:rPr>
          <w:rFonts w:eastAsia="Times New Roman" w:cs="Times New Roman"/>
          <w:szCs w:val="24"/>
        </w:rPr>
        <w:t>Continuing review. Continuing review must use the same procedures for initial review including the responsibility of the prisoner representative to review the continuing review materials and participate in the meeting (as described above).</w:t>
      </w:r>
    </w:p>
    <w:p w14:paraId="6A80D1EB" w14:textId="77777777" w:rsidR="00FC174E" w:rsidRPr="00AA4677" w:rsidRDefault="00FC174E" w:rsidP="00C129F1">
      <w:pPr>
        <w:numPr>
          <w:ilvl w:val="0"/>
          <w:numId w:val="30"/>
        </w:numPr>
        <w:shd w:val="clear" w:color="auto" w:fill="FFFFFF"/>
        <w:spacing w:after="0" w:line="240" w:lineRule="auto"/>
        <w:rPr>
          <w:rFonts w:eastAsia="Times New Roman" w:cs="Times New Roman"/>
          <w:szCs w:val="24"/>
        </w:rPr>
      </w:pPr>
      <w:r w:rsidRPr="00AA4677">
        <w:rPr>
          <w:rFonts w:eastAsia="Times New Roman" w:cs="Times New Roman"/>
          <w:szCs w:val="24"/>
        </w:rPr>
        <w:t>Expedited Review</w:t>
      </w:r>
    </w:p>
    <w:p w14:paraId="6B02185C" w14:textId="77777777" w:rsidR="00FC174E" w:rsidRPr="00AA4677" w:rsidRDefault="00FC174E">
      <w:pPr>
        <w:pStyle w:val="ListParagraph"/>
        <w:numPr>
          <w:ilvl w:val="0"/>
          <w:numId w:val="27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Research involving interaction with prisoners may be reviewed by the expedited procedure, if a determination is made that the research involves no greater than minimal risk for the prison population being studied.  The </w:t>
      </w:r>
      <w:proofErr w:type="gramStart"/>
      <w:r w:rsidRPr="00AA4677">
        <w:rPr>
          <w:rFonts w:eastAsia="Times New Roman" w:cs="Times New Roman"/>
          <w:szCs w:val="24"/>
        </w:rPr>
        <w:t>prisoner</w:t>
      </w:r>
      <w:proofErr w:type="gramEnd"/>
      <w:r w:rsidRPr="00AA4677">
        <w:rPr>
          <w:rFonts w:eastAsia="Times New Roman" w:cs="Times New Roman"/>
          <w:szCs w:val="24"/>
        </w:rPr>
        <w:t xml:space="preserve"> representative must concur with the determination that the research involves no greater than minimal risk. The </w:t>
      </w:r>
      <w:proofErr w:type="gramStart"/>
      <w:r w:rsidRPr="00AA4677">
        <w:rPr>
          <w:rFonts w:eastAsia="Times New Roman" w:cs="Times New Roman"/>
          <w:szCs w:val="24"/>
        </w:rPr>
        <w:t>prisoner</w:t>
      </w:r>
      <w:proofErr w:type="gramEnd"/>
      <w:r w:rsidRPr="00AA4677">
        <w:rPr>
          <w:rFonts w:eastAsia="Times New Roman" w:cs="Times New Roman"/>
          <w:szCs w:val="24"/>
        </w:rPr>
        <w:t xml:space="preserve"> representative must review the research as a reviewer, designated by the chair, or consultant. This may be as the sole reviewer or in addition to another reviewer, as appropriate. Review of modifications and continuing review must use the same procedures for initial review using this expedited procedure including the responsibility of the prisoner representative.</w:t>
      </w:r>
    </w:p>
    <w:p w14:paraId="4A6D6227" w14:textId="6A08380B" w:rsidR="00FC174E" w:rsidRPr="00AA4677" w:rsidRDefault="00FC174E">
      <w:pPr>
        <w:pStyle w:val="ListParagraph"/>
        <w:numPr>
          <w:ilvl w:val="0"/>
          <w:numId w:val="27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Research that does not involve interaction with prisoners (e.g. existing data, records review) may be reviewed by the expedited procedure, if a determination is made that the </w:t>
      </w:r>
      <w:r w:rsidRPr="00AA4677">
        <w:rPr>
          <w:rFonts w:eastAsia="Times New Roman" w:cs="Times New Roman"/>
          <w:szCs w:val="24"/>
        </w:rPr>
        <w:lastRenderedPageBreak/>
        <w:t>research involves no greater than minimal risk for the prison population being studied. Review by a prisoner representative is not required. The prisoner representative may review the research as a reviewer or consultant if designated by the</w:t>
      </w:r>
      <w:r w:rsidR="00465751"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w:t>
      </w:r>
      <w:r w:rsidR="00465751" w:rsidRPr="00AA4677">
        <w:rPr>
          <w:rFonts w:eastAsia="Times New Roman" w:cs="Times New Roman"/>
          <w:szCs w:val="24"/>
        </w:rPr>
        <w:t>C</w:t>
      </w:r>
      <w:r w:rsidRPr="00AA4677">
        <w:rPr>
          <w:rFonts w:eastAsia="Times New Roman" w:cs="Times New Roman"/>
          <w:szCs w:val="24"/>
        </w:rPr>
        <w:t>hair. Review of modifications and continuing review must use the same procedures as initial review.</w:t>
      </w:r>
    </w:p>
    <w:p w14:paraId="615B5F30" w14:textId="3E6B7C7F" w:rsidR="00FC174E" w:rsidRPr="00AA4677" w:rsidRDefault="00FC174E" w:rsidP="00C57C98">
      <w:pPr>
        <w:pStyle w:val="Heading3"/>
      </w:pPr>
      <w:r w:rsidRPr="00AA4677">
        <w:t>6.7.5 Incarceration of Enrolled Subjects</w:t>
      </w:r>
    </w:p>
    <w:p w14:paraId="095F994B" w14:textId="35AE7E0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a </w:t>
      </w:r>
      <w:r w:rsidR="00BF7470" w:rsidRPr="00AA4677">
        <w:rPr>
          <w:rFonts w:eastAsia="Times New Roman" w:cs="Times New Roman"/>
          <w:szCs w:val="24"/>
        </w:rPr>
        <w:t>subject</w:t>
      </w:r>
      <w:r w:rsidRPr="00AA4677">
        <w:rPr>
          <w:rFonts w:eastAsia="Times New Roman" w:cs="Times New Roman"/>
          <w:szCs w:val="24"/>
        </w:rPr>
        <w:t xml:space="preserve"> becomes a prisoner while enrolled in a research study that was not reviewed according to Subpart C and Subpart C applies, the</w:t>
      </w:r>
      <w:r w:rsidR="001A7DB0"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must:</w:t>
      </w:r>
    </w:p>
    <w:p w14:paraId="33889874" w14:textId="2A309677" w:rsidR="00FC174E" w:rsidRPr="00AA4677" w:rsidRDefault="00FC174E" w:rsidP="00C129F1">
      <w:pPr>
        <w:numPr>
          <w:ilvl w:val="0"/>
          <w:numId w:val="3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Confirm that the </w:t>
      </w:r>
      <w:r w:rsidR="00BF7470" w:rsidRPr="00AA4677">
        <w:rPr>
          <w:rFonts w:eastAsia="Times New Roman" w:cs="Times New Roman"/>
          <w:szCs w:val="24"/>
        </w:rPr>
        <w:t>subject</w:t>
      </w:r>
      <w:r w:rsidRPr="00AA4677">
        <w:rPr>
          <w:rFonts w:eastAsia="Times New Roman" w:cs="Times New Roman"/>
          <w:szCs w:val="24"/>
        </w:rPr>
        <w:t xml:space="preserve"> meets the definition of a prisoner.</w:t>
      </w:r>
    </w:p>
    <w:p w14:paraId="1A4D7B8D" w14:textId="6A9D2E05" w:rsidR="00FC174E" w:rsidRPr="00AA4677" w:rsidRDefault="00FC174E" w:rsidP="00C129F1">
      <w:pPr>
        <w:numPr>
          <w:ilvl w:val="0"/>
          <w:numId w:val="3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Terminate enrollment or review the research study under Subpart C if it is feasible for the </w:t>
      </w:r>
      <w:r w:rsidR="00BF7470" w:rsidRPr="00AA4677">
        <w:rPr>
          <w:rFonts w:eastAsia="Times New Roman" w:cs="Times New Roman"/>
          <w:szCs w:val="24"/>
        </w:rPr>
        <w:t>subject</w:t>
      </w:r>
      <w:r w:rsidRPr="00AA4677">
        <w:rPr>
          <w:rFonts w:eastAsia="Times New Roman" w:cs="Times New Roman"/>
          <w:szCs w:val="24"/>
        </w:rPr>
        <w:t xml:space="preserve"> to remain in the study.</w:t>
      </w:r>
    </w:p>
    <w:p w14:paraId="298988CC" w14:textId="6068A7C1" w:rsidR="00FC174E" w:rsidRPr="00AA4677" w:rsidRDefault="00FC174E" w:rsidP="00C129F1">
      <w:pPr>
        <w:numPr>
          <w:ilvl w:val="0"/>
          <w:numId w:val="3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Before terminating the enrollment of the incarcerated </w:t>
      </w:r>
      <w:proofErr w:type="gramStart"/>
      <w:r w:rsidR="00BF7470" w:rsidRPr="00AA4677">
        <w:rPr>
          <w:rFonts w:eastAsia="Times New Roman" w:cs="Times New Roman"/>
          <w:szCs w:val="24"/>
        </w:rPr>
        <w:t>subject</w:t>
      </w:r>
      <w:proofErr w:type="gramEnd"/>
      <w:r w:rsidRPr="00AA4677">
        <w:rPr>
          <w:rFonts w:eastAsia="Times New Roman" w:cs="Times New Roman"/>
          <w:szCs w:val="24"/>
        </w:rPr>
        <w:t xml:space="preserve"> the</w:t>
      </w:r>
      <w:r w:rsidR="001A7DB0"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should consider the risks associated with terminating participation in the study.  If the </w:t>
      </w:r>
      <w:r w:rsidR="00BF7470" w:rsidRPr="00AA4677">
        <w:rPr>
          <w:rFonts w:eastAsia="Times New Roman" w:cs="Times New Roman"/>
          <w:szCs w:val="24"/>
        </w:rPr>
        <w:t>subject</w:t>
      </w:r>
      <w:r w:rsidRPr="00AA4677">
        <w:rPr>
          <w:rFonts w:eastAsia="Times New Roman" w:cs="Times New Roman"/>
          <w:szCs w:val="24"/>
        </w:rPr>
        <w:t xml:space="preserve"> cannot be terminated for health or safety reasons, one of two options </w:t>
      </w:r>
      <w:proofErr w:type="gramStart"/>
      <w:r w:rsidRPr="00AA4677">
        <w:rPr>
          <w:rFonts w:eastAsia="Times New Roman" w:cs="Times New Roman"/>
          <w:szCs w:val="24"/>
        </w:rPr>
        <w:t>are</w:t>
      </w:r>
      <w:proofErr w:type="gramEnd"/>
      <w:r w:rsidRPr="00AA4677">
        <w:rPr>
          <w:rFonts w:eastAsia="Times New Roman" w:cs="Times New Roman"/>
          <w:szCs w:val="24"/>
        </w:rPr>
        <w:t xml:space="preserve"> available:</w:t>
      </w:r>
    </w:p>
    <w:p w14:paraId="1C51B2E8" w14:textId="6F7C1AAC" w:rsidR="00FC174E" w:rsidRPr="00AA4677" w:rsidRDefault="00FC174E">
      <w:pPr>
        <w:pStyle w:val="ListParagraph"/>
        <w:numPr>
          <w:ilvl w:val="0"/>
          <w:numId w:val="272"/>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Keep the </w:t>
      </w:r>
      <w:r w:rsidR="00BF7470" w:rsidRPr="00AA4677">
        <w:rPr>
          <w:rFonts w:eastAsia="Times New Roman" w:cs="Times New Roman"/>
          <w:szCs w:val="24"/>
        </w:rPr>
        <w:t>subject</w:t>
      </w:r>
      <w:r w:rsidRPr="00AA4677">
        <w:rPr>
          <w:rFonts w:eastAsia="Times New Roman" w:cs="Times New Roman"/>
          <w:szCs w:val="24"/>
        </w:rPr>
        <w:t xml:space="preserve"> enrolled in the study and review the research under Subpart C. If some of the requirements of Subpart C cannot be met, but it is in the best interests of the </w:t>
      </w:r>
      <w:r w:rsidR="00BF7470" w:rsidRPr="00AA4677">
        <w:rPr>
          <w:rFonts w:eastAsia="Times New Roman" w:cs="Times New Roman"/>
          <w:szCs w:val="24"/>
        </w:rPr>
        <w:t>subject</w:t>
      </w:r>
      <w:r w:rsidRPr="00AA4677">
        <w:rPr>
          <w:rFonts w:eastAsia="Times New Roman" w:cs="Times New Roman"/>
          <w:szCs w:val="24"/>
        </w:rPr>
        <w:t xml:space="preserve"> to remain in the study, keep the </w:t>
      </w:r>
      <w:r w:rsidR="00BF7470" w:rsidRPr="00AA4677">
        <w:rPr>
          <w:rFonts w:eastAsia="Times New Roman" w:cs="Times New Roman"/>
          <w:szCs w:val="24"/>
        </w:rPr>
        <w:t>subject</w:t>
      </w:r>
      <w:r w:rsidRPr="00AA4677">
        <w:rPr>
          <w:rFonts w:eastAsia="Times New Roman" w:cs="Times New Roman"/>
          <w:szCs w:val="24"/>
        </w:rPr>
        <w:t xml:space="preserve"> enrolled and inform OHRP of the decision along with the justification</w:t>
      </w:r>
      <w:r w:rsidR="001A7DB0" w:rsidRPr="00AA4677">
        <w:rPr>
          <w:rFonts w:eastAsia="Times New Roman" w:cs="Times New Roman"/>
          <w:szCs w:val="24"/>
        </w:rPr>
        <w:t xml:space="preserve">; or  </w:t>
      </w:r>
    </w:p>
    <w:p w14:paraId="05493BFC" w14:textId="46D8D930" w:rsidR="00FC174E" w:rsidRPr="00AA4677" w:rsidRDefault="00FC174E">
      <w:pPr>
        <w:pStyle w:val="ListParagraph"/>
        <w:numPr>
          <w:ilvl w:val="0"/>
          <w:numId w:val="272"/>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Remove the </w:t>
      </w:r>
      <w:r w:rsidR="00BF7470" w:rsidRPr="00AA4677">
        <w:rPr>
          <w:rFonts w:eastAsia="Times New Roman" w:cs="Times New Roman"/>
          <w:szCs w:val="24"/>
        </w:rPr>
        <w:t>subject</w:t>
      </w:r>
      <w:r w:rsidRPr="00AA4677">
        <w:rPr>
          <w:rFonts w:eastAsia="Times New Roman" w:cs="Times New Roman"/>
          <w:szCs w:val="24"/>
        </w:rPr>
        <w:t xml:space="preserve"> from the study and keep the </w:t>
      </w:r>
      <w:r w:rsidR="00BF7470" w:rsidRPr="00AA4677">
        <w:rPr>
          <w:rFonts w:eastAsia="Times New Roman" w:cs="Times New Roman"/>
          <w:szCs w:val="24"/>
        </w:rPr>
        <w:t>subject</w:t>
      </w:r>
      <w:r w:rsidRPr="00AA4677">
        <w:rPr>
          <w:rFonts w:eastAsia="Times New Roman" w:cs="Times New Roman"/>
          <w:szCs w:val="24"/>
        </w:rPr>
        <w:t xml:space="preserve"> on the study intervention under an alternate mechanism such as compassionate use, off label use, etc.</w:t>
      </w:r>
    </w:p>
    <w:p w14:paraId="658EF3E2" w14:textId="085F4DA7" w:rsidR="00FC174E" w:rsidRPr="00AA4677" w:rsidRDefault="00FC174E" w:rsidP="00C129F1">
      <w:pPr>
        <w:numPr>
          <w:ilvl w:val="0"/>
          <w:numId w:val="3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If a </w:t>
      </w:r>
      <w:r w:rsidR="00BF7470" w:rsidRPr="00AA4677">
        <w:rPr>
          <w:rFonts w:eastAsia="Times New Roman" w:cs="Times New Roman"/>
          <w:szCs w:val="24"/>
        </w:rPr>
        <w:t>subject</w:t>
      </w:r>
      <w:r w:rsidRPr="00AA4677">
        <w:rPr>
          <w:rFonts w:eastAsia="Times New Roman" w:cs="Times New Roman"/>
          <w:szCs w:val="24"/>
        </w:rPr>
        <w:t xml:space="preserve"> is incarcerated temporarily while enrolled in a study:</w:t>
      </w:r>
    </w:p>
    <w:p w14:paraId="382F0DED" w14:textId="737F7F11" w:rsidR="00FC174E" w:rsidRPr="00AA4677" w:rsidRDefault="00FC174E">
      <w:pPr>
        <w:pStyle w:val="ListParagraph"/>
        <w:numPr>
          <w:ilvl w:val="0"/>
          <w:numId w:val="273"/>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If the temporary incarceration has no effect on the study, keep the </w:t>
      </w:r>
      <w:r w:rsidR="00BF7470" w:rsidRPr="00AA4677">
        <w:rPr>
          <w:rFonts w:eastAsia="Times New Roman" w:cs="Times New Roman"/>
          <w:szCs w:val="24"/>
        </w:rPr>
        <w:t>subject</w:t>
      </w:r>
      <w:r w:rsidRPr="00AA4677">
        <w:rPr>
          <w:rFonts w:eastAsia="Times New Roman" w:cs="Times New Roman"/>
          <w:szCs w:val="24"/>
        </w:rPr>
        <w:t xml:space="preserve"> enrolled</w:t>
      </w:r>
      <w:r w:rsidR="001A7DB0" w:rsidRPr="00AA4677">
        <w:rPr>
          <w:rFonts w:eastAsia="Times New Roman" w:cs="Times New Roman"/>
          <w:szCs w:val="24"/>
        </w:rPr>
        <w:t>; or</w:t>
      </w:r>
    </w:p>
    <w:p w14:paraId="00361B5D" w14:textId="77777777" w:rsidR="00FC174E" w:rsidRPr="00AA4677" w:rsidRDefault="00FC174E">
      <w:pPr>
        <w:pStyle w:val="ListParagraph"/>
        <w:numPr>
          <w:ilvl w:val="0"/>
          <w:numId w:val="273"/>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If the temporary incarceration </w:t>
      </w:r>
      <w:proofErr w:type="gramStart"/>
      <w:r w:rsidRPr="00AA4677">
        <w:rPr>
          <w:rFonts w:eastAsia="Times New Roman" w:cs="Times New Roman"/>
          <w:szCs w:val="24"/>
        </w:rPr>
        <w:t>has an effect on</w:t>
      </w:r>
      <w:proofErr w:type="gramEnd"/>
      <w:r w:rsidRPr="00AA4677">
        <w:rPr>
          <w:rFonts w:eastAsia="Times New Roman" w:cs="Times New Roman"/>
          <w:szCs w:val="24"/>
        </w:rPr>
        <w:t xml:space="preserve"> the study, handle according to the above guidance.</w:t>
      </w:r>
    </w:p>
    <w:p w14:paraId="33C847AE" w14:textId="2299F55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Otherwise, the </w:t>
      </w:r>
      <w:r w:rsidR="00EE7207" w:rsidRPr="00AA4677">
        <w:rPr>
          <w:rFonts w:eastAsia="Times New Roman" w:cs="Times New Roman"/>
          <w:szCs w:val="24"/>
        </w:rPr>
        <w:t>IRB</w:t>
      </w:r>
      <w:r w:rsidR="001A7DB0" w:rsidRPr="00AA4677">
        <w:rPr>
          <w:rFonts w:eastAsia="Times New Roman" w:cs="Times New Roman"/>
          <w:szCs w:val="24"/>
        </w:rPr>
        <w:t xml:space="preserve"> C</w:t>
      </w:r>
      <w:r w:rsidRPr="00AA4677">
        <w:rPr>
          <w:rFonts w:eastAsia="Times New Roman" w:cs="Times New Roman"/>
          <w:szCs w:val="24"/>
        </w:rPr>
        <w:t>hair shall require that all research interactions and interventions with the prisoner-subject (including obtaining identifiable private information) cease until the convened IRB can review this request to approve a change in the research protocol.</w:t>
      </w:r>
    </w:p>
    <w:p w14:paraId="2572B5CE" w14:textId="3B91971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convened</w:t>
      </w:r>
      <w:r w:rsidR="001A7DB0"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upon receipt of notification that a previously enrolled human </w:t>
      </w:r>
      <w:r w:rsidR="00BF7470" w:rsidRPr="00AA4677">
        <w:rPr>
          <w:rFonts w:eastAsia="Times New Roman" w:cs="Times New Roman"/>
          <w:szCs w:val="24"/>
        </w:rPr>
        <w:t>subject</w:t>
      </w:r>
      <w:r w:rsidRPr="00AA4677">
        <w:rPr>
          <w:rFonts w:eastAsia="Times New Roman" w:cs="Times New Roman"/>
          <w:szCs w:val="24"/>
        </w:rPr>
        <w:t xml:space="preserve"> has become a prisoner, shall promptly re-review the research protocol to ensure that the rights and wellbeing of the human subject, now a prisoner, are not in jeopardy. The</w:t>
      </w:r>
      <w:r w:rsidR="001A7DB0"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should consult with a subject matter expert having the expertise of a prisoner representative if the</w:t>
      </w:r>
      <w:r w:rsidR="001A7DB0"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reviewing the research protocol does not have a prisoner representative.</w:t>
      </w:r>
    </w:p>
    <w:p w14:paraId="3CB56046" w14:textId="4534CA6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the prisoner-</w:t>
      </w:r>
      <w:r w:rsidR="00BF7470" w:rsidRPr="00AA4677">
        <w:rPr>
          <w:rFonts w:eastAsia="Times New Roman" w:cs="Times New Roman"/>
          <w:szCs w:val="24"/>
        </w:rPr>
        <w:t>subject</w:t>
      </w:r>
      <w:r w:rsidRPr="00AA4677">
        <w:rPr>
          <w:rFonts w:eastAsia="Times New Roman" w:cs="Times New Roman"/>
          <w:szCs w:val="24"/>
        </w:rPr>
        <w:t xml:space="preserve"> can continue to consent to participate and is capable of meeting the research protocol requirements, the terms of the prisoner-</w:t>
      </w:r>
      <w:r w:rsidR="00BF7470" w:rsidRPr="00AA4677">
        <w:rPr>
          <w:rFonts w:eastAsia="Times New Roman" w:cs="Times New Roman"/>
          <w:szCs w:val="24"/>
        </w:rPr>
        <w:t>subject</w:t>
      </w:r>
      <w:r w:rsidRPr="00AA4677">
        <w:rPr>
          <w:rFonts w:eastAsia="Times New Roman" w:cs="Times New Roman"/>
          <w:szCs w:val="24"/>
        </w:rPr>
        <w:t xml:space="preserve">’s confinement does not inhibit the ethical conduct of the research, and there are no other significant issues preventing the </w:t>
      </w:r>
      <w:r w:rsidRPr="00AA4677">
        <w:rPr>
          <w:rFonts w:eastAsia="Times New Roman" w:cs="Times New Roman"/>
          <w:szCs w:val="24"/>
        </w:rPr>
        <w:lastRenderedPageBreak/>
        <w:t xml:space="preserve">research involving human </w:t>
      </w:r>
      <w:r w:rsidR="00BF7470" w:rsidRPr="00AA4677">
        <w:rPr>
          <w:rFonts w:eastAsia="Times New Roman" w:cs="Times New Roman"/>
          <w:szCs w:val="24"/>
        </w:rPr>
        <w:t>subject</w:t>
      </w:r>
      <w:r w:rsidRPr="00AA4677">
        <w:rPr>
          <w:rFonts w:eastAsia="Times New Roman" w:cs="Times New Roman"/>
          <w:szCs w:val="24"/>
        </w:rPr>
        <w:t>s from continuing as approved, the convened</w:t>
      </w:r>
      <w:r w:rsidR="001A7DB0"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may approve a change in the study to allow this prisoner-</w:t>
      </w:r>
      <w:r w:rsidR="00BF7470" w:rsidRPr="00AA4677">
        <w:rPr>
          <w:rFonts w:eastAsia="Times New Roman" w:cs="Times New Roman"/>
          <w:szCs w:val="24"/>
        </w:rPr>
        <w:t>subject</w:t>
      </w:r>
      <w:r w:rsidRPr="00AA4677">
        <w:rPr>
          <w:rFonts w:eastAsia="Times New Roman" w:cs="Times New Roman"/>
          <w:szCs w:val="24"/>
        </w:rPr>
        <w:t xml:space="preserve"> to continue to participate in the research.</w:t>
      </w:r>
    </w:p>
    <w:p w14:paraId="15466AA0" w14:textId="230FD579" w:rsidR="00E83748" w:rsidRPr="00AA4677" w:rsidRDefault="00E83748"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w:t>
      </w:r>
      <w:r w:rsidR="00D00A4C" w:rsidRPr="00AA4677">
        <w:rPr>
          <w:rFonts w:eastAsia="Times New Roman" w:cs="Times New Roman"/>
          <w:szCs w:val="24"/>
        </w:rPr>
        <w:t>Department of Defense (</w:t>
      </w:r>
      <w:r w:rsidRPr="00AA4677">
        <w:rPr>
          <w:rFonts w:eastAsia="Times New Roman" w:cs="Times New Roman"/>
          <w:szCs w:val="24"/>
        </w:rPr>
        <w:t>DoD</w:t>
      </w:r>
      <w:r w:rsidR="00D00A4C" w:rsidRPr="00AA4677">
        <w:rPr>
          <w:rFonts w:eastAsia="Times New Roman" w:cs="Times New Roman"/>
          <w:szCs w:val="24"/>
        </w:rPr>
        <w:t>)</w:t>
      </w:r>
      <w:r w:rsidRPr="00AA4677">
        <w:rPr>
          <w:rFonts w:eastAsia="Times New Roman" w:cs="Times New Roman"/>
          <w:szCs w:val="24"/>
        </w:rPr>
        <w:t xml:space="preserve"> funded research, the following applies:</w:t>
      </w:r>
    </w:p>
    <w:p w14:paraId="364331E5" w14:textId="7E6157F9" w:rsidR="00E83748" w:rsidRPr="00AA4677" w:rsidRDefault="00E83748" w:rsidP="002853E1">
      <w:pPr>
        <w:tabs>
          <w:tab w:val="num" w:pos="2880"/>
        </w:tabs>
        <w:spacing w:after="0" w:line="240" w:lineRule="auto"/>
        <w:rPr>
          <w:rFonts w:eastAsia="Times New Roman" w:cstheme="minorHAnsi"/>
          <w:szCs w:val="24"/>
        </w:rPr>
      </w:pPr>
      <w:r w:rsidRPr="00AA4677">
        <w:rPr>
          <w:rFonts w:eastAsia="Times New Roman" w:cstheme="minorHAnsi"/>
          <w:szCs w:val="24"/>
        </w:rPr>
        <w:t xml:space="preserve">If a participant becomes a prisoner, and the researcher asserts to the IRB that it is in the best interest of the prisoner-participant to continue to participate in the research while a prisoner, the IRB </w:t>
      </w:r>
      <w:r w:rsidR="00D00A4C" w:rsidRPr="00AA4677">
        <w:rPr>
          <w:rFonts w:eastAsia="Times New Roman" w:cstheme="minorHAnsi"/>
          <w:szCs w:val="24"/>
        </w:rPr>
        <w:t>C</w:t>
      </w:r>
      <w:r w:rsidRPr="00AA4677">
        <w:rPr>
          <w:rFonts w:eastAsia="Times New Roman" w:cstheme="minorHAnsi"/>
          <w:szCs w:val="24"/>
        </w:rPr>
        <w:t xml:space="preserve">hair may determine that the prisoner-participant may continue to participate until the convened IRB can review this request to approve a change in the research protocol and until the organizational official and DoD Component office review the IRB’s approval to change the research protocol. </w:t>
      </w:r>
      <w:r w:rsidR="00957912" w:rsidRPr="00AA4677">
        <w:rPr>
          <w:rFonts w:eastAsia="Times New Roman" w:cstheme="minorHAnsi"/>
          <w:szCs w:val="24"/>
        </w:rPr>
        <w:t>The in</w:t>
      </w:r>
      <w:r w:rsidR="00A8504B" w:rsidRPr="00AA4677">
        <w:rPr>
          <w:rFonts w:eastAsia="Times New Roman" w:cstheme="minorHAnsi"/>
          <w:szCs w:val="24"/>
        </w:rPr>
        <w:t>stitution must notify the COHRPO</w:t>
      </w:r>
      <w:r w:rsidR="00957912" w:rsidRPr="00AA4677">
        <w:rPr>
          <w:rFonts w:eastAsia="Times New Roman" w:cstheme="minorHAnsi"/>
          <w:szCs w:val="24"/>
        </w:rPr>
        <w:t xml:space="preserve"> and any other federal agencies (as needed).</w:t>
      </w:r>
    </w:p>
    <w:p w14:paraId="4ADDED3E" w14:textId="77777777" w:rsidR="00E83748" w:rsidRPr="00AA4677" w:rsidRDefault="00E83748" w:rsidP="00E83748">
      <w:pPr>
        <w:tabs>
          <w:tab w:val="num" w:pos="2880"/>
        </w:tabs>
        <w:spacing w:after="0" w:line="240" w:lineRule="auto"/>
        <w:ind w:left="407"/>
        <w:rPr>
          <w:rFonts w:eastAsia="Times New Roman" w:cstheme="minorHAnsi"/>
          <w:szCs w:val="24"/>
        </w:rPr>
      </w:pPr>
    </w:p>
    <w:p w14:paraId="3EE32F34" w14:textId="251CFE5E" w:rsidR="00E83748" w:rsidRPr="00AA4677" w:rsidRDefault="00E83748" w:rsidP="00E83748">
      <w:pPr>
        <w:tabs>
          <w:tab w:val="num" w:pos="2880"/>
        </w:tabs>
        <w:spacing w:after="0" w:line="240" w:lineRule="auto"/>
        <w:rPr>
          <w:rFonts w:eastAsia="Times New Roman" w:cstheme="minorHAnsi"/>
          <w:szCs w:val="24"/>
        </w:rPr>
      </w:pPr>
      <w:r w:rsidRPr="00AA4677">
        <w:rPr>
          <w:rFonts w:eastAsia="Times New Roman" w:cstheme="minorHAnsi"/>
          <w:szCs w:val="24"/>
        </w:rPr>
        <w:t xml:space="preserve">Otherwise, the IRB </w:t>
      </w:r>
      <w:r w:rsidR="00D00A4C" w:rsidRPr="00AA4677">
        <w:rPr>
          <w:rFonts w:eastAsia="Times New Roman" w:cstheme="minorHAnsi"/>
          <w:szCs w:val="24"/>
        </w:rPr>
        <w:t>C</w:t>
      </w:r>
      <w:r w:rsidRPr="00AA4677">
        <w:rPr>
          <w:rFonts w:eastAsia="Times New Roman" w:cstheme="minorHAnsi"/>
          <w:szCs w:val="24"/>
        </w:rPr>
        <w:t>hair shall require that all research interactions and interventions with the prisoner-participant (including obtaining identifiable private information) cease until the convened IRB can review this request to approve a change in the research protocol. The convened IRB, upon receipt of notification that a previously enrolled human participant has become a prisoner, shall promptly (no longer than 30 days) re-review the research protocol to ensure that the rights and wellbeing of the human participant, now a prisoner, are not in jeopardy.</w:t>
      </w:r>
    </w:p>
    <w:p w14:paraId="2C96A2E7" w14:textId="77777777" w:rsidR="00E83748" w:rsidRPr="00AA4677" w:rsidRDefault="00E83748" w:rsidP="00E83748">
      <w:pPr>
        <w:tabs>
          <w:tab w:val="num" w:pos="2880"/>
        </w:tabs>
        <w:spacing w:after="0" w:line="240" w:lineRule="auto"/>
        <w:rPr>
          <w:rFonts w:eastAsia="Times New Roman" w:cstheme="minorHAnsi"/>
          <w:szCs w:val="24"/>
        </w:rPr>
      </w:pPr>
    </w:p>
    <w:p w14:paraId="11B87641" w14:textId="64571C23" w:rsidR="00E83748" w:rsidRPr="00AA4677" w:rsidRDefault="00E83748" w:rsidP="002853E1">
      <w:pPr>
        <w:tabs>
          <w:tab w:val="num" w:pos="2880"/>
        </w:tabs>
        <w:spacing w:after="0" w:line="240" w:lineRule="auto"/>
        <w:rPr>
          <w:rFonts w:eastAsia="Times New Roman" w:cstheme="minorHAnsi"/>
          <w:szCs w:val="24"/>
        </w:rPr>
      </w:pPr>
      <w:r w:rsidRPr="00AA4677">
        <w:rPr>
          <w:rFonts w:eastAsia="Times New Roman" w:cstheme="minorHAnsi"/>
          <w:szCs w:val="24"/>
        </w:rPr>
        <w:t>The IRB should consult with a subject matter expert having the expertise of a prisoner representative if the IRB reviewing the research protocol does not have a prisoner representative. If the prisoner-participant can continue to consent to participate and is capable of meeting the research protocol requirements, the terms of the prisoner-participant’s confinement do not inhibit the ethical conduct of the research, and there are no other significant issues preventing the research involving human participants from continuing as approved, the convened IRB may approve a change in the study to allow this prisoner-participant to continue to participate in the research. This approval is limited to the individual prisoner-participant and does not allow recruitment of prisoners as participants.</w:t>
      </w:r>
    </w:p>
    <w:p w14:paraId="2BF89A2D" w14:textId="413DD76E" w:rsidR="00BC3494" w:rsidRPr="00AA4677" w:rsidRDefault="00BC3494" w:rsidP="002853E1">
      <w:pPr>
        <w:tabs>
          <w:tab w:val="num" w:pos="2880"/>
        </w:tabs>
        <w:spacing w:after="0" w:line="240" w:lineRule="auto"/>
        <w:rPr>
          <w:rFonts w:eastAsia="Times New Roman" w:cstheme="minorHAnsi"/>
          <w:szCs w:val="24"/>
        </w:rPr>
      </w:pPr>
    </w:p>
    <w:p w14:paraId="7C7E663B" w14:textId="7CDF4932" w:rsidR="00BC3494" w:rsidRPr="00AA4677" w:rsidRDefault="00BC3494" w:rsidP="002853E1">
      <w:pPr>
        <w:tabs>
          <w:tab w:val="num" w:pos="2880"/>
        </w:tabs>
        <w:spacing w:after="0" w:line="240" w:lineRule="auto"/>
        <w:rPr>
          <w:rFonts w:eastAsia="Times New Roman" w:cstheme="minorHAnsi"/>
          <w:szCs w:val="24"/>
        </w:rPr>
      </w:pPr>
      <w:r w:rsidRPr="00AA4677">
        <w:rPr>
          <w:rFonts w:eastAsia="Times New Roman" w:cstheme="minorHAnsi"/>
          <w:szCs w:val="24"/>
        </w:rPr>
        <w:t xml:space="preserve">For </w:t>
      </w:r>
      <w:r w:rsidR="00D00A4C" w:rsidRPr="00AA4677">
        <w:rPr>
          <w:rFonts w:eastAsia="Times New Roman" w:cstheme="minorHAnsi"/>
          <w:szCs w:val="24"/>
        </w:rPr>
        <w:t>Department of Justic</w:t>
      </w:r>
      <w:r w:rsidR="001E3DE6" w:rsidRPr="00AA4677">
        <w:rPr>
          <w:rFonts w:eastAsia="Times New Roman" w:cstheme="minorHAnsi"/>
          <w:szCs w:val="24"/>
        </w:rPr>
        <w:t>e</w:t>
      </w:r>
      <w:r w:rsidR="00D00A4C" w:rsidRPr="00AA4677">
        <w:rPr>
          <w:rFonts w:eastAsia="Times New Roman" w:cstheme="minorHAnsi"/>
          <w:szCs w:val="24"/>
        </w:rPr>
        <w:t xml:space="preserve"> (</w:t>
      </w:r>
      <w:r w:rsidRPr="00AA4677">
        <w:rPr>
          <w:rFonts w:eastAsia="Times New Roman" w:cstheme="minorHAnsi"/>
          <w:szCs w:val="24"/>
        </w:rPr>
        <w:t>D</w:t>
      </w:r>
      <w:r w:rsidR="00D00A4C" w:rsidRPr="00AA4677">
        <w:rPr>
          <w:rFonts w:eastAsia="Times New Roman" w:cstheme="minorHAnsi"/>
          <w:szCs w:val="24"/>
        </w:rPr>
        <w:t>o</w:t>
      </w:r>
      <w:r w:rsidRPr="00AA4677">
        <w:rPr>
          <w:rFonts w:eastAsia="Times New Roman" w:cstheme="minorHAnsi"/>
          <w:szCs w:val="24"/>
        </w:rPr>
        <w:t>J</w:t>
      </w:r>
      <w:r w:rsidR="00D00A4C" w:rsidRPr="00AA4677">
        <w:rPr>
          <w:rFonts w:eastAsia="Times New Roman" w:cstheme="minorHAnsi"/>
          <w:szCs w:val="24"/>
        </w:rPr>
        <w:t>)</w:t>
      </w:r>
      <w:r w:rsidRPr="00AA4677">
        <w:rPr>
          <w:rFonts w:eastAsia="Times New Roman" w:cstheme="minorHAnsi"/>
          <w:szCs w:val="24"/>
        </w:rPr>
        <w:t xml:space="preserve"> funded research, the following applies:</w:t>
      </w:r>
    </w:p>
    <w:p w14:paraId="5FE67821" w14:textId="77777777" w:rsidR="00D40C2B" w:rsidRPr="00AA4677" w:rsidRDefault="00D40C2B" w:rsidP="00D40EFC">
      <w:pPr>
        <w:pStyle w:val="ObservationDoJDepartofJustice"/>
        <w:spacing w:before="0" w:after="0"/>
        <w:ind w:left="0"/>
        <w:rPr>
          <w:rFonts w:asciiTheme="minorHAnsi" w:hAnsiTheme="minorHAnsi" w:cstheme="minorHAnsi"/>
          <w:color w:val="auto"/>
          <w:sz w:val="24"/>
          <w:szCs w:val="24"/>
        </w:rPr>
      </w:pPr>
    </w:p>
    <w:p w14:paraId="1E2F66F5" w14:textId="77FDD522" w:rsidR="00182370" w:rsidRPr="00AA4677" w:rsidRDefault="00182370" w:rsidP="00D40EFC">
      <w:pPr>
        <w:pStyle w:val="ObservationDoJDepartofJustice"/>
        <w:spacing w:before="0" w:after="0"/>
        <w:ind w:left="0"/>
        <w:rPr>
          <w:rFonts w:asciiTheme="minorHAnsi" w:hAnsiTheme="minorHAnsi" w:cstheme="minorHAnsi"/>
          <w:color w:val="auto"/>
          <w:sz w:val="24"/>
          <w:szCs w:val="24"/>
        </w:rPr>
      </w:pPr>
      <w:r w:rsidRPr="00AA4677">
        <w:rPr>
          <w:rFonts w:asciiTheme="minorHAnsi" w:hAnsiTheme="minorHAnsi" w:cstheme="minorHAnsi"/>
          <w:color w:val="auto"/>
          <w:sz w:val="24"/>
          <w:szCs w:val="24"/>
        </w:rPr>
        <w:t xml:space="preserve">For research conducted within the Bureau of Prisons, the researcher must assume responsibility for actions of any person </w:t>
      </w:r>
      <w:proofErr w:type="gramStart"/>
      <w:r w:rsidRPr="00AA4677">
        <w:rPr>
          <w:rFonts w:asciiTheme="minorHAnsi" w:hAnsiTheme="minorHAnsi" w:cstheme="minorHAnsi"/>
          <w:color w:val="auto"/>
          <w:sz w:val="24"/>
          <w:szCs w:val="24"/>
        </w:rPr>
        <w:t>engaged to participate</w:t>
      </w:r>
      <w:proofErr w:type="gramEnd"/>
      <w:r w:rsidRPr="00AA4677">
        <w:rPr>
          <w:rFonts w:asciiTheme="minorHAnsi" w:hAnsiTheme="minorHAnsi" w:cstheme="minorHAnsi"/>
          <w:color w:val="auto"/>
          <w:sz w:val="24"/>
          <w:szCs w:val="24"/>
        </w:rPr>
        <w:t xml:space="preserve"> in the research project as an associate, assistant, or subcontractor to the researcher.</w:t>
      </w:r>
    </w:p>
    <w:p w14:paraId="5DE5E960" w14:textId="77777777" w:rsidR="00D40EFC" w:rsidRPr="00AA4677" w:rsidRDefault="00D40EFC" w:rsidP="00D40EFC">
      <w:pPr>
        <w:pStyle w:val="ObservationDoJDepartofJustice"/>
        <w:spacing w:before="0" w:after="0"/>
        <w:ind w:left="0"/>
        <w:rPr>
          <w:rFonts w:asciiTheme="minorHAnsi" w:hAnsiTheme="minorHAnsi" w:cstheme="minorHAnsi"/>
          <w:color w:val="auto"/>
          <w:sz w:val="24"/>
        </w:rPr>
      </w:pPr>
    </w:p>
    <w:p w14:paraId="00CF81A5" w14:textId="2681D570" w:rsidR="003C7D81" w:rsidRPr="00AA4677" w:rsidRDefault="003C7D81" w:rsidP="00D40EFC">
      <w:pPr>
        <w:pStyle w:val="ObservationDoJDepartofJustice"/>
        <w:spacing w:before="0" w:after="0"/>
        <w:ind w:left="0"/>
        <w:rPr>
          <w:rFonts w:asciiTheme="minorHAnsi" w:hAnsiTheme="minorHAnsi" w:cstheme="minorHAnsi"/>
          <w:color w:val="auto"/>
          <w:sz w:val="24"/>
        </w:rPr>
      </w:pPr>
      <w:r w:rsidRPr="00AA4677">
        <w:rPr>
          <w:rFonts w:asciiTheme="minorHAnsi" w:hAnsiTheme="minorHAnsi" w:cstheme="minorHAnsi"/>
          <w:color w:val="auto"/>
          <w:sz w:val="24"/>
        </w:rPr>
        <w:t>When research is conducted within the Bureau of Prisons, the project must have an adequate research design and contribute to the advancement of knowledge about corrections.</w:t>
      </w:r>
    </w:p>
    <w:p w14:paraId="2354A3BC" w14:textId="77777777" w:rsidR="00D40EFC" w:rsidRPr="00AA4677" w:rsidRDefault="00D40EFC" w:rsidP="00D40EFC">
      <w:pPr>
        <w:pStyle w:val="ObservationDoJDepartofJustice"/>
        <w:spacing w:before="0" w:after="0"/>
        <w:ind w:left="0"/>
        <w:rPr>
          <w:rFonts w:asciiTheme="minorHAnsi" w:hAnsiTheme="minorHAnsi" w:cstheme="minorHAnsi"/>
          <w:b/>
          <w:color w:val="auto"/>
          <w:sz w:val="24"/>
          <w:szCs w:val="24"/>
        </w:rPr>
      </w:pPr>
    </w:p>
    <w:p w14:paraId="10FC4E7B" w14:textId="6A56E9CF" w:rsidR="00B36DE5" w:rsidRPr="00AA4677" w:rsidRDefault="003C7D81" w:rsidP="00D40EFC">
      <w:pPr>
        <w:pStyle w:val="ObservationDoJDepartofJustice"/>
        <w:spacing w:before="0" w:after="0"/>
        <w:ind w:left="0"/>
        <w:rPr>
          <w:rFonts w:asciiTheme="minorHAnsi" w:hAnsiTheme="minorHAnsi" w:cstheme="minorHAnsi"/>
          <w:color w:val="auto"/>
          <w:sz w:val="24"/>
          <w:szCs w:val="24"/>
        </w:rPr>
      </w:pPr>
      <w:r w:rsidRPr="00AA4677">
        <w:rPr>
          <w:rFonts w:asciiTheme="minorHAnsi" w:hAnsiTheme="minorHAnsi" w:cstheme="minorHAnsi"/>
          <w:color w:val="auto"/>
          <w:sz w:val="24"/>
          <w:szCs w:val="24"/>
        </w:rPr>
        <w:t xml:space="preserve">For research conducted within the Bureau of Prisons: </w:t>
      </w:r>
    </w:p>
    <w:p w14:paraId="224E6D4E" w14:textId="387238DD" w:rsidR="003C7D81" w:rsidRPr="00AA4677" w:rsidRDefault="003C7D81" w:rsidP="00D40EFC">
      <w:pPr>
        <w:pStyle w:val="ObservationDoJDepartofJustice"/>
        <w:spacing w:before="0" w:after="0"/>
        <w:ind w:left="0"/>
        <w:rPr>
          <w:rFonts w:asciiTheme="minorHAnsi" w:hAnsiTheme="minorHAnsi" w:cstheme="minorHAnsi"/>
          <w:color w:val="auto"/>
          <w:sz w:val="24"/>
          <w:szCs w:val="24"/>
        </w:rPr>
      </w:pPr>
      <w:r w:rsidRPr="00AA4677">
        <w:rPr>
          <w:rFonts w:asciiTheme="minorHAnsi" w:hAnsiTheme="minorHAnsi" w:cstheme="minorHAnsi"/>
          <w:color w:val="auto"/>
          <w:sz w:val="24"/>
          <w:szCs w:val="24"/>
        </w:rPr>
        <w:lastRenderedPageBreak/>
        <w:t>Implementation of Bureau programmatic or operational initiatives made through pilot projects is not considered to be research.</w:t>
      </w:r>
    </w:p>
    <w:p w14:paraId="13077995" w14:textId="53A13574" w:rsidR="003C7D81" w:rsidRPr="00AA4677" w:rsidRDefault="003C7D81">
      <w:pPr>
        <w:pStyle w:val="Bullet1DoJDeptofJustice"/>
        <w:numPr>
          <w:ilvl w:val="0"/>
          <w:numId w:val="125"/>
        </w:numPr>
        <w:tabs>
          <w:tab w:val="clear" w:pos="2880"/>
        </w:tabs>
        <w:ind w:left="407" w:hanging="407"/>
        <w:rPr>
          <w:rFonts w:asciiTheme="minorHAnsi" w:hAnsiTheme="minorHAnsi" w:cstheme="minorHAnsi"/>
          <w:color w:val="auto"/>
          <w:sz w:val="24"/>
          <w:szCs w:val="24"/>
        </w:rPr>
      </w:pPr>
      <w:r w:rsidRPr="00AA4677">
        <w:rPr>
          <w:rFonts w:asciiTheme="minorHAnsi" w:hAnsiTheme="minorHAnsi" w:cstheme="minorHAnsi"/>
          <w:color w:val="auto"/>
          <w:sz w:val="24"/>
          <w:szCs w:val="24"/>
        </w:rPr>
        <w:t>The selection of participants within any one</w:t>
      </w:r>
      <w:r w:rsidR="00F35410" w:rsidRPr="00AA4677">
        <w:rPr>
          <w:rFonts w:asciiTheme="minorHAnsi" w:hAnsiTheme="minorHAnsi" w:cstheme="minorHAnsi"/>
          <w:color w:val="auto"/>
          <w:sz w:val="24"/>
          <w:szCs w:val="24"/>
        </w:rPr>
        <w:t xml:space="preserve"> organization must be equitable</w:t>
      </w:r>
    </w:p>
    <w:p w14:paraId="20D00719" w14:textId="79F125B6" w:rsidR="003C7D81" w:rsidRPr="00AA4677" w:rsidRDefault="003C7D81">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Incentives may not be offered to help persuade inma</w:t>
      </w:r>
      <w:r w:rsidR="00F35410" w:rsidRPr="00AA4677">
        <w:rPr>
          <w:rFonts w:asciiTheme="minorHAnsi" w:hAnsiTheme="minorHAnsi" w:cstheme="minorHAnsi"/>
          <w:color w:val="auto"/>
          <w:sz w:val="24"/>
        </w:rPr>
        <w:t xml:space="preserve">te participants to participate. </w:t>
      </w:r>
      <w:r w:rsidRPr="00AA4677">
        <w:rPr>
          <w:rFonts w:asciiTheme="minorHAnsi" w:hAnsiTheme="minorHAnsi" w:cstheme="minorHAnsi"/>
          <w:color w:val="auto"/>
          <w:sz w:val="24"/>
        </w:rPr>
        <w:t xml:space="preserve">However, soft drinks and snacks to be consumed at the test setting may be offered. </w:t>
      </w:r>
    </w:p>
    <w:p w14:paraId="67AD05DF" w14:textId="77777777" w:rsidR="003C7D81" w:rsidRPr="00AA4677" w:rsidRDefault="003C7D81">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 xml:space="preserve">Reasonable accommodations such as nominal monetary </w:t>
      </w:r>
      <w:proofErr w:type="gramStart"/>
      <w:r w:rsidRPr="00AA4677">
        <w:rPr>
          <w:rFonts w:asciiTheme="minorHAnsi" w:hAnsiTheme="minorHAnsi" w:cstheme="minorHAnsi"/>
          <w:color w:val="auto"/>
          <w:sz w:val="24"/>
        </w:rPr>
        <w:t>recompense</w:t>
      </w:r>
      <w:proofErr w:type="gramEnd"/>
      <w:r w:rsidRPr="00AA4677">
        <w:rPr>
          <w:rFonts w:asciiTheme="minorHAnsi" w:hAnsiTheme="minorHAnsi" w:cstheme="minorHAnsi"/>
          <w:color w:val="auto"/>
          <w:sz w:val="24"/>
        </w:rPr>
        <w:t xml:space="preserve"> for time and effort may be offered to non-confined research participants who are both:</w:t>
      </w:r>
    </w:p>
    <w:p w14:paraId="73C73A43" w14:textId="4CE6DEB8" w:rsidR="003C7D81" w:rsidRPr="00AA4677" w:rsidRDefault="003C7D81">
      <w:pPr>
        <w:pStyle w:val="Bullet2DoJDeptofJustice"/>
        <w:numPr>
          <w:ilvl w:val="1"/>
          <w:numId w:val="125"/>
        </w:numPr>
        <w:tabs>
          <w:tab w:val="num" w:pos="720"/>
        </w:tabs>
        <w:ind w:hanging="673"/>
        <w:rPr>
          <w:rFonts w:asciiTheme="minorHAnsi" w:hAnsiTheme="minorHAnsi" w:cstheme="minorHAnsi"/>
          <w:color w:val="auto"/>
          <w:sz w:val="24"/>
        </w:rPr>
      </w:pPr>
      <w:r w:rsidRPr="00AA4677">
        <w:rPr>
          <w:rFonts w:asciiTheme="minorHAnsi" w:hAnsiTheme="minorHAnsi" w:cstheme="minorHAnsi"/>
          <w:color w:val="auto"/>
          <w:sz w:val="24"/>
        </w:rPr>
        <w:t>No long</w:t>
      </w:r>
      <w:r w:rsidR="00F35410" w:rsidRPr="00AA4677">
        <w:rPr>
          <w:rFonts w:asciiTheme="minorHAnsi" w:hAnsiTheme="minorHAnsi" w:cstheme="minorHAnsi"/>
          <w:color w:val="auto"/>
          <w:sz w:val="24"/>
        </w:rPr>
        <w:t>er in Bureau of Prisons custody</w:t>
      </w:r>
    </w:p>
    <w:p w14:paraId="3410DC53" w14:textId="313A67DE" w:rsidR="003C7D81" w:rsidRPr="00AA4677" w:rsidRDefault="003C7D81">
      <w:pPr>
        <w:pStyle w:val="Bullet2DoJDeptofJustice"/>
        <w:numPr>
          <w:ilvl w:val="1"/>
          <w:numId w:val="125"/>
        </w:numPr>
        <w:tabs>
          <w:tab w:val="num" w:pos="720"/>
        </w:tabs>
        <w:ind w:hanging="673"/>
        <w:rPr>
          <w:rFonts w:asciiTheme="minorHAnsi" w:hAnsiTheme="minorHAnsi" w:cstheme="minorHAnsi"/>
          <w:color w:val="auto"/>
          <w:sz w:val="24"/>
        </w:rPr>
      </w:pPr>
      <w:r w:rsidRPr="00AA4677">
        <w:rPr>
          <w:rFonts w:asciiTheme="minorHAnsi" w:hAnsiTheme="minorHAnsi" w:cstheme="minorHAnsi"/>
          <w:color w:val="auto"/>
          <w:sz w:val="24"/>
        </w:rPr>
        <w:t xml:space="preserve">Participating in authorized research </w:t>
      </w:r>
      <w:proofErr w:type="gramStart"/>
      <w:r w:rsidRPr="00AA4677">
        <w:rPr>
          <w:rFonts w:asciiTheme="minorHAnsi" w:hAnsiTheme="minorHAnsi" w:cstheme="minorHAnsi"/>
          <w:color w:val="auto"/>
          <w:sz w:val="24"/>
        </w:rPr>
        <w:t>being conducted</w:t>
      </w:r>
      <w:proofErr w:type="gramEnd"/>
      <w:r w:rsidRPr="00AA4677">
        <w:rPr>
          <w:rFonts w:asciiTheme="minorHAnsi" w:hAnsiTheme="minorHAnsi" w:cstheme="minorHAnsi"/>
          <w:color w:val="auto"/>
          <w:sz w:val="24"/>
        </w:rPr>
        <w:t xml:space="preserve"> by </w:t>
      </w:r>
      <w:r w:rsidR="00F35410" w:rsidRPr="00AA4677">
        <w:rPr>
          <w:rFonts w:asciiTheme="minorHAnsi" w:hAnsiTheme="minorHAnsi" w:cstheme="minorHAnsi"/>
          <w:color w:val="auto"/>
          <w:sz w:val="24"/>
        </w:rPr>
        <w:t>Bureau employees or contractors</w:t>
      </w:r>
    </w:p>
    <w:p w14:paraId="64284A40" w14:textId="77777777" w:rsidR="00912A36" w:rsidRPr="00AA4677" w:rsidRDefault="00912A36" w:rsidP="00912A36">
      <w:pPr>
        <w:pStyle w:val="ObservationDoJDepartofJustice"/>
        <w:spacing w:before="0" w:after="0"/>
        <w:ind w:left="0"/>
        <w:rPr>
          <w:rFonts w:asciiTheme="minorHAnsi" w:hAnsiTheme="minorHAnsi" w:cstheme="minorHAnsi"/>
          <w:color w:val="auto"/>
          <w:sz w:val="24"/>
          <w:szCs w:val="24"/>
        </w:rPr>
      </w:pPr>
    </w:p>
    <w:p w14:paraId="14A40B2D" w14:textId="609235D6" w:rsidR="003C7D81" w:rsidRPr="00AA4677" w:rsidRDefault="003C7D81" w:rsidP="00912A36">
      <w:pPr>
        <w:pStyle w:val="ObservationDoJDepartofJustice"/>
        <w:spacing w:before="0" w:after="0"/>
        <w:ind w:left="0"/>
        <w:rPr>
          <w:rFonts w:asciiTheme="minorHAnsi" w:hAnsiTheme="minorHAnsi" w:cstheme="minorHAnsi"/>
          <w:color w:val="auto"/>
          <w:sz w:val="24"/>
          <w:szCs w:val="24"/>
        </w:rPr>
      </w:pPr>
      <w:r w:rsidRPr="00AA4677">
        <w:rPr>
          <w:rFonts w:asciiTheme="minorHAnsi" w:hAnsiTheme="minorHAnsi" w:cstheme="minorHAnsi"/>
          <w:color w:val="auto"/>
          <w:sz w:val="24"/>
          <w:szCs w:val="24"/>
        </w:rPr>
        <w:t>For research conducted within the Bureau of Prisons, the organization, IRB, and researchers and research staff must follow the requirements of 28 CFR 512, including:</w:t>
      </w:r>
    </w:p>
    <w:p w14:paraId="744D6E6C" w14:textId="7F642926" w:rsidR="003C7D81" w:rsidRPr="00AA4677" w:rsidRDefault="003C7D81">
      <w:pPr>
        <w:pStyle w:val="Bullet1DoJDeptofJustice"/>
        <w:numPr>
          <w:ilvl w:val="0"/>
          <w:numId w:val="125"/>
        </w:numPr>
        <w:tabs>
          <w:tab w:val="clear" w:pos="2880"/>
        </w:tabs>
        <w:ind w:left="407" w:hanging="407"/>
        <w:rPr>
          <w:rFonts w:asciiTheme="minorHAnsi" w:hAnsiTheme="minorHAnsi" w:cstheme="minorHAnsi"/>
          <w:color w:val="auto"/>
          <w:sz w:val="24"/>
          <w:szCs w:val="24"/>
        </w:rPr>
      </w:pPr>
      <w:r w:rsidRPr="00AA4677">
        <w:rPr>
          <w:rFonts w:asciiTheme="minorHAnsi" w:hAnsiTheme="minorHAnsi" w:cstheme="minorHAnsi"/>
          <w:color w:val="auto"/>
          <w:sz w:val="24"/>
          <w:szCs w:val="24"/>
        </w:rPr>
        <w:t>The project must not involve medical experimentation, cosmetic rese</w:t>
      </w:r>
      <w:r w:rsidR="00F35410" w:rsidRPr="00AA4677">
        <w:rPr>
          <w:rFonts w:asciiTheme="minorHAnsi" w:hAnsiTheme="minorHAnsi" w:cstheme="minorHAnsi"/>
          <w:color w:val="auto"/>
          <w:sz w:val="24"/>
          <w:szCs w:val="24"/>
        </w:rPr>
        <w:t>arch, or pharmaceutical testing</w:t>
      </w:r>
    </w:p>
    <w:p w14:paraId="59922476" w14:textId="4F2E88EF" w:rsidR="003C7D81" w:rsidRPr="00AA4677" w:rsidRDefault="003C7D81">
      <w:pPr>
        <w:pStyle w:val="Bullet1DoJDeptofJustice"/>
        <w:numPr>
          <w:ilvl w:val="0"/>
          <w:numId w:val="125"/>
        </w:numPr>
        <w:tabs>
          <w:tab w:val="clear" w:pos="2880"/>
        </w:tabs>
        <w:ind w:left="407" w:hanging="407"/>
        <w:rPr>
          <w:rFonts w:asciiTheme="minorHAnsi" w:hAnsiTheme="minorHAnsi" w:cstheme="minorHAnsi"/>
          <w:color w:val="auto"/>
          <w:sz w:val="24"/>
          <w:szCs w:val="24"/>
        </w:rPr>
      </w:pPr>
      <w:r w:rsidRPr="00AA4677">
        <w:rPr>
          <w:rFonts w:asciiTheme="minorHAnsi" w:hAnsiTheme="minorHAnsi" w:cstheme="minorHAnsi"/>
          <w:color w:val="auto"/>
          <w:sz w:val="24"/>
          <w:szCs w:val="24"/>
        </w:rPr>
        <w:t xml:space="preserve">The research design must be compatible with both the operation of </w:t>
      </w:r>
      <w:r w:rsidR="001E3DE6" w:rsidRPr="00AA4677">
        <w:rPr>
          <w:rFonts w:asciiTheme="minorHAnsi" w:hAnsiTheme="minorHAnsi" w:cstheme="minorHAnsi"/>
          <w:color w:val="auto"/>
          <w:sz w:val="24"/>
          <w:szCs w:val="24"/>
        </w:rPr>
        <w:t xml:space="preserve">the </w:t>
      </w:r>
      <w:r w:rsidRPr="00AA4677">
        <w:rPr>
          <w:rFonts w:asciiTheme="minorHAnsi" w:hAnsiTheme="minorHAnsi" w:cstheme="minorHAnsi"/>
          <w:color w:val="auto"/>
          <w:sz w:val="24"/>
          <w:szCs w:val="24"/>
        </w:rPr>
        <w:t xml:space="preserve">prison facilities and protection of human participants. The researcher must observe the rules of the institution or office in </w:t>
      </w:r>
      <w:r w:rsidR="00F35410" w:rsidRPr="00AA4677">
        <w:rPr>
          <w:rFonts w:asciiTheme="minorHAnsi" w:hAnsiTheme="minorHAnsi" w:cstheme="minorHAnsi"/>
          <w:color w:val="auto"/>
          <w:sz w:val="24"/>
          <w:szCs w:val="24"/>
        </w:rPr>
        <w:t>which the research is conducted</w:t>
      </w:r>
    </w:p>
    <w:p w14:paraId="568DAD30" w14:textId="774CDA35" w:rsidR="003C7D81" w:rsidRPr="00AA4677" w:rsidRDefault="003C7D81">
      <w:pPr>
        <w:pStyle w:val="Bullet1DoJDeptofJustice"/>
        <w:numPr>
          <w:ilvl w:val="0"/>
          <w:numId w:val="125"/>
        </w:numPr>
        <w:tabs>
          <w:tab w:val="clear" w:pos="2880"/>
        </w:tabs>
        <w:ind w:left="407" w:hanging="407"/>
        <w:rPr>
          <w:rFonts w:asciiTheme="minorHAnsi" w:hAnsiTheme="minorHAnsi" w:cstheme="minorHAnsi"/>
          <w:color w:val="auto"/>
          <w:sz w:val="24"/>
          <w:szCs w:val="24"/>
        </w:rPr>
      </w:pPr>
      <w:r w:rsidRPr="00AA4677">
        <w:rPr>
          <w:rFonts w:asciiTheme="minorHAnsi" w:hAnsiTheme="minorHAnsi" w:cstheme="minorHAnsi"/>
          <w:color w:val="auto"/>
          <w:sz w:val="24"/>
          <w:szCs w:val="24"/>
        </w:rPr>
        <w:t xml:space="preserve">Any researcher who is a non-employee of the Bureau must sign a statement in which the researcher agrees to adhere </w:t>
      </w:r>
      <w:r w:rsidR="00F35410" w:rsidRPr="00AA4677">
        <w:rPr>
          <w:rFonts w:asciiTheme="minorHAnsi" w:hAnsiTheme="minorHAnsi" w:cstheme="minorHAnsi"/>
          <w:color w:val="auto"/>
          <w:sz w:val="24"/>
          <w:szCs w:val="24"/>
        </w:rPr>
        <w:t>to the provisions of 28 CFR 512</w:t>
      </w:r>
    </w:p>
    <w:p w14:paraId="43F17A1D" w14:textId="45BAB98F" w:rsidR="00BC3494" w:rsidRPr="00AA4677" w:rsidRDefault="003C7D81">
      <w:pPr>
        <w:pStyle w:val="Bullet1DoJDeptofJustice"/>
        <w:numPr>
          <w:ilvl w:val="0"/>
          <w:numId w:val="125"/>
        </w:numPr>
        <w:tabs>
          <w:tab w:val="clear" w:pos="2880"/>
        </w:tabs>
        <w:ind w:left="407" w:hanging="407"/>
        <w:rPr>
          <w:rFonts w:asciiTheme="minorHAnsi" w:hAnsiTheme="minorHAnsi" w:cstheme="minorHAnsi"/>
          <w:color w:val="auto"/>
          <w:sz w:val="24"/>
          <w:szCs w:val="24"/>
        </w:rPr>
      </w:pPr>
      <w:r w:rsidRPr="00AA4677">
        <w:rPr>
          <w:rFonts w:asciiTheme="minorHAnsi" w:hAnsiTheme="minorHAnsi" w:cstheme="minorHAnsi"/>
          <w:color w:val="auto"/>
          <w:sz w:val="24"/>
          <w:szCs w:val="24"/>
        </w:rPr>
        <w:t>All research proposals will be reviewed by t</w:t>
      </w:r>
      <w:r w:rsidR="00F35410" w:rsidRPr="00AA4677">
        <w:rPr>
          <w:rFonts w:asciiTheme="minorHAnsi" w:hAnsiTheme="minorHAnsi" w:cstheme="minorHAnsi"/>
          <w:color w:val="auto"/>
          <w:sz w:val="24"/>
          <w:szCs w:val="24"/>
        </w:rPr>
        <w:t>he Bureau Research Review Board</w:t>
      </w:r>
    </w:p>
    <w:p w14:paraId="30B0A68C" w14:textId="77777777" w:rsidR="00912A36" w:rsidRPr="00AA4677" w:rsidRDefault="00912A36" w:rsidP="00912A36">
      <w:pPr>
        <w:pStyle w:val="ObservationDoJDepartofJustice"/>
        <w:spacing w:before="0" w:after="0"/>
        <w:ind w:left="0"/>
        <w:rPr>
          <w:rFonts w:asciiTheme="minorHAnsi" w:hAnsiTheme="minorHAnsi" w:cstheme="minorHAnsi"/>
          <w:color w:val="auto"/>
          <w:sz w:val="24"/>
        </w:rPr>
      </w:pPr>
    </w:p>
    <w:p w14:paraId="676F8BB7" w14:textId="3BCFDF27" w:rsidR="00B36DE5" w:rsidRPr="00AA4677" w:rsidRDefault="00B36DE5" w:rsidP="00912A36">
      <w:pPr>
        <w:pStyle w:val="ObservationDoJDepartofJustice"/>
        <w:spacing w:before="0" w:after="0"/>
        <w:ind w:left="0"/>
        <w:rPr>
          <w:rFonts w:asciiTheme="minorHAnsi" w:hAnsiTheme="minorHAnsi" w:cstheme="minorHAnsi"/>
          <w:color w:val="auto"/>
          <w:sz w:val="24"/>
        </w:rPr>
      </w:pPr>
      <w:r w:rsidRPr="00AA4677">
        <w:rPr>
          <w:rFonts w:asciiTheme="minorHAnsi" w:hAnsiTheme="minorHAnsi" w:cstheme="minorHAnsi"/>
          <w:color w:val="auto"/>
          <w:sz w:val="24"/>
        </w:rPr>
        <w:t>For research conducted with the Bureau of Prisons:</w:t>
      </w:r>
    </w:p>
    <w:p w14:paraId="3D4FE610" w14:textId="75768871" w:rsidR="00B36DE5" w:rsidRPr="00AA4677" w:rsidRDefault="00B36DE5">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A non-employee of the Bureau may receive records in a form not individually identifiable when advance adequate written assurance that the record will be used solely as a statistical research or reporting r</w:t>
      </w:r>
      <w:r w:rsidR="00F35410" w:rsidRPr="00AA4677">
        <w:rPr>
          <w:rFonts w:asciiTheme="minorHAnsi" w:hAnsiTheme="minorHAnsi" w:cstheme="minorHAnsi"/>
          <w:color w:val="auto"/>
          <w:sz w:val="24"/>
        </w:rPr>
        <w:t>ecord is provided to the agency</w:t>
      </w:r>
    </w:p>
    <w:p w14:paraId="3D39D3F2" w14:textId="77777777" w:rsidR="00B36DE5" w:rsidRPr="00AA4677" w:rsidRDefault="00B36DE5">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Except as noted in the consent statement to the participant, the researcher must not provide research information that identifies a participant to any person without that participant’s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6E84C679" w14:textId="63D525AF" w:rsidR="00B36DE5" w:rsidRPr="00AA4677" w:rsidRDefault="00B36DE5">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Except for computerized data records maintained at an official DoJ site, records that contain non-disclosable information directly traceable to a specific person may not be stored in, or introduced into, an</w:t>
      </w:r>
      <w:r w:rsidR="00F35410" w:rsidRPr="00AA4677">
        <w:rPr>
          <w:rFonts w:asciiTheme="minorHAnsi" w:hAnsiTheme="minorHAnsi" w:cstheme="minorHAnsi"/>
          <w:color w:val="auto"/>
          <w:sz w:val="24"/>
        </w:rPr>
        <w:t xml:space="preserve"> electronic retrieval system</w:t>
      </w:r>
    </w:p>
    <w:p w14:paraId="76BF0ECF" w14:textId="77777777" w:rsidR="00B36DE5" w:rsidRPr="00AA4677" w:rsidRDefault="00B36DE5">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If the researcher is conducting a study of special interest to the Office of Research and Evaluation (ORE) but the study is not a joint project involving ORE, the researcher may be asked to provide ORE with the computerized research data, not identifiable to individual participants, accompanied by detailed documentation. These arrangements must be negotiated prior to the beginning of the data collection phase of the project.</w:t>
      </w:r>
    </w:p>
    <w:p w14:paraId="65B857B8" w14:textId="77777777" w:rsidR="002B688C" w:rsidRPr="00AA4677" w:rsidRDefault="002B688C" w:rsidP="002853E1">
      <w:pPr>
        <w:pStyle w:val="Bullet1DoJDeptofJustice"/>
        <w:tabs>
          <w:tab w:val="clear" w:pos="360"/>
          <w:tab w:val="clear" w:pos="407"/>
          <w:tab w:val="num" w:pos="2880"/>
        </w:tabs>
        <w:ind w:left="191" w:firstLine="0"/>
        <w:rPr>
          <w:rFonts w:asciiTheme="minorHAnsi" w:hAnsiTheme="minorHAnsi" w:cstheme="minorHAnsi"/>
          <w:color w:val="auto"/>
          <w:sz w:val="24"/>
        </w:rPr>
      </w:pPr>
    </w:p>
    <w:p w14:paraId="387B915B" w14:textId="03A82C4E" w:rsidR="00B36DE5" w:rsidRPr="00AA4677" w:rsidRDefault="00B36DE5" w:rsidP="00F32ADD">
      <w:pPr>
        <w:pStyle w:val="Bullet1DoJDeptofJustice"/>
        <w:tabs>
          <w:tab w:val="clear" w:pos="360"/>
          <w:tab w:val="clear" w:pos="407"/>
          <w:tab w:val="num" w:pos="2880"/>
        </w:tabs>
        <w:ind w:left="0" w:firstLine="0"/>
        <w:rPr>
          <w:rFonts w:asciiTheme="minorHAnsi" w:hAnsiTheme="minorHAnsi" w:cstheme="minorHAnsi"/>
          <w:color w:val="auto"/>
          <w:sz w:val="24"/>
        </w:rPr>
      </w:pPr>
      <w:r w:rsidRPr="00AA4677">
        <w:rPr>
          <w:rFonts w:asciiTheme="minorHAnsi" w:hAnsiTheme="minorHAnsi" w:cstheme="minorHAnsi"/>
          <w:color w:val="auto"/>
          <w:sz w:val="24"/>
        </w:rPr>
        <w:t>For research conducted within the Bureau of Prisons required elements of disclosure include:</w:t>
      </w:r>
    </w:p>
    <w:p w14:paraId="778425B3" w14:textId="2051D007" w:rsidR="00B36DE5" w:rsidRPr="00AA4677" w:rsidRDefault="00B36DE5">
      <w:pPr>
        <w:pStyle w:val="Bullet2DoJDeptofJustice"/>
        <w:numPr>
          <w:ilvl w:val="0"/>
          <w:numId w:val="217"/>
        </w:numPr>
        <w:tabs>
          <w:tab w:val="clear" w:pos="1177"/>
        </w:tabs>
        <w:ind w:left="360"/>
        <w:rPr>
          <w:rFonts w:asciiTheme="minorHAnsi" w:hAnsiTheme="minorHAnsi" w:cstheme="minorHAnsi"/>
          <w:color w:val="auto"/>
          <w:sz w:val="24"/>
        </w:rPr>
      </w:pPr>
      <w:r w:rsidRPr="00AA4677">
        <w:rPr>
          <w:rFonts w:asciiTheme="minorHAnsi" w:hAnsiTheme="minorHAnsi" w:cstheme="minorHAnsi"/>
          <w:color w:val="auto"/>
          <w:sz w:val="24"/>
        </w:rPr>
        <w:t>The</w:t>
      </w:r>
      <w:r w:rsidR="00F35410" w:rsidRPr="00AA4677">
        <w:rPr>
          <w:rFonts w:asciiTheme="minorHAnsi" w:hAnsiTheme="minorHAnsi" w:cstheme="minorHAnsi"/>
          <w:color w:val="auto"/>
          <w:sz w:val="24"/>
        </w:rPr>
        <w:t xml:space="preserve"> identity of the researchers</w:t>
      </w:r>
    </w:p>
    <w:p w14:paraId="23A73579" w14:textId="61B82A6B" w:rsidR="00B36DE5" w:rsidRPr="00AA4677" w:rsidRDefault="00B36DE5">
      <w:pPr>
        <w:pStyle w:val="Bullet2DoJDeptofJustice"/>
        <w:numPr>
          <w:ilvl w:val="0"/>
          <w:numId w:val="217"/>
        </w:numPr>
        <w:tabs>
          <w:tab w:val="clear" w:pos="1177"/>
        </w:tabs>
        <w:ind w:left="360"/>
        <w:rPr>
          <w:rFonts w:asciiTheme="minorHAnsi" w:hAnsiTheme="minorHAnsi" w:cstheme="minorHAnsi"/>
          <w:color w:val="auto"/>
          <w:sz w:val="24"/>
        </w:rPr>
      </w:pPr>
      <w:r w:rsidRPr="00AA4677">
        <w:rPr>
          <w:rFonts w:asciiTheme="minorHAnsi" w:hAnsiTheme="minorHAnsi" w:cstheme="minorHAnsi"/>
          <w:color w:val="auto"/>
          <w:sz w:val="24"/>
        </w:rPr>
        <w:t>Anticipated uses</w:t>
      </w:r>
      <w:r w:rsidR="00F35410" w:rsidRPr="00AA4677">
        <w:rPr>
          <w:rFonts w:asciiTheme="minorHAnsi" w:hAnsiTheme="minorHAnsi" w:cstheme="minorHAnsi"/>
          <w:color w:val="auto"/>
          <w:sz w:val="24"/>
        </w:rPr>
        <w:t xml:space="preserve"> of the results of the research</w:t>
      </w:r>
    </w:p>
    <w:p w14:paraId="60BB16BB" w14:textId="2C0156C6" w:rsidR="00B36DE5" w:rsidRPr="00AA4677" w:rsidRDefault="00B36DE5">
      <w:pPr>
        <w:pStyle w:val="Bullet2DoJDeptofJustice"/>
        <w:numPr>
          <w:ilvl w:val="0"/>
          <w:numId w:val="217"/>
        </w:numPr>
        <w:tabs>
          <w:tab w:val="clear" w:pos="1177"/>
        </w:tabs>
        <w:ind w:left="360"/>
        <w:rPr>
          <w:rFonts w:asciiTheme="minorHAnsi" w:hAnsiTheme="minorHAnsi" w:cstheme="minorHAnsi"/>
          <w:color w:val="auto"/>
          <w:sz w:val="24"/>
        </w:rPr>
      </w:pPr>
      <w:r w:rsidRPr="00AA4677">
        <w:rPr>
          <w:rFonts w:asciiTheme="minorHAnsi" w:hAnsiTheme="minorHAnsi" w:cstheme="minorHAnsi"/>
          <w:color w:val="auto"/>
          <w:sz w:val="24"/>
        </w:rPr>
        <w:t xml:space="preserve">The extent to which confidentiality of records identifying the participant will be maintained. For studies sponsored by </w:t>
      </w:r>
      <w:r w:rsidR="00BA44F1" w:rsidRPr="00AA4677">
        <w:rPr>
          <w:rFonts w:asciiTheme="minorHAnsi" w:hAnsiTheme="minorHAnsi" w:cstheme="minorHAnsi"/>
          <w:color w:val="auto"/>
          <w:sz w:val="24"/>
        </w:rPr>
        <w:t>the National Institute of Justice (</w:t>
      </w:r>
      <w:r w:rsidRPr="00AA4677">
        <w:rPr>
          <w:rFonts w:asciiTheme="minorHAnsi" w:hAnsiTheme="minorHAnsi" w:cstheme="minorHAnsi"/>
          <w:color w:val="auto"/>
          <w:sz w:val="24"/>
        </w:rPr>
        <w:t>NIJ</w:t>
      </w:r>
      <w:r w:rsidR="00BA44F1" w:rsidRPr="00AA4677">
        <w:rPr>
          <w:rFonts w:asciiTheme="minorHAnsi" w:hAnsiTheme="minorHAnsi" w:cstheme="minorHAnsi"/>
          <w:color w:val="auto"/>
          <w:sz w:val="24"/>
        </w:rPr>
        <w:t>)</w:t>
      </w:r>
      <w:r w:rsidRPr="00AA4677">
        <w:rPr>
          <w:rFonts w:asciiTheme="minorHAnsi" w:hAnsiTheme="minorHAnsi" w:cstheme="minorHAnsi"/>
          <w:color w:val="auto"/>
          <w:sz w:val="24"/>
        </w:rPr>
        <w:t xml:space="preserve">, the </w:t>
      </w:r>
      <w:proofErr w:type="gramStart"/>
      <w:r w:rsidRPr="00AA4677">
        <w:rPr>
          <w:rFonts w:asciiTheme="minorHAnsi" w:hAnsiTheme="minorHAnsi" w:cstheme="minorHAnsi"/>
          <w:color w:val="auto"/>
          <w:sz w:val="24"/>
        </w:rPr>
        <w:t>participant</w:t>
      </w:r>
      <w:proofErr w:type="gramEnd"/>
      <w:r w:rsidRPr="00AA4677">
        <w:rPr>
          <w:rFonts w:asciiTheme="minorHAnsi" w:hAnsiTheme="minorHAnsi" w:cstheme="minorHAnsi"/>
          <w:color w:val="auto"/>
          <w:sz w:val="24"/>
        </w:rPr>
        <w:t xml:space="preserve"> should be informed that private, identifiable information will be kept confidential and will only be used for research and statistical purposes. If, due to sample size or some unique feature, the identity of the individual cannot be maintained, the participants need to be explicitly notified. If the researcher intends to disclose any information, the participant needs to be explicitly informed what information would be disclosed, under what circumstances, and to whom. The participant must be informed of any risks that might result from this disclosure and must explicitly provide written consent prior to participating in the research.</w:t>
      </w:r>
    </w:p>
    <w:p w14:paraId="0463F17C" w14:textId="46546899" w:rsidR="00B36DE5" w:rsidRPr="00AA4677" w:rsidRDefault="00B36DE5">
      <w:pPr>
        <w:pStyle w:val="Bullet2DoJDeptofJustice"/>
        <w:numPr>
          <w:ilvl w:val="0"/>
          <w:numId w:val="217"/>
        </w:numPr>
        <w:tabs>
          <w:tab w:val="clear" w:pos="1177"/>
        </w:tabs>
        <w:ind w:left="360"/>
        <w:rPr>
          <w:rFonts w:asciiTheme="minorHAnsi" w:hAnsiTheme="minorHAnsi" w:cstheme="minorHAnsi"/>
          <w:color w:val="auto"/>
          <w:sz w:val="24"/>
        </w:rPr>
      </w:pPr>
      <w:r w:rsidRPr="00AA4677">
        <w:rPr>
          <w:rFonts w:asciiTheme="minorHAnsi" w:hAnsiTheme="minorHAnsi" w:cstheme="minorHAnsi"/>
          <w:color w:val="auto"/>
          <w:sz w:val="24"/>
        </w:rPr>
        <w:t>A statement that participation is completely voluntary and that the participant may withdraw consent and end participation in the project at any time without penalty or prejudice (the inmate will be returned to regular assignment or activity b</w:t>
      </w:r>
      <w:r w:rsidR="00DA7CCF" w:rsidRPr="00AA4677">
        <w:rPr>
          <w:rFonts w:asciiTheme="minorHAnsi" w:hAnsiTheme="minorHAnsi" w:cstheme="minorHAnsi"/>
          <w:color w:val="auto"/>
          <w:sz w:val="24"/>
        </w:rPr>
        <w:t>y staff as soon as practicable)</w:t>
      </w:r>
    </w:p>
    <w:p w14:paraId="0933C498" w14:textId="47C0A8D3" w:rsidR="00B36DE5" w:rsidRPr="00AA4677" w:rsidRDefault="00B36DE5">
      <w:pPr>
        <w:pStyle w:val="Bullet2DoJDeptofJustice"/>
        <w:numPr>
          <w:ilvl w:val="0"/>
          <w:numId w:val="217"/>
        </w:numPr>
        <w:tabs>
          <w:tab w:val="clear" w:pos="1177"/>
        </w:tabs>
        <w:ind w:left="360"/>
        <w:rPr>
          <w:rFonts w:asciiTheme="minorHAnsi" w:hAnsiTheme="minorHAnsi" w:cstheme="minorHAnsi"/>
          <w:color w:val="auto"/>
          <w:sz w:val="24"/>
        </w:rPr>
      </w:pPr>
      <w:r w:rsidRPr="00AA4677">
        <w:rPr>
          <w:rFonts w:asciiTheme="minorHAnsi" w:hAnsiTheme="minorHAnsi" w:cstheme="minorHAnsi"/>
          <w:color w:val="auto"/>
          <w:sz w:val="24"/>
        </w:rPr>
        <w:t>A statement regarding the confidentiality of the research information and exceptions to any guarantees of confidentiality required by federal or state law. For example, a researcher may not guarantee confidentiality when the participant indicates intent to commit future criminal conduct or harm himself or herself or someone else, or, if the participant is an inmate, indicates intent to leave the</w:t>
      </w:r>
      <w:r w:rsidR="00DA7CCF" w:rsidRPr="00AA4677">
        <w:rPr>
          <w:rFonts w:asciiTheme="minorHAnsi" w:hAnsiTheme="minorHAnsi" w:cstheme="minorHAnsi"/>
          <w:color w:val="auto"/>
          <w:sz w:val="24"/>
        </w:rPr>
        <w:t xml:space="preserve"> facility without authorization</w:t>
      </w:r>
    </w:p>
    <w:p w14:paraId="1F639433" w14:textId="750404AD" w:rsidR="00EE4F1C" w:rsidRPr="00AA4677" w:rsidRDefault="00B36DE5">
      <w:pPr>
        <w:pStyle w:val="Bullet2DoJDeptofJustice"/>
        <w:numPr>
          <w:ilvl w:val="0"/>
          <w:numId w:val="217"/>
        </w:numPr>
        <w:tabs>
          <w:tab w:val="clear" w:pos="1177"/>
        </w:tabs>
        <w:ind w:left="360"/>
        <w:rPr>
          <w:rFonts w:asciiTheme="minorHAnsi" w:hAnsiTheme="minorHAnsi" w:cstheme="minorHAnsi"/>
          <w:color w:val="auto"/>
          <w:sz w:val="24"/>
        </w:rPr>
      </w:pPr>
      <w:r w:rsidRPr="00AA4677">
        <w:rPr>
          <w:rFonts w:asciiTheme="minorHAnsi" w:hAnsiTheme="minorHAnsi" w:cstheme="minorHAnsi"/>
          <w:color w:val="auto"/>
          <w:sz w:val="24"/>
        </w:rPr>
        <w:t>A statement that participation in the research project will have no effect on the inmate participant's release date or parole eligibility</w:t>
      </w:r>
    </w:p>
    <w:p w14:paraId="5A907ED6" w14:textId="77777777" w:rsidR="00EE4F1C" w:rsidRPr="00AA4677" w:rsidRDefault="00EE4F1C" w:rsidP="002853E1">
      <w:pPr>
        <w:pStyle w:val="Bullet2DoJDeptofJustice"/>
        <w:tabs>
          <w:tab w:val="clear" w:pos="673"/>
          <w:tab w:val="clear" w:pos="1177"/>
        </w:tabs>
        <w:ind w:left="450" w:firstLine="0"/>
        <w:rPr>
          <w:rFonts w:asciiTheme="minorHAnsi" w:hAnsiTheme="minorHAnsi" w:cstheme="minorHAnsi"/>
          <w:color w:val="auto"/>
          <w:sz w:val="24"/>
        </w:rPr>
      </w:pPr>
    </w:p>
    <w:p w14:paraId="2F926D9C" w14:textId="77777777" w:rsidR="00316141" w:rsidRPr="00AA4677" w:rsidRDefault="00316141" w:rsidP="00F32ADD">
      <w:pPr>
        <w:pStyle w:val="Bullet1DoJDeptofJustice"/>
        <w:tabs>
          <w:tab w:val="clear" w:pos="360"/>
          <w:tab w:val="clear" w:pos="407"/>
          <w:tab w:val="num" w:pos="2880"/>
        </w:tabs>
        <w:ind w:left="0" w:firstLine="0"/>
        <w:rPr>
          <w:rFonts w:asciiTheme="minorHAnsi" w:hAnsiTheme="minorHAnsi" w:cstheme="minorHAnsi"/>
          <w:color w:val="auto"/>
          <w:sz w:val="24"/>
        </w:rPr>
      </w:pPr>
      <w:r w:rsidRPr="00AA4677">
        <w:rPr>
          <w:rFonts w:asciiTheme="minorHAnsi" w:hAnsiTheme="minorHAnsi" w:cstheme="minorHAnsi"/>
          <w:color w:val="auto"/>
          <w:sz w:val="24"/>
        </w:rPr>
        <w:t xml:space="preserve">For research conducted within the Bureau of Prisons, the researcher must have academic preparation or experience </w:t>
      </w:r>
      <w:proofErr w:type="gramStart"/>
      <w:r w:rsidRPr="00AA4677">
        <w:rPr>
          <w:rFonts w:asciiTheme="minorHAnsi" w:hAnsiTheme="minorHAnsi" w:cstheme="minorHAnsi"/>
          <w:color w:val="auto"/>
          <w:sz w:val="24"/>
        </w:rPr>
        <w:t>in the area of</w:t>
      </w:r>
      <w:proofErr w:type="gramEnd"/>
      <w:r w:rsidRPr="00AA4677">
        <w:rPr>
          <w:rFonts w:asciiTheme="minorHAnsi" w:hAnsiTheme="minorHAnsi" w:cstheme="minorHAnsi"/>
          <w:color w:val="auto"/>
          <w:sz w:val="24"/>
        </w:rPr>
        <w:t xml:space="preserve"> study of the proposed research.</w:t>
      </w:r>
    </w:p>
    <w:p w14:paraId="1F83CDF9" w14:textId="5743B2C7" w:rsidR="00316141" w:rsidRPr="00AA4677" w:rsidRDefault="00316141">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When submitting a research proposal, the applicant shall provide the following information:</w:t>
      </w:r>
    </w:p>
    <w:p w14:paraId="1E817AD6" w14:textId="77777777" w:rsidR="00316141" w:rsidRPr="00AA4677" w:rsidRDefault="00316141">
      <w:pPr>
        <w:pStyle w:val="Bullet2DoJDeptofJustice"/>
        <w:numPr>
          <w:ilvl w:val="1"/>
          <w:numId w:val="125"/>
        </w:numPr>
        <w:tabs>
          <w:tab w:val="left" w:pos="360"/>
          <w:tab w:val="num" w:pos="673"/>
        </w:tabs>
        <w:ind w:hanging="673"/>
        <w:rPr>
          <w:rFonts w:asciiTheme="minorHAnsi" w:hAnsiTheme="minorHAnsi" w:cstheme="minorHAnsi"/>
          <w:color w:val="auto"/>
          <w:sz w:val="24"/>
        </w:rPr>
      </w:pPr>
      <w:r w:rsidRPr="00AA4677">
        <w:rPr>
          <w:rFonts w:asciiTheme="minorHAnsi" w:hAnsiTheme="minorHAnsi" w:cstheme="minorHAnsi"/>
          <w:color w:val="auto"/>
          <w:sz w:val="24"/>
        </w:rPr>
        <w:t xml:space="preserve">A summary statement, which includes: </w:t>
      </w:r>
    </w:p>
    <w:p w14:paraId="6852321D" w14:textId="77777777"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Names and current affiliations of the researchers.</w:t>
      </w:r>
    </w:p>
    <w:p w14:paraId="34598297" w14:textId="6E0BD05A"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Title of the study</w:t>
      </w:r>
    </w:p>
    <w:p w14:paraId="68F39E97" w14:textId="4E7C689A"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Purpose of the study</w:t>
      </w:r>
    </w:p>
    <w:p w14:paraId="6517E87C" w14:textId="4D1E8CAA"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Location of the study</w:t>
      </w:r>
    </w:p>
    <w:p w14:paraId="613ED0E2" w14:textId="0485BE06"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Methods to be employed</w:t>
      </w:r>
    </w:p>
    <w:p w14:paraId="41E06743" w14:textId="5E3C8C08"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Anticipated results</w:t>
      </w:r>
    </w:p>
    <w:p w14:paraId="58E6442A" w14:textId="41F2465B"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Duration of the study</w:t>
      </w:r>
    </w:p>
    <w:p w14:paraId="14D1DC66" w14:textId="70BE50AC"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 xml:space="preserve">Number of participants (staff or inmates) </w:t>
      </w:r>
      <w:proofErr w:type="gramStart"/>
      <w:r w:rsidRPr="00AA4677">
        <w:rPr>
          <w:rFonts w:asciiTheme="minorHAnsi" w:hAnsiTheme="minorHAnsi" w:cstheme="minorHAnsi"/>
          <w:color w:val="auto"/>
          <w:sz w:val="24"/>
        </w:rPr>
        <w:t>required</w:t>
      </w:r>
      <w:proofErr w:type="gramEnd"/>
      <w:r w:rsidRPr="00AA4677">
        <w:rPr>
          <w:rFonts w:asciiTheme="minorHAnsi" w:hAnsiTheme="minorHAnsi" w:cstheme="minorHAnsi"/>
          <w:color w:val="auto"/>
          <w:sz w:val="24"/>
        </w:rPr>
        <w:t xml:space="preserve"> and amount of time required from each</w:t>
      </w:r>
    </w:p>
    <w:p w14:paraId="5200E010" w14:textId="066A762E"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 xml:space="preserve">Indication of risk or discomfort involved </w:t>
      </w:r>
      <w:proofErr w:type="gramStart"/>
      <w:r w:rsidRPr="00AA4677">
        <w:rPr>
          <w:rFonts w:asciiTheme="minorHAnsi" w:hAnsiTheme="minorHAnsi" w:cstheme="minorHAnsi"/>
          <w:color w:val="auto"/>
          <w:sz w:val="24"/>
        </w:rPr>
        <w:t>as a result of</w:t>
      </w:r>
      <w:proofErr w:type="gramEnd"/>
      <w:r w:rsidRPr="00AA4677">
        <w:rPr>
          <w:rFonts w:asciiTheme="minorHAnsi" w:hAnsiTheme="minorHAnsi" w:cstheme="minorHAnsi"/>
          <w:color w:val="auto"/>
          <w:sz w:val="24"/>
        </w:rPr>
        <w:t xml:space="preserve"> participation</w:t>
      </w:r>
    </w:p>
    <w:p w14:paraId="06A0A9B2" w14:textId="77777777" w:rsidR="00316141" w:rsidRPr="00AA4677" w:rsidRDefault="00316141">
      <w:pPr>
        <w:pStyle w:val="Bullet2DoJDeptofJustice"/>
        <w:numPr>
          <w:ilvl w:val="1"/>
          <w:numId w:val="125"/>
        </w:numPr>
        <w:tabs>
          <w:tab w:val="num" w:pos="673"/>
        </w:tabs>
        <w:ind w:hanging="673"/>
        <w:rPr>
          <w:rFonts w:asciiTheme="minorHAnsi" w:hAnsiTheme="minorHAnsi" w:cstheme="minorHAnsi"/>
          <w:color w:val="auto"/>
          <w:sz w:val="24"/>
        </w:rPr>
      </w:pPr>
      <w:r w:rsidRPr="00AA4677">
        <w:rPr>
          <w:rFonts w:asciiTheme="minorHAnsi" w:hAnsiTheme="minorHAnsi" w:cstheme="minorHAnsi"/>
          <w:color w:val="auto"/>
          <w:sz w:val="24"/>
        </w:rPr>
        <w:t>A comprehensive statement, which includes:</w:t>
      </w:r>
    </w:p>
    <w:p w14:paraId="5C9ACA02" w14:textId="7773DB3B"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lastRenderedPageBreak/>
        <w:t>Review of related literature</w:t>
      </w:r>
    </w:p>
    <w:p w14:paraId="39449F58" w14:textId="05A94CC7"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Detailed description of the research method</w:t>
      </w:r>
    </w:p>
    <w:p w14:paraId="18A1CD09" w14:textId="616988B6"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Significance of anticipated results and their contribution to the advancement of knowledge</w:t>
      </w:r>
    </w:p>
    <w:p w14:paraId="1243927C" w14:textId="13C82C4F"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Specific resources required from the Bureau of Prisons</w:t>
      </w:r>
    </w:p>
    <w:p w14:paraId="45576C13" w14:textId="7ADD06DD"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 xml:space="preserve">Description of all possible risks, discomforts, and benefits to individual participants or a class of participants, and a discussion of the likelihood that the risks and discomforts will </w:t>
      </w:r>
      <w:proofErr w:type="gramStart"/>
      <w:r w:rsidRPr="00AA4677">
        <w:rPr>
          <w:rFonts w:asciiTheme="minorHAnsi" w:hAnsiTheme="minorHAnsi" w:cstheme="minorHAnsi"/>
          <w:color w:val="auto"/>
          <w:sz w:val="24"/>
        </w:rPr>
        <w:t>actually occur</w:t>
      </w:r>
      <w:proofErr w:type="gramEnd"/>
    </w:p>
    <w:p w14:paraId="45D9E440" w14:textId="46AE1C06" w:rsidR="00316141" w:rsidRPr="00AA4677" w:rsidRDefault="00316141">
      <w:pPr>
        <w:pStyle w:val="Bullet3DoJDeptofJustice"/>
        <w:numPr>
          <w:ilvl w:val="2"/>
          <w:numId w:val="125"/>
        </w:numPr>
        <w:tabs>
          <w:tab w:val="num" w:pos="673"/>
        </w:tabs>
        <w:ind w:left="1080" w:hanging="360"/>
        <w:rPr>
          <w:rFonts w:asciiTheme="minorHAnsi" w:hAnsiTheme="minorHAnsi" w:cstheme="minorHAnsi"/>
          <w:color w:val="auto"/>
          <w:sz w:val="24"/>
        </w:rPr>
      </w:pPr>
      <w:r w:rsidRPr="00AA4677">
        <w:rPr>
          <w:rFonts w:asciiTheme="minorHAnsi" w:hAnsiTheme="minorHAnsi" w:cstheme="minorHAnsi"/>
          <w:color w:val="auto"/>
          <w:sz w:val="24"/>
        </w:rPr>
        <w:t>Description of steps taken to minimize any risks</w:t>
      </w:r>
    </w:p>
    <w:p w14:paraId="531652CD" w14:textId="77777777" w:rsidR="00316141" w:rsidRPr="00AA4677" w:rsidRDefault="00316141">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Description of physical or administrative procedures to be followed to:</w:t>
      </w:r>
    </w:p>
    <w:p w14:paraId="1A735D5D" w14:textId="3E657DF9" w:rsidR="00316141" w:rsidRPr="00AA4677" w:rsidRDefault="00316141">
      <w:pPr>
        <w:pStyle w:val="Bullet2DoJDeptofJustice"/>
        <w:numPr>
          <w:ilvl w:val="1"/>
          <w:numId w:val="125"/>
        </w:numPr>
        <w:tabs>
          <w:tab w:val="num" w:pos="673"/>
        </w:tabs>
        <w:ind w:left="720" w:hanging="360"/>
        <w:rPr>
          <w:rFonts w:asciiTheme="minorHAnsi" w:hAnsiTheme="minorHAnsi" w:cstheme="minorHAnsi"/>
          <w:color w:val="auto"/>
          <w:sz w:val="24"/>
        </w:rPr>
      </w:pPr>
      <w:r w:rsidRPr="00AA4677">
        <w:rPr>
          <w:rFonts w:asciiTheme="minorHAnsi" w:hAnsiTheme="minorHAnsi" w:cstheme="minorHAnsi"/>
          <w:color w:val="auto"/>
          <w:sz w:val="24"/>
        </w:rPr>
        <w:t xml:space="preserve">Ensure the security of any individually identifiable data that </w:t>
      </w:r>
      <w:proofErr w:type="gramStart"/>
      <w:r w:rsidRPr="00AA4677">
        <w:rPr>
          <w:rFonts w:asciiTheme="minorHAnsi" w:hAnsiTheme="minorHAnsi" w:cstheme="minorHAnsi"/>
          <w:color w:val="auto"/>
          <w:sz w:val="24"/>
        </w:rPr>
        <w:t>are</w:t>
      </w:r>
      <w:proofErr w:type="gramEnd"/>
      <w:r w:rsidRPr="00AA4677">
        <w:rPr>
          <w:rFonts w:asciiTheme="minorHAnsi" w:hAnsiTheme="minorHAnsi" w:cstheme="minorHAnsi"/>
          <w:color w:val="auto"/>
          <w:sz w:val="24"/>
        </w:rPr>
        <w:t xml:space="preserve"> being collected for the study</w:t>
      </w:r>
    </w:p>
    <w:p w14:paraId="56D178EC" w14:textId="2A6C65A5" w:rsidR="00316141" w:rsidRPr="00AA4677" w:rsidRDefault="00DA7CCF">
      <w:pPr>
        <w:pStyle w:val="Bullet2DoJDeptofJustice"/>
        <w:numPr>
          <w:ilvl w:val="1"/>
          <w:numId w:val="125"/>
        </w:numPr>
        <w:tabs>
          <w:tab w:val="num" w:pos="673"/>
        </w:tabs>
        <w:ind w:left="720" w:hanging="360"/>
        <w:rPr>
          <w:rFonts w:asciiTheme="minorHAnsi" w:hAnsiTheme="minorHAnsi" w:cstheme="minorHAnsi"/>
          <w:color w:val="auto"/>
          <w:sz w:val="24"/>
        </w:rPr>
      </w:pPr>
      <w:r w:rsidRPr="00AA4677">
        <w:rPr>
          <w:rFonts w:asciiTheme="minorHAnsi" w:hAnsiTheme="minorHAnsi" w:cstheme="minorHAnsi"/>
          <w:color w:val="auto"/>
          <w:sz w:val="24"/>
        </w:rPr>
        <w:t>Destruction of research records or removal of</w:t>
      </w:r>
      <w:r w:rsidR="00316141" w:rsidRPr="00AA4677">
        <w:rPr>
          <w:rFonts w:asciiTheme="minorHAnsi" w:hAnsiTheme="minorHAnsi" w:cstheme="minorHAnsi"/>
          <w:color w:val="auto"/>
          <w:sz w:val="24"/>
        </w:rPr>
        <w:t xml:space="preserve"> individual identifiers from those records when the research has been completed</w:t>
      </w:r>
    </w:p>
    <w:p w14:paraId="3D18E228" w14:textId="20622434" w:rsidR="00316141" w:rsidRPr="00AA4677" w:rsidRDefault="00316141">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Description of any anticipated effects of the research study on organizational programs and operations</w:t>
      </w:r>
    </w:p>
    <w:p w14:paraId="7EA8EBFF" w14:textId="1D08053E" w:rsidR="00316141" w:rsidRPr="00AA4677" w:rsidRDefault="00316141">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 xml:space="preserve">Relevant research materials such as vitae, </w:t>
      </w:r>
      <w:r w:rsidR="00DA7CCF" w:rsidRPr="00AA4677">
        <w:rPr>
          <w:rFonts w:asciiTheme="minorHAnsi" w:hAnsiTheme="minorHAnsi" w:cstheme="minorHAnsi"/>
          <w:color w:val="auto"/>
          <w:sz w:val="24"/>
        </w:rPr>
        <w:t>sample consent forms,</w:t>
      </w:r>
      <w:r w:rsidRPr="00AA4677">
        <w:rPr>
          <w:rFonts w:asciiTheme="minorHAnsi" w:hAnsiTheme="minorHAnsi" w:cstheme="minorHAnsi"/>
          <w:color w:val="auto"/>
          <w:sz w:val="24"/>
        </w:rPr>
        <w:t xml:space="preserve"> questionn</w:t>
      </w:r>
      <w:r w:rsidR="00DA7CCF" w:rsidRPr="00AA4677">
        <w:rPr>
          <w:rFonts w:asciiTheme="minorHAnsi" w:hAnsiTheme="minorHAnsi" w:cstheme="minorHAnsi"/>
          <w:color w:val="auto"/>
          <w:sz w:val="24"/>
        </w:rPr>
        <w:t>aires and interview schedules</w:t>
      </w:r>
    </w:p>
    <w:p w14:paraId="3172A32D" w14:textId="2A0AF8A9" w:rsidR="00316141" w:rsidRPr="00AA4677" w:rsidRDefault="00316141">
      <w:pPr>
        <w:pStyle w:val="Bullet1DoJDeptofJustice"/>
        <w:numPr>
          <w:ilvl w:val="0"/>
          <w:numId w:val="125"/>
        </w:numPr>
        <w:tabs>
          <w:tab w:val="clear" w:pos="2880"/>
        </w:tabs>
        <w:ind w:left="407" w:hanging="407"/>
        <w:rPr>
          <w:rFonts w:asciiTheme="minorHAnsi" w:hAnsiTheme="minorHAnsi" w:cstheme="minorHAnsi"/>
          <w:color w:val="auto"/>
          <w:sz w:val="24"/>
        </w:rPr>
      </w:pPr>
      <w:r w:rsidRPr="00AA4677">
        <w:rPr>
          <w:rFonts w:asciiTheme="minorHAnsi" w:hAnsiTheme="minorHAnsi" w:cstheme="minorHAnsi"/>
          <w:color w:val="auto"/>
          <w:sz w:val="24"/>
        </w:rPr>
        <w:t>A statement regarding assurances and certification required by 28 CFR 46, if applicable</w:t>
      </w:r>
    </w:p>
    <w:p w14:paraId="57720A69" w14:textId="77777777" w:rsidR="007163A0" w:rsidRPr="00AA4677" w:rsidRDefault="007163A0">
      <w:pPr>
        <w:pStyle w:val="Bullet3"/>
        <w:numPr>
          <w:ilvl w:val="2"/>
          <w:numId w:val="316"/>
        </w:numPr>
        <w:ind w:left="360" w:hanging="360"/>
        <w:rPr>
          <w:rFonts w:asciiTheme="minorHAnsi" w:hAnsiTheme="minorHAnsi" w:cstheme="minorHAnsi"/>
        </w:rPr>
      </w:pPr>
      <w:r w:rsidRPr="00AA4677">
        <w:rPr>
          <w:rFonts w:asciiTheme="minorHAnsi" w:hAnsiTheme="minorHAnsi" w:cstheme="minorHAnsi"/>
        </w:rPr>
        <w:t>Description of any anticipated effects of the research study on organizational programs and operations.</w:t>
      </w:r>
    </w:p>
    <w:p w14:paraId="4D064924" w14:textId="77777777" w:rsidR="007163A0" w:rsidRPr="00AA4677" w:rsidRDefault="007163A0">
      <w:pPr>
        <w:pStyle w:val="Bullet3"/>
        <w:numPr>
          <w:ilvl w:val="2"/>
          <w:numId w:val="316"/>
        </w:numPr>
        <w:ind w:left="360" w:hanging="360"/>
        <w:rPr>
          <w:rFonts w:asciiTheme="minorHAnsi" w:hAnsiTheme="minorHAnsi" w:cstheme="minorHAnsi"/>
        </w:rPr>
      </w:pPr>
      <w:r w:rsidRPr="00AA4677">
        <w:rPr>
          <w:rFonts w:asciiTheme="minorHAnsi" w:hAnsiTheme="minorHAnsi" w:cstheme="minorHAnsi"/>
        </w:rPr>
        <w:t>Relevant research materials such as vitae, endorsements, sample consent statements, questionnaires, and interview schedules.</w:t>
      </w:r>
    </w:p>
    <w:p w14:paraId="7FFDC75F" w14:textId="591CA96E" w:rsidR="00316141" w:rsidRPr="00AA4677" w:rsidRDefault="007163A0" w:rsidP="007C28A5">
      <w:pPr>
        <w:pStyle w:val="Bullet3"/>
        <w:numPr>
          <w:ilvl w:val="2"/>
          <w:numId w:val="316"/>
        </w:numPr>
        <w:ind w:left="360" w:hanging="360"/>
        <w:rPr>
          <w:rFonts w:asciiTheme="minorHAnsi" w:hAnsiTheme="minorHAnsi" w:cstheme="minorHAnsi"/>
        </w:rPr>
      </w:pPr>
      <w:r w:rsidRPr="00AA4677">
        <w:rPr>
          <w:rFonts w:asciiTheme="minorHAnsi" w:hAnsiTheme="minorHAnsi" w:cstheme="minorHAnsi"/>
        </w:rPr>
        <w:t>A statement regarding assurances and certification required by federal regulations, if applicable.</w:t>
      </w:r>
    </w:p>
    <w:p w14:paraId="0B5766DE" w14:textId="77777777" w:rsidR="007C28A5" w:rsidRPr="00AA4677" w:rsidRDefault="007C28A5" w:rsidP="007C28A5">
      <w:pPr>
        <w:pStyle w:val="Bullet3"/>
        <w:numPr>
          <w:ilvl w:val="0"/>
          <w:numId w:val="0"/>
        </w:numPr>
        <w:ind w:left="360"/>
        <w:rPr>
          <w:rFonts w:asciiTheme="minorHAnsi" w:hAnsiTheme="minorHAnsi" w:cstheme="minorHAnsi"/>
        </w:rPr>
      </w:pPr>
    </w:p>
    <w:p w14:paraId="7AAF5006" w14:textId="193EA444" w:rsidR="00FF62B3" w:rsidRPr="00AA4677" w:rsidRDefault="00FF62B3" w:rsidP="00FF62B3">
      <w:pPr>
        <w:pStyle w:val="Bullet1DoJDeptofJustice"/>
        <w:tabs>
          <w:tab w:val="clear" w:pos="360"/>
        </w:tabs>
        <w:ind w:left="0" w:firstLine="0"/>
        <w:rPr>
          <w:rFonts w:asciiTheme="minorHAnsi" w:hAnsiTheme="minorHAnsi" w:cstheme="minorHAnsi"/>
          <w:color w:val="auto"/>
          <w:sz w:val="24"/>
        </w:rPr>
      </w:pPr>
      <w:r w:rsidRPr="00AA4677">
        <w:rPr>
          <w:rFonts w:asciiTheme="minorHAnsi" w:hAnsiTheme="minorHAnsi" w:cstheme="minorHAnsi"/>
          <w:color w:val="auto"/>
          <w:sz w:val="24"/>
        </w:rPr>
        <w:t>For National Institute of Justice</w:t>
      </w:r>
      <w:r w:rsidR="00DA7CCF" w:rsidRPr="00AA4677">
        <w:rPr>
          <w:rFonts w:asciiTheme="minorHAnsi" w:hAnsiTheme="minorHAnsi" w:cstheme="minorHAnsi"/>
          <w:color w:val="auto"/>
          <w:sz w:val="24"/>
        </w:rPr>
        <w:t xml:space="preserve"> </w:t>
      </w:r>
      <w:r w:rsidRPr="00AA4677">
        <w:rPr>
          <w:rFonts w:asciiTheme="minorHAnsi" w:hAnsiTheme="minorHAnsi" w:cstheme="minorHAnsi"/>
          <w:color w:val="auto"/>
          <w:sz w:val="24"/>
        </w:rPr>
        <w:t>funded research, a copy of all data must be de-identified and sent to the National Archive of Criminal Justice Data, including copies of the informed consent document, data collection instruments, surveys, or other relevant research materials.</w:t>
      </w:r>
    </w:p>
    <w:p w14:paraId="329DF99B" w14:textId="57BDDB96" w:rsidR="00FF62B3" w:rsidRPr="00AA4677" w:rsidRDefault="00FF62B3">
      <w:pPr>
        <w:pStyle w:val="Bullet2DoJDeptofJustice"/>
        <w:numPr>
          <w:ilvl w:val="0"/>
          <w:numId w:val="218"/>
        </w:numPr>
        <w:ind w:left="360"/>
        <w:rPr>
          <w:rFonts w:asciiTheme="minorHAnsi" w:hAnsiTheme="minorHAnsi" w:cstheme="minorHAnsi"/>
          <w:color w:val="auto"/>
          <w:sz w:val="24"/>
        </w:rPr>
      </w:pPr>
      <w:r w:rsidRPr="00AA4677">
        <w:rPr>
          <w:rFonts w:asciiTheme="minorHAnsi" w:hAnsiTheme="minorHAnsi" w:cstheme="minorHAnsi"/>
          <w:color w:val="auto"/>
          <w:sz w:val="24"/>
        </w:rPr>
        <w:t xml:space="preserve">At least once a year, the researcher shall provide the </w:t>
      </w:r>
      <w:r w:rsidR="00850A6D" w:rsidRPr="00AA4677">
        <w:rPr>
          <w:rFonts w:asciiTheme="minorHAnsi" w:hAnsiTheme="minorHAnsi" w:cstheme="minorHAnsi"/>
          <w:color w:val="auto"/>
          <w:sz w:val="24"/>
        </w:rPr>
        <w:t>C</w:t>
      </w:r>
      <w:r w:rsidRPr="00AA4677">
        <w:rPr>
          <w:rFonts w:asciiTheme="minorHAnsi" w:hAnsiTheme="minorHAnsi" w:cstheme="minorHAnsi"/>
          <w:color w:val="auto"/>
          <w:sz w:val="24"/>
        </w:rPr>
        <w:t>hief, Office of Research and Evaluation, with a report on the progress of the research</w:t>
      </w:r>
    </w:p>
    <w:p w14:paraId="717D79DC" w14:textId="77777777" w:rsidR="00FF62B3" w:rsidRPr="00AA4677" w:rsidRDefault="00FF62B3">
      <w:pPr>
        <w:pStyle w:val="Bullet2DoJDeptofJustice"/>
        <w:numPr>
          <w:ilvl w:val="0"/>
          <w:numId w:val="218"/>
        </w:numPr>
        <w:ind w:left="360"/>
        <w:rPr>
          <w:rFonts w:asciiTheme="minorHAnsi" w:hAnsiTheme="minorHAnsi" w:cstheme="minorHAnsi"/>
          <w:color w:val="auto"/>
          <w:sz w:val="24"/>
        </w:rPr>
      </w:pPr>
      <w:r w:rsidRPr="00AA4677">
        <w:rPr>
          <w:rFonts w:asciiTheme="minorHAnsi" w:hAnsiTheme="minorHAnsi" w:cstheme="minorHAnsi"/>
          <w:color w:val="auto"/>
          <w:sz w:val="24"/>
        </w:rPr>
        <w:t xml:space="preserve">At least 12 working days before any report of findings is </w:t>
      </w:r>
      <w:proofErr w:type="gramStart"/>
      <w:r w:rsidRPr="00AA4677">
        <w:rPr>
          <w:rFonts w:asciiTheme="minorHAnsi" w:hAnsiTheme="minorHAnsi" w:cstheme="minorHAnsi"/>
          <w:color w:val="auto"/>
          <w:sz w:val="24"/>
        </w:rPr>
        <w:t>to be released</w:t>
      </w:r>
      <w:proofErr w:type="gramEnd"/>
      <w:r w:rsidRPr="00AA4677">
        <w:rPr>
          <w:rFonts w:asciiTheme="minorHAnsi" w:hAnsiTheme="minorHAnsi" w:cstheme="minorHAnsi"/>
          <w:color w:val="auto"/>
          <w:sz w:val="24"/>
        </w:rPr>
        <w:t>, the researcher shall distribute one copy of the report to each of the following: the chairperson of the Bureau Research Review Board, the regional director, and the warden of each institution that provided data or assistance. The researcher shall include an abstract in the report of findings</w:t>
      </w:r>
    </w:p>
    <w:p w14:paraId="75B8E2DB" w14:textId="77777777" w:rsidR="00FF62B3" w:rsidRPr="00AA4677" w:rsidRDefault="00FF62B3">
      <w:pPr>
        <w:pStyle w:val="Bullet2DoJDeptofJustice"/>
        <w:numPr>
          <w:ilvl w:val="0"/>
          <w:numId w:val="218"/>
        </w:numPr>
        <w:ind w:left="360"/>
        <w:rPr>
          <w:rFonts w:asciiTheme="minorHAnsi" w:hAnsiTheme="minorHAnsi" w:cstheme="minorHAnsi"/>
          <w:color w:val="auto"/>
          <w:sz w:val="24"/>
        </w:rPr>
      </w:pPr>
      <w:r w:rsidRPr="00AA4677">
        <w:rPr>
          <w:rFonts w:asciiTheme="minorHAnsi" w:hAnsiTheme="minorHAnsi" w:cstheme="minorHAnsi"/>
          <w:color w:val="auto"/>
          <w:sz w:val="24"/>
        </w:rPr>
        <w:t>In any publication of results, the researcher shall acknowledge the Bureau's participation in the research project</w:t>
      </w:r>
    </w:p>
    <w:p w14:paraId="50E3E82A" w14:textId="77777777" w:rsidR="00FF62B3" w:rsidRPr="00AA4677" w:rsidRDefault="00FF62B3">
      <w:pPr>
        <w:pStyle w:val="Bullet2DoJDeptofJustice"/>
        <w:numPr>
          <w:ilvl w:val="0"/>
          <w:numId w:val="218"/>
        </w:numPr>
        <w:ind w:left="360"/>
        <w:rPr>
          <w:rFonts w:asciiTheme="minorHAnsi" w:hAnsiTheme="minorHAnsi" w:cstheme="minorHAnsi"/>
          <w:color w:val="auto"/>
          <w:sz w:val="24"/>
        </w:rPr>
      </w:pPr>
      <w:r w:rsidRPr="00AA4677">
        <w:rPr>
          <w:rFonts w:asciiTheme="minorHAnsi" w:hAnsiTheme="minorHAnsi" w:cstheme="minorHAnsi"/>
          <w:color w:val="auto"/>
          <w:sz w:val="24"/>
        </w:rPr>
        <w:lastRenderedPageBreak/>
        <w:t>The researcher shall expressly disclaim approval or endorsement of the published material as an expression of the policies or views of the Bureau</w:t>
      </w:r>
    </w:p>
    <w:p w14:paraId="7FFE1366" w14:textId="28F9295B" w:rsidR="00B36DE5" w:rsidRPr="00AA4677" w:rsidRDefault="00FF62B3">
      <w:pPr>
        <w:pStyle w:val="Bullet2DoJDeptofJustice"/>
        <w:numPr>
          <w:ilvl w:val="0"/>
          <w:numId w:val="218"/>
        </w:numPr>
        <w:ind w:left="360"/>
        <w:rPr>
          <w:rFonts w:asciiTheme="minorHAnsi" w:hAnsiTheme="minorHAnsi" w:cstheme="minorHAnsi"/>
          <w:color w:val="auto"/>
          <w:sz w:val="24"/>
        </w:rPr>
      </w:pPr>
      <w:r w:rsidRPr="00AA4677">
        <w:rPr>
          <w:rFonts w:asciiTheme="minorHAnsi" w:hAnsiTheme="minorHAnsi" w:cstheme="minorHAnsi"/>
          <w:color w:val="auto"/>
          <w:sz w:val="24"/>
        </w:rPr>
        <w:t xml:space="preserve">Prior to submitting for </w:t>
      </w:r>
      <w:proofErr w:type="gramStart"/>
      <w:r w:rsidRPr="00AA4677">
        <w:rPr>
          <w:rFonts w:asciiTheme="minorHAnsi" w:hAnsiTheme="minorHAnsi" w:cstheme="minorHAnsi"/>
          <w:color w:val="auto"/>
          <w:sz w:val="24"/>
        </w:rPr>
        <w:t>publication</w:t>
      </w:r>
      <w:proofErr w:type="gramEnd"/>
      <w:r w:rsidRPr="00AA4677">
        <w:rPr>
          <w:rFonts w:asciiTheme="minorHAnsi" w:hAnsiTheme="minorHAnsi" w:cstheme="minorHAnsi"/>
          <w:color w:val="auto"/>
          <w:sz w:val="24"/>
        </w:rPr>
        <w:t xml:space="preserve"> the results of a research project conducted under this subpart, the researcher</w:t>
      </w:r>
      <w:r w:rsidR="00DA7CCF" w:rsidRPr="00AA4677">
        <w:rPr>
          <w:rFonts w:asciiTheme="minorHAnsi" w:hAnsiTheme="minorHAnsi" w:cstheme="minorHAnsi"/>
          <w:color w:val="auto"/>
          <w:sz w:val="24"/>
        </w:rPr>
        <w:t xml:space="preserve"> must</w:t>
      </w:r>
      <w:r w:rsidRPr="00AA4677">
        <w:rPr>
          <w:rFonts w:asciiTheme="minorHAnsi" w:hAnsiTheme="minorHAnsi" w:cstheme="minorHAnsi"/>
          <w:color w:val="auto"/>
          <w:sz w:val="24"/>
        </w:rPr>
        <w:t xml:space="preserve"> provide two copies of the material, for informational purposes only, to the Chief, Office of Research and Evaluation, Central Office, Bureau of Prisons</w:t>
      </w:r>
    </w:p>
    <w:p w14:paraId="153B3F5D" w14:textId="3E028055" w:rsidR="00FC174E" w:rsidRPr="00AA4677" w:rsidRDefault="00FC174E" w:rsidP="00C57C98">
      <w:pPr>
        <w:pStyle w:val="Heading3"/>
      </w:pPr>
      <w:r w:rsidRPr="00AA4677">
        <w:t xml:space="preserve">6.7.6 Additional Duties of </w:t>
      </w:r>
      <w:r w:rsidR="005B5ABE" w:rsidRPr="00AA4677">
        <w:t xml:space="preserve">the </w:t>
      </w:r>
      <w:r w:rsidR="00EE7207" w:rsidRPr="00AA4677">
        <w:t>IRB</w:t>
      </w:r>
      <w:r w:rsidR="005B5ABE" w:rsidRPr="00AA4677">
        <w:t xml:space="preserve"> </w:t>
      </w:r>
    </w:p>
    <w:p w14:paraId="1CFA95C6" w14:textId="77777777" w:rsidR="00FC174E" w:rsidRPr="00AA4677" w:rsidRDefault="00FC174E" w:rsidP="001A7DB0">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[45 CFR 46.305]</w:t>
      </w:r>
    </w:p>
    <w:p w14:paraId="54508F3E" w14:textId="4C6F9CEE" w:rsidR="00FC174E" w:rsidRPr="00AA4677" w:rsidRDefault="00FC174E" w:rsidP="001A7DB0">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addition to all other responsibilities prescribed for </w:t>
      </w:r>
      <w:r w:rsidR="00EE7207" w:rsidRPr="00AA4677">
        <w:rPr>
          <w:rFonts w:eastAsia="Times New Roman" w:cs="Times New Roman"/>
          <w:szCs w:val="24"/>
        </w:rPr>
        <w:t>IRB</w:t>
      </w:r>
      <w:r w:rsidRPr="00AA4677">
        <w:rPr>
          <w:rFonts w:eastAsia="Times New Roman" w:cs="Times New Roman"/>
          <w:szCs w:val="24"/>
        </w:rPr>
        <w:t xml:space="preserve"> in the SBU Insti</w:t>
      </w:r>
      <w:r w:rsidR="008B0347" w:rsidRPr="00AA4677">
        <w:rPr>
          <w:rFonts w:eastAsia="Times New Roman" w:cs="Times New Roman"/>
          <w:szCs w:val="24"/>
        </w:rPr>
        <w:t>tutional Review Board and IRB</w:t>
      </w:r>
      <w:r w:rsidRPr="00AA4677">
        <w:rPr>
          <w:rFonts w:eastAsia="Times New Roman" w:cs="Times New Roman"/>
          <w:szCs w:val="24"/>
        </w:rPr>
        <w:t xml:space="preserve"> Review Process sections of this manual, </w:t>
      </w:r>
      <w:r w:rsidR="001A7DB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review research involving prisoners and approve such research only if it finds that:</w:t>
      </w:r>
    </w:p>
    <w:p w14:paraId="31940DD9" w14:textId="1C45BE01" w:rsidR="00FC174E" w:rsidRPr="00AA4677" w:rsidRDefault="001A7DB0" w:rsidP="00C129F1">
      <w:pPr>
        <w:numPr>
          <w:ilvl w:val="0"/>
          <w:numId w:val="32"/>
        </w:numPr>
        <w:shd w:val="clear" w:color="auto" w:fill="FFFFFF"/>
        <w:tabs>
          <w:tab w:val="num" w:pos="720"/>
        </w:tabs>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 research falls into one of the following permitted categories [45 CFR 46.306]:</w:t>
      </w:r>
    </w:p>
    <w:p w14:paraId="17E40CE2" w14:textId="7DAAD4FE" w:rsidR="00FC174E" w:rsidRPr="00AA4677" w:rsidRDefault="001A7DB0">
      <w:pPr>
        <w:numPr>
          <w:ilvl w:val="0"/>
          <w:numId w:val="271"/>
        </w:numPr>
        <w:shd w:val="clear" w:color="auto" w:fill="FFFFFF"/>
        <w:spacing w:after="0" w:line="240" w:lineRule="auto"/>
        <w:rPr>
          <w:rFonts w:eastAsia="Times New Roman" w:cs="Times New Roman"/>
          <w:szCs w:val="24"/>
        </w:rPr>
      </w:pPr>
      <w:r w:rsidRPr="00AA4677">
        <w:rPr>
          <w:rFonts w:eastAsia="Times New Roman" w:cs="Times New Roman"/>
          <w:szCs w:val="24"/>
        </w:rPr>
        <w:t>S</w:t>
      </w:r>
      <w:r w:rsidR="00FC174E" w:rsidRPr="00AA4677">
        <w:rPr>
          <w:rFonts w:eastAsia="Times New Roman" w:cs="Times New Roman"/>
          <w:szCs w:val="24"/>
        </w:rPr>
        <w:t xml:space="preserve">tudy of the possible causes, effects, and processes of incarceration, and of criminal behavior, provided that the study presents no more than minimal risk and no more than inconvenience to the </w:t>
      </w:r>
      <w:proofErr w:type="gramStart"/>
      <w:r w:rsidR="00FC174E" w:rsidRPr="00AA4677">
        <w:rPr>
          <w:rFonts w:eastAsia="Times New Roman" w:cs="Times New Roman"/>
          <w:szCs w:val="24"/>
        </w:rPr>
        <w:t>subjects;</w:t>
      </w:r>
      <w:proofErr w:type="gramEnd"/>
    </w:p>
    <w:p w14:paraId="22CF05C8" w14:textId="05296FA9" w:rsidR="00FC174E" w:rsidRPr="00AA4677" w:rsidRDefault="001A7DB0">
      <w:pPr>
        <w:numPr>
          <w:ilvl w:val="0"/>
          <w:numId w:val="271"/>
        </w:numPr>
        <w:shd w:val="clear" w:color="auto" w:fill="FFFFFF"/>
        <w:spacing w:after="0" w:line="240" w:lineRule="auto"/>
        <w:rPr>
          <w:rFonts w:eastAsia="Times New Roman" w:cs="Times New Roman"/>
          <w:szCs w:val="24"/>
        </w:rPr>
      </w:pPr>
      <w:r w:rsidRPr="00AA4677">
        <w:rPr>
          <w:rFonts w:eastAsia="Times New Roman" w:cs="Times New Roman"/>
          <w:szCs w:val="24"/>
        </w:rPr>
        <w:t>S</w:t>
      </w:r>
      <w:r w:rsidR="00FC174E" w:rsidRPr="00AA4677">
        <w:rPr>
          <w:rFonts w:eastAsia="Times New Roman" w:cs="Times New Roman"/>
          <w:szCs w:val="24"/>
        </w:rPr>
        <w:t xml:space="preserve">tudy of prisons as institutional structures or of prisoners as incarcerated persons, provided that the study presents no more than minimal risk and no more than inconvenience to the </w:t>
      </w:r>
      <w:proofErr w:type="gramStart"/>
      <w:r w:rsidR="00FC174E" w:rsidRPr="00AA4677">
        <w:rPr>
          <w:rFonts w:eastAsia="Times New Roman" w:cs="Times New Roman"/>
          <w:szCs w:val="24"/>
        </w:rPr>
        <w:t>subjects;</w:t>
      </w:r>
      <w:proofErr w:type="gramEnd"/>
    </w:p>
    <w:p w14:paraId="7B1D8EA9" w14:textId="72F6771D" w:rsidR="00FC174E" w:rsidRPr="00AA4677" w:rsidRDefault="001A7DB0">
      <w:pPr>
        <w:numPr>
          <w:ilvl w:val="0"/>
          <w:numId w:val="271"/>
        </w:numPr>
        <w:shd w:val="clear" w:color="auto" w:fill="FFFFFF"/>
        <w:spacing w:after="0" w:line="240" w:lineRule="auto"/>
        <w:rPr>
          <w:rFonts w:eastAsia="Times New Roman" w:cs="Times New Roman"/>
          <w:szCs w:val="24"/>
        </w:rPr>
      </w:pPr>
      <w:r w:rsidRPr="00AA4677">
        <w:rPr>
          <w:rFonts w:eastAsia="Times New Roman" w:cs="Times New Roman"/>
          <w:szCs w:val="24"/>
        </w:rPr>
        <w:t>R</w:t>
      </w:r>
      <w:r w:rsidR="00FC174E" w:rsidRPr="00AA4677">
        <w:rPr>
          <w:rFonts w:eastAsia="Times New Roman" w:cs="Times New Roman"/>
          <w:szCs w:val="24"/>
        </w:rPr>
        <w:t>esearch on conditions particularly affecting prisoners as a class (for example, research on social and psychological problems such as alcoholism, drug addiction, and sexual assaults);</w:t>
      </w:r>
      <w:r w:rsidRPr="00AA4677">
        <w:rPr>
          <w:rFonts w:eastAsia="Times New Roman" w:cs="Times New Roman"/>
          <w:szCs w:val="24"/>
        </w:rPr>
        <w:t xml:space="preserve"> or </w:t>
      </w:r>
    </w:p>
    <w:p w14:paraId="37F6F4C3" w14:textId="7EE3CE0A" w:rsidR="00FC174E" w:rsidRPr="00AA4677" w:rsidRDefault="001A7DB0">
      <w:pPr>
        <w:numPr>
          <w:ilvl w:val="0"/>
          <w:numId w:val="271"/>
        </w:numPr>
        <w:shd w:val="clear" w:color="auto" w:fill="FFFFFF"/>
        <w:spacing w:after="0" w:line="240" w:lineRule="auto"/>
        <w:rPr>
          <w:rFonts w:eastAsia="Times New Roman" w:cs="Times New Roman"/>
          <w:szCs w:val="24"/>
        </w:rPr>
      </w:pPr>
      <w:r w:rsidRPr="00AA4677">
        <w:rPr>
          <w:rFonts w:eastAsia="Times New Roman" w:cs="Times New Roman"/>
          <w:szCs w:val="24"/>
        </w:rPr>
        <w:t>R</w:t>
      </w:r>
      <w:r w:rsidR="00FC174E" w:rsidRPr="00AA4677">
        <w:rPr>
          <w:rFonts w:eastAsia="Times New Roman" w:cs="Times New Roman"/>
          <w:szCs w:val="24"/>
        </w:rPr>
        <w:t>esearch on practices, both innovative and accepted</w:t>
      </w:r>
      <w:proofErr w:type="gramStart"/>
      <w:r w:rsidR="00FC174E" w:rsidRPr="00AA4677">
        <w:rPr>
          <w:rFonts w:eastAsia="Times New Roman" w:cs="Times New Roman"/>
          <w:szCs w:val="24"/>
        </w:rPr>
        <w:t>, which</w:t>
      </w:r>
      <w:proofErr w:type="gramEnd"/>
      <w:r w:rsidR="00FC174E" w:rsidRPr="00AA4677">
        <w:rPr>
          <w:rFonts w:eastAsia="Times New Roman" w:cs="Times New Roman"/>
          <w:szCs w:val="24"/>
        </w:rPr>
        <w:t xml:space="preserve"> have the intent and reasonable probability of improving the health or well-being of the subject.</w:t>
      </w:r>
    </w:p>
    <w:p w14:paraId="1818B0FD" w14:textId="6D005A7E" w:rsidR="00FC174E" w:rsidRPr="00AA4677" w:rsidRDefault="001A7DB0" w:rsidP="00C129F1">
      <w:pPr>
        <w:numPr>
          <w:ilvl w:val="0"/>
          <w:numId w:val="32"/>
        </w:numPr>
        <w:shd w:val="clear" w:color="auto" w:fill="FFFFFF"/>
        <w:tabs>
          <w:tab w:val="num" w:pos="720"/>
        </w:tabs>
        <w:spacing w:after="0" w:line="240" w:lineRule="auto"/>
        <w:rPr>
          <w:rFonts w:eastAsia="Times New Roman" w:cs="Times New Roman"/>
          <w:szCs w:val="24"/>
        </w:rPr>
      </w:pPr>
      <w:r w:rsidRPr="00AA4677">
        <w:rPr>
          <w:rFonts w:eastAsia="Times New Roman" w:cs="Times New Roman"/>
          <w:szCs w:val="24"/>
        </w:rPr>
        <w:t>A</w:t>
      </w:r>
      <w:r w:rsidR="00FC174E" w:rsidRPr="00AA4677">
        <w:rPr>
          <w:rFonts w:eastAsia="Times New Roman" w:cs="Times New Roman"/>
          <w:szCs w:val="24"/>
        </w:rPr>
        <w:t>ny possible advantages accruing to the prisoner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p w14:paraId="064A8CB7" w14:textId="2F41AB6E" w:rsidR="00FC174E" w:rsidRPr="00AA4677" w:rsidRDefault="001A7DB0" w:rsidP="00C129F1">
      <w:pPr>
        <w:numPr>
          <w:ilvl w:val="0"/>
          <w:numId w:val="32"/>
        </w:numPr>
        <w:shd w:val="clear" w:color="auto" w:fill="FFFFFF"/>
        <w:tabs>
          <w:tab w:val="num" w:pos="720"/>
        </w:tabs>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risks involved in the research are commensurate with risks that would be accepted by non-prisoner </w:t>
      </w:r>
      <w:proofErr w:type="gramStart"/>
      <w:r w:rsidR="00FC174E" w:rsidRPr="00AA4677">
        <w:rPr>
          <w:rFonts w:eastAsia="Times New Roman" w:cs="Times New Roman"/>
          <w:szCs w:val="24"/>
        </w:rPr>
        <w:t>volunteers;</w:t>
      </w:r>
      <w:proofErr w:type="gramEnd"/>
    </w:p>
    <w:p w14:paraId="750501CC" w14:textId="14DAD616" w:rsidR="00FC174E" w:rsidRPr="00AA4677" w:rsidRDefault="001A7DB0" w:rsidP="00C129F1">
      <w:pPr>
        <w:numPr>
          <w:ilvl w:val="0"/>
          <w:numId w:val="32"/>
        </w:numPr>
        <w:shd w:val="clear" w:color="auto" w:fill="FFFFFF"/>
        <w:tabs>
          <w:tab w:val="num" w:pos="720"/>
        </w:tabs>
        <w:spacing w:before="100" w:beforeAutospacing="1" w:after="100" w:afterAutospacing="1" w:line="240" w:lineRule="auto"/>
        <w:rPr>
          <w:rFonts w:eastAsia="Times New Roman" w:cs="Times New Roman"/>
          <w:szCs w:val="24"/>
        </w:rPr>
      </w:pPr>
      <w:r w:rsidRPr="00AA4677">
        <w:rPr>
          <w:rFonts w:eastAsia="Times New Roman" w:cs="Times New Roman"/>
          <w:szCs w:val="24"/>
        </w:rPr>
        <w:t>P</w:t>
      </w:r>
      <w:r w:rsidR="00FC174E" w:rsidRPr="00AA4677">
        <w:rPr>
          <w:rFonts w:eastAsia="Times New Roman" w:cs="Times New Roman"/>
          <w:szCs w:val="24"/>
        </w:rPr>
        <w:t xml:space="preserve">rocedures for the selection of subjects within the prison are fair to all prisoners and immune from arbitrary intervention by prison authorities or prisoners. Unless the principal investigator </w:t>
      </w:r>
      <w:proofErr w:type="gramStart"/>
      <w:r w:rsidR="00FC174E" w:rsidRPr="00AA4677">
        <w:rPr>
          <w:rFonts w:eastAsia="Times New Roman" w:cs="Times New Roman"/>
          <w:szCs w:val="24"/>
        </w:rPr>
        <w:t>provides to</w:t>
      </w:r>
      <w:proofErr w:type="gramEnd"/>
      <w:r w:rsidR="00FC174E" w:rsidRPr="00AA4677">
        <w:rPr>
          <w:rFonts w:eastAsia="Times New Roman" w:cs="Times New Roman"/>
          <w:szCs w:val="24"/>
        </w:rPr>
        <w:t xml:space="preserve"> </w:t>
      </w: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justification in writing for following some other procedures, control subjects must be selected randomly from the group of available prisoners who meet the characteristics needed for that </w:t>
      </w:r>
      <w:proofErr w:type="gramStart"/>
      <w:r w:rsidR="00FC174E" w:rsidRPr="00AA4677">
        <w:rPr>
          <w:rFonts w:eastAsia="Times New Roman" w:cs="Times New Roman"/>
          <w:szCs w:val="24"/>
        </w:rPr>
        <w:t>particular research</w:t>
      </w:r>
      <w:proofErr w:type="gramEnd"/>
      <w:r w:rsidR="00FC174E" w:rsidRPr="00AA4677">
        <w:rPr>
          <w:rFonts w:eastAsia="Times New Roman" w:cs="Times New Roman"/>
          <w:szCs w:val="24"/>
        </w:rPr>
        <w:t xml:space="preserve"> </w:t>
      </w:r>
      <w:proofErr w:type="gramStart"/>
      <w:r w:rsidR="00FC174E" w:rsidRPr="00AA4677">
        <w:rPr>
          <w:rFonts w:eastAsia="Times New Roman" w:cs="Times New Roman"/>
          <w:szCs w:val="24"/>
        </w:rPr>
        <w:t>project;</w:t>
      </w:r>
      <w:proofErr w:type="gramEnd"/>
    </w:p>
    <w:p w14:paraId="5C22ED96" w14:textId="3B6453BD" w:rsidR="00FC174E" w:rsidRPr="00AA4677" w:rsidRDefault="001A7DB0" w:rsidP="00C129F1">
      <w:pPr>
        <w:numPr>
          <w:ilvl w:val="0"/>
          <w:numId w:val="32"/>
        </w:numPr>
        <w:shd w:val="clear" w:color="auto" w:fill="FFFFFF"/>
        <w:tabs>
          <w:tab w:val="num" w:pos="720"/>
        </w:tabs>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information is presented in language which is understandable to the subject </w:t>
      </w:r>
      <w:proofErr w:type="gramStart"/>
      <w:r w:rsidR="00FC174E" w:rsidRPr="00AA4677">
        <w:rPr>
          <w:rFonts w:eastAsia="Times New Roman" w:cs="Times New Roman"/>
          <w:szCs w:val="24"/>
        </w:rPr>
        <w:t>population;</w:t>
      </w:r>
      <w:proofErr w:type="gramEnd"/>
    </w:p>
    <w:p w14:paraId="430184B5" w14:textId="35D7251B" w:rsidR="00FC174E" w:rsidRPr="00AA4677" w:rsidRDefault="001A7DB0" w:rsidP="00C129F1">
      <w:pPr>
        <w:numPr>
          <w:ilvl w:val="0"/>
          <w:numId w:val="32"/>
        </w:numPr>
        <w:shd w:val="clear" w:color="auto" w:fill="FFFFFF"/>
        <w:tabs>
          <w:tab w:val="num" w:pos="720"/>
        </w:tabs>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A</w:t>
      </w:r>
      <w:r w:rsidR="00FC174E" w:rsidRPr="00AA4677">
        <w:rPr>
          <w:rFonts w:eastAsia="Times New Roman" w:cs="Times New Roman"/>
          <w:szCs w:val="24"/>
        </w:rPr>
        <w:t xml:space="preserve">dequate assurance exists that parole Board will not </w:t>
      </w:r>
      <w:proofErr w:type="gramStart"/>
      <w:r w:rsidR="00FC174E" w:rsidRPr="00AA4677">
        <w:rPr>
          <w:rFonts w:eastAsia="Times New Roman" w:cs="Times New Roman"/>
          <w:szCs w:val="24"/>
        </w:rPr>
        <w:t>take into account</w:t>
      </w:r>
      <w:proofErr w:type="gramEnd"/>
      <w:r w:rsidR="00FC174E" w:rsidRPr="00AA4677">
        <w:rPr>
          <w:rFonts w:eastAsia="Times New Roman" w:cs="Times New Roman"/>
          <w:szCs w:val="24"/>
        </w:rPr>
        <w:t xml:space="preserve"> a prisoner's participation in the research in making decisions regarding parole, and each prisoner is clearly informed in advance that participation in the research will have no effect on his or her parole; and</w:t>
      </w:r>
    </w:p>
    <w:p w14:paraId="2C4CFF34" w14:textId="2A53BD8B" w:rsidR="00FC174E" w:rsidRPr="00AA4677" w:rsidRDefault="001A7DB0" w:rsidP="00C129F1">
      <w:pPr>
        <w:numPr>
          <w:ilvl w:val="0"/>
          <w:numId w:val="32"/>
        </w:numPr>
        <w:shd w:val="clear" w:color="auto" w:fill="FFFFFF"/>
        <w:tabs>
          <w:tab w:val="num" w:pos="720"/>
        </w:tabs>
        <w:spacing w:before="100" w:beforeAutospacing="1" w:after="100" w:afterAutospacing="1" w:line="240" w:lineRule="auto"/>
        <w:rPr>
          <w:rFonts w:eastAsia="Times New Roman" w:cs="Times New Roman"/>
          <w:szCs w:val="24"/>
        </w:rPr>
      </w:pPr>
      <w:r w:rsidRPr="00AA4677">
        <w:rPr>
          <w:rFonts w:eastAsia="Times New Roman" w:cs="Times New Roman"/>
          <w:szCs w:val="24"/>
        </w:rPr>
        <w:t>W</w:t>
      </w:r>
      <w:r w:rsidR="00FC174E" w:rsidRPr="00AA4677">
        <w:rPr>
          <w:rFonts w:eastAsia="Times New Roman" w:cs="Times New Roman"/>
          <w:szCs w:val="24"/>
        </w:rPr>
        <w:t xml:space="preserve">here </w:t>
      </w: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finds there may be a need for follow-up examination or care of subjects after the end of their participation, adequate provision has been made for such examination or care, </w:t>
      </w:r>
      <w:proofErr w:type="gramStart"/>
      <w:r w:rsidR="00FC174E" w:rsidRPr="00AA4677">
        <w:rPr>
          <w:rFonts w:eastAsia="Times New Roman" w:cs="Times New Roman"/>
          <w:szCs w:val="24"/>
        </w:rPr>
        <w:t>taking into account</w:t>
      </w:r>
      <w:proofErr w:type="gramEnd"/>
      <w:r w:rsidR="00FC174E" w:rsidRPr="00AA4677">
        <w:rPr>
          <w:rFonts w:eastAsia="Times New Roman" w:cs="Times New Roman"/>
          <w:szCs w:val="24"/>
        </w:rPr>
        <w:t xml:space="preserve"> the varying lengths of individual prisoners' sentences, and for informing subjects of this fact.</w:t>
      </w:r>
    </w:p>
    <w:p w14:paraId="20E73380" w14:textId="0BBA5671" w:rsidR="00FC174E" w:rsidRPr="00AA4677" w:rsidRDefault="00055CCD" w:rsidP="00C57C98">
      <w:pPr>
        <w:pStyle w:val="Heading3"/>
      </w:pPr>
      <w:r w:rsidRPr="00AA4677">
        <w:t>6.7.7 </w:t>
      </w:r>
      <w:r w:rsidR="00FC174E" w:rsidRPr="00AA4677">
        <w:t xml:space="preserve">Certification to </w:t>
      </w:r>
      <w:r w:rsidR="00632D4B" w:rsidRPr="00AA4677">
        <w:t>D</w:t>
      </w:r>
      <w:r w:rsidR="00FC174E" w:rsidRPr="00AA4677">
        <w:t>HHS</w:t>
      </w:r>
      <w:r w:rsidR="00632D4B" w:rsidRPr="00AA4677">
        <w:t xml:space="preserve"> (applies only to research conducted or supported by DHHS)</w:t>
      </w:r>
    </w:p>
    <w:p w14:paraId="60AF8586" w14:textId="1539961E"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Under 45 CFR 46.305(c), the institution responsible for conducting research involving prisoners that is supported by HHS shall certify to the Secretary (through OHRP) that the</w:t>
      </w:r>
      <w:r w:rsidR="008716A8"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has made the seven findings required under 45 CFR 46.305(a).  For all HHS conducted or supported research </w:t>
      </w:r>
      <w:r w:rsidR="008716A8" w:rsidRPr="00AA4677">
        <w:rPr>
          <w:rFonts w:eastAsia="Times New Roman" w:cs="Times New Roman"/>
          <w:szCs w:val="24"/>
        </w:rPr>
        <w:t xml:space="preserve">the University </w:t>
      </w:r>
      <w:r w:rsidRPr="00AA4677">
        <w:rPr>
          <w:rFonts w:eastAsia="Times New Roman" w:cs="Times New Roman"/>
          <w:szCs w:val="24"/>
        </w:rPr>
        <w:t>will send to OHRP a certification letter to this effect, which will also include the name and address of the institution and specifically identify the research protocol in question and any relevant HHS grant application or protocol.  HHS conducted or supported research involving prisoners as subjects may not proceed until OHRP issue</w:t>
      </w:r>
      <w:r w:rsidR="008716A8" w:rsidRPr="00AA4677">
        <w:rPr>
          <w:rFonts w:eastAsia="Times New Roman" w:cs="Times New Roman"/>
          <w:szCs w:val="24"/>
        </w:rPr>
        <w:t>s its approval in writing to the University</w:t>
      </w:r>
      <w:r w:rsidRPr="00AA4677">
        <w:rPr>
          <w:rFonts w:eastAsia="Times New Roman" w:cs="Times New Roman"/>
          <w:szCs w:val="24"/>
        </w:rPr>
        <w:t xml:space="preserve"> on behalf of the Secretary under 45 CFR 46.306(a)(2).</w:t>
      </w:r>
      <w:r w:rsidR="004C66BA" w:rsidRPr="00AA4677">
        <w:rPr>
          <w:rFonts w:eastAsia="Times New Roman" w:cs="Times New Roman"/>
          <w:szCs w:val="24"/>
        </w:rPr>
        <w:t xml:space="preserve"> </w:t>
      </w:r>
      <w:r w:rsidR="00C90428" w:rsidRPr="00AA4677">
        <w:rPr>
          <w:rFonts w:eastAsia="Times New Roman" w:cs="Times New Roman"/>
          <w:szCs w:val="24"/>
        </w:rPr>
        <w:t>The I</w:t>
      </w:r>
      <w:r w:rsidR="004C66BA" w:rsidRPr="00AA4677">
        <w:rPr>
          <w:rFonts w:eastAsia="Times New Roman" w:cs="Times New Roman"/>
          <w:szCs w:val="24"/>
        </w:rPr>
        <w:t>nstitutional Official will be the individual who will certify that the duties of the IRB have been fulfilled.</w:t>
      </w:r>
    </w:p>
    <w:p w14:paraId="48A23F38" w14:textId="05B34D5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Under its authority at 45 CFR 46.115(b), OHRP requires that the institution responsible for the conduct of the proposed research also </w:t>
      </w:r>
      <w:proofErr w:type="gramStart"/>
      <w:r w:rsidRPr="00AA4677">
        <w:rPr>
          <w:rFonts w:eastAsia="Times New Roman" w:cs="Times New Roman"/>
          <w:szCs w:val="24"/>
        </w:rPr>
        <w:t>submit</w:t>
      </w:r>
      <w:proofErr w:type="gramEnd"/>
      <w:r w:rsidRPr="00AA4677">
        <w:rPr>
          <w:rFonts w:eastAsia="Times New Roman" w:cs="Times New Roman"/>
          <w:szCs w:val="24"/>
        </w:rPr>
        <w:t xml:space="preserve"> to OHRP a copy of the research proposal so that OHRP can determine whether the proposed research involves one of the categories of research permissible under 45 CFR 46.306(a)(2), and if so, which one.  The term "research proposal" includes the </w:t>
      </w:r>
      <w:r w:rsidR="00EE7207" w:rsidRPr="00AA4677">
        <w:rPr>
          <w:rFonts w:eastAsia="Times New Roman" w:cs="Times New Roman"/>
          <w:szCs w:val="24"/>
        </w:rPr>
        <w:t>IRB</w:t>
      </w:r>
      <w:r w:rsidR="008716A8" w:rsidRPr="00AA4677">
        <w:rPr>
          <w:rFonts w:eastAsia="Times New Roman" w:cs="Times New Roman"/>
          <w:szCs w:val="24"/>
        </w:rPr>
        <w:t xml:space="preserve"> </w:t>
      </w:r>
      <w:r w:rsidRPr="00AA4677">
        <w:rPr>
          <w:rFonts w:eastAsia="Times New Roman" w:cs="Times New Roman"/>
          <w:szCs w:val="24"/>
        </w:rPr>
        <w:t xml:space="preserve">approved protocol, any relevant HHS grant application or proposal, any </w:t>
      </w:r>
      <w:r w:rsidR="00EE7207" w:rsidRPr="00AA4677">
        <w:rPr>
          <w:rFonts w:eastAsia="Times New Roman" w:cs="Times New Roman"/>
          <w:szCs w:val="24"/>
        </w:rPr>
        <w:t>IRB</w:t>
      </w:r>
      <w:r w:rsidRPr="00AA4677">
        <w:rPr>
          <w:rFonts w:eastAsia="Times New Roman" w:cs="Times New Roman"/>
          <w:szCs w:val="24"/>
        </w:rPr>
        <w:t xml:space="preserve"> application forms required by the</w:t>
      </w:r>
      <w:r w:rsidR="008716A8"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and any other information requested or required by the </w:t>
      </w:r>
      <w:r w:rsidR="00EE7207" w:rsidRPr="00AA4677">
        <w:rPr>
          <w:rFonts w:eastAsia="Times New Roman" w:cs="Times New Roman"/>
          <w:szCs w:val="24"/>
        </w:rPr>
        <w:t>IRB</w:t>
      </w:r>
      <w:r w:rsidRPr="00AA4677">
        <w:rPr>
          <w:rFonts w:eastAsia="Times New Roman" w:cs="Times New Roman"/>
          <w:szCs w:val="24"/>
        </w:rPr>
        <w:t xml:space="preserve"> to be considered during initial</w:t>
      </w:r>
      <w:r w:rsidR="008716A8"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review.</w:t>
      </w:r>
    </w:p>
    <w:p w14:paraId="1DA8349C" w14:textId="125938C6" w:rsidR="00080D0D" w:rsidRPr="00AA4677" w:rsidRDefault="00080D0D" w:rsidP="00080D0D">
      <w:pPr>
        <w:pStyle w:val="Bullet3"/>
        <w:numPr>
          <w:ilvl w:val="0"/>
          <w:numId w:val="0"/>
        </w:numPr>
        <w:tabs>
          <w:tab w:val="clear" w:pos="1800"/>
        </w:tabs>
        <w:rPr>
          <w:rFonts w:asciiTheme="minorHAnsi" w:hAnsiTheme="minorHAnsi" w:cstheme="minorHAnsi"/>
        </w:rPr>
      </w:pPr>
      <w:r w:rsidRPr="00AA4677">
        <w:rPr>
          <w:rFonts w:asciiTheme="minorHAnsi" w:hAnsiTheme="minorHAnsi" w:cstheme="minorHAnsi"/>
        </w:rPr>
        <w:t>For DHHS-</w:t>
      </w:r>
      <w:r w:rsidR="00460E2C" w:rsidRPr="00AA4677">
        <w:rPr>
          <w:rFonts w:asciiTheme="minorHAnsi" w:hAnsiTheme="minorHAnsi" w:cstheme="minorHAnsi"/>
        </w:rPr>
        <w:t>funded research, OHRP has</w:t>
      </w:r>
      <w:r w:rsidRPr="00AA4677">
        <w:rPr>
          <w:rFonts w:asciiTheme="minorHAnsi" w:hAnsiTheme="minorHAnsi" w:cstheme="minorHAnsi"/>
        </w:rPr>
        <w:t xml:space="preserve"> consulted with appropriate experts including experts in penology, medicine, and ethics, and published notice, in the Federal Register, of its intent to approve such research.</w:t>
      </w:r>
    </w:p>
    <w:p w14:paraId="407799F5" w14:textId="77777777" w:rsidR="00080D0D" w:rsidRPr="00AA4677" w:rsidRDefault="00080D0D" w:rsidP="00080D0D">
      <w:pPr>
        <w:pStyle w:val="Bullet3"/>
        <w:numPr>
          <w:ilvl w:val="0"/>
          <w:numId w:val="0"/>
        </w:numPr>
        <w:tabs>
          <w:tab w:val="clear" w:pos="1800"/>
        </w:tabs>
        <w:rPr>
          <w:rFonts w:asciiTheme="minorHAnsi" w:hAnsiTheme="minorHAnsi" w:cstheme="minorHAnsi"/>
        </w:rPr>
      </w:pPr>
    </w:p>
    <w:p w14:paraId="4AAAFAF1" w14:textId="1F29F823" w:rsidR="00080D0D" w:rsidRPr="00AA4677" w:rsidRDefault="00080D0D" w:rsidP="00080D0D">
      <w:pPr>
        <w:pStyle w:val="Bullet3"/>
        <w:numPr>
          <w:ilvl w:val="0"/>
          <w:numId w:val="0"/>
        </w:numPr>
        <w:tabs>
          <w:tab w:val="clear" w:pos="1800"/>
        </w:tabs>
        <w:rPr>
          <w:rFonts w:asciiTheme="minorHAnsi" w:hAnsiTheme="minorHAnsi" w:cstheme="minorHAnsi"/>
        </w:rPr>
      </w:pPr>
      <w:r w:rsidRPr="00AA4677">
        <w:rPr>
          <w:rFonts w:asciiTheme="minorHAnsi" w:hAnsiTheme="minorHAnsi" w:cstheme="minorHAnsi"/>
        </w:rPr>
        <w:t>For DHHS-funded research which require the assignment of prisoners in a manner consistent with protocols approved by the IRB to control groups which may not benefit from the research, the study may proceed only after OHRP has consulted with appropriate experts, including experts in penology, medicine, and ethics, and published notice, in the Federal Register, of its intent to approve such research.</w:t>
      </w:r>
    </w:p>
    <w:p w14:paraId="3FEA60DE" w14:textId="3D257571" w:rsidR="00055CCD" w:rsidRPr="00AA4677" w:rsidRDefault="00FC174E" w:rsidP="008B0347">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The above requirement does not apply to research that is </w:t>
      </w:r>
      <w:r w:rsidR="008B0347" w:rsidRPr="00AA4677">
        <w:rPr>
          <w:rFonts w:eastAsia="Times New Roman" w:cs="Times New Roman"/>
          <w:szCs w:val="24"/>
        </w:rPr>
        <w:t>not HHS conducted or supported.</w:t>
      </w:r>
    </w:p>
    <w:p w14:paraId="6A3EF5BC" w14:textId="0C21C4B3" w:rsidR="00FC174E" w:rsidRPr="00AA4677" w:rsidRDefault="00FC174E" w:rsidP="00C57C98">
      <w:pPr>
        <w:pStyle w:val="Heading3"/>
      </w:pPr>
      <w:r w:rsidRPr="00AA4677">
        <w:t>6.7.8 Waiver for Epidemiology Research</w:t>
      </w:r>
    </w:p>
    <w:p w14:paraId="0C662064" w14:textId="77777777" w:rsidR="00FC174E" w:rsidRPr="00AA4677" w:rsidRDefault="00FC174E" w:rsidP="008716A8">
      <w:pPr>
        <w:shd w:val="clear" w:color="auto" w:fill="FFFFFF"/>
        <w:spacing w:after="0" w:line="240" w:lineRule="auto"/>
        <w:rPr>
          <w:rFonts w:eastAsia="Times New Roman" w:cs="Times New Roman"/>
          <w:szCs w:val="24"/>
        </w:rPr>
      </w:pPr>
      <w:r w:rsidRPr="00AA4677">
        <w:rPr>
          <w:rFonts w:eastAsia="Times New Roman" w:cs="Times New Roman"/>
          <w:szCs w:val="24"/>
        </w:rPr>
        <w:t>The Secretary of DHHS has waived the applicability of 45 CFR 46.305(a)(l) and 46.306(a)(2) for certain research conducted or supported by DHHS that involves epidemiologic studies that meet the following criteria:</w:t>
      </w:r>
    </w:p>
    <w:p w14:paraId="44F54FCE" w14:textId="3C4F9E5F" w:rsidR="00FC174E" w:rsidRPr="00AA4677" w:rsidRDefault="00FC174E" w:rsidP="00C129F1">
      <w:pPr>
        <w:numPr>
          <w:ilvl w:val="0"/>
          <w:numId w:val="33"/>
        </w:numPr>
        <w:shd w:val="clear" w:color="auto" w:fill="FFFFFF"/>
        <w:spacing w:after="0" w:line="240" w:lineRule="auto"/>
        <w:rPr>
          <w:rFonts w:eastAsia="Times New Roman" w:cs="Times New Roman"/>
          <w:szCs w:val="24"/>
        </w:rPr>
      </w:pPr>
      <w:r w:rsidRPr="00AA4677">
        <w:rPr>
          <w:rFonts w:eastAsia="Times New Roman" w:cs="Times New Roman"/>
          <w:szCs w:val="24"/>
        </w:rPr>
        <w:t>In which the sole purposes are</w:t>
      </w:r>
      <w:r w:rsidR="008716A8" w:rsidRPr="00AA4677">
        <w:rPr>
          <w:rFonts w:eastAsia="Times New Roman" w:cs="Times New Roman"/>
          <w:szCs w:val="24"/>
        </w:rPr>
        <w:t>:</w:t>
      </w:r>
    </w:p>
    <w:p w14:paraId="12036383" w14:textId="77777777" w:rsidR="00FC174E" w:rsidRPr="00AA4677" w:rsidRDefault="00FC174E">
      <w:pPr>
        <w:numPr>
          <w:ilvl w:val="0"/>
          <w:numId w:val="269"/>
        </w:numPr>
        <w:shd w:val="clear" w:color="auto" w:fill="FFFFFF"/>
        <w:spacing w:after="0" w:line="240" w:lineRule="auto"/>
        <w:rPr>
          <w:rFonts w:eastAsia="Times New Roman" w:cs="Times New Roman"/>
          <w:szCs w:val="24"/>
        </w:rPr>
      </w:pPr>
      <w:r w:rsidRPr="00AA4677">
        <w:rPr>
          <w:rFonts w:eastAsia="Times New Roman" w:cs="Times New Roman"/>
          <w:szCs w:val="24"/>
        </w:rPr>
        <w:t>To describe the prevalence or incidence of a disease by identifying all cases, or</w:t>
      </w:r>
    </w:p>
    <w:p w14:paraId="270D4B9E" w14:textId="77777777" w:rsidR="00FC174E" w:rsidRPr="00AA4677" w:rsidRDefault="00FC174E">
      <w:pPr>
        <w:numPr>
          <w:ilvl w:val="0"/>
          <w:numId w:val="269"/>
        </w:numPr>
        <w:shd w:val="clear" w:color="auto" w:fill="FFFFFF"/>
        <w:spacing w:after="0" w:line="240" w:lineRule="auto"/>
        <w:rPr>
          <w:rFonts w:eastAsia="Times New Roman" w:cs="Times New Roman"/>
          <w:szCs w:val="24"/>
        </w:rPr>
      </w:pPr>
      <w:r w:rsidRPr="00AA4677">
        <w:rPr>
          <w:rFonts w:eastAsia="Times New Roman" w:cs="Times New Roman"/>
          <w:szCs w:val="24"/>
        </w:rPr>
        <w:t>To study potential risk factor associations for a disease, and</w:t>
      </w:r>
    </w:p>
    <w:p w14:paraId="441ABAA0" w14:textId="7B4F5F85" w:rsidR="00FC174E" w:rsidRPr="00AA4677" w:rsidRDefault="008716A8" w:rsidP="00C129F1">
      <w:pPr>
        <w:numPr>
          <w:ilvl w:val="0"/>
          <w:numId w:val="33"/>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Where the </w:t>
      </w:r>
      <w:r w:rsidR="00EE7207" w:rsidRPr="00AA4677">
        <w:rPr>
          <w:rFonts w:eastAsia="Times New Roman" w:cs="Times New Roman"/>
          <w:szCs w:val="24"/>
        </w:rPr>
        <w:t>IRB</w:t>
      </w:r>
      <w:r w:rsidR="00FC174E" w:rsidRPr="00AA4677">
        <w:rPr>
          <w:rFonts w:eastAsia="Times New Roman" w:cs="Times New Roman"/>
          <w:szCs w:val="24"/>
        </w:rPr>
        <w:t xml:space="preserve"> has approved the research and fulfilled its duties under 45 CFR 46.305(a)(2)–(7) and determined and documented that</w:t>
      </w:r>
      <w:r w:rsidRPr="00AA4677">
        <w:rPr>
          <w:rFonts w:eastAsia="Times New Roman" w:cs="Times New Roman"/>
          <w:szCs w:val="24"/>
        </w:rPr>
        <w:t>:</w:t>
      </w:r>
    </w:p>
    <w:p w14:paraId="507657E0" w14:textId="77777777" w:rsidR="00FC174E" w:rsidRPr="00AA4677" w:rsidRDefault="00FC174E">
      <w:pPr>
        <w:numPr>
          <w:ilvl w:val="0"/>
          <w:numId w:val="270"/>
        </w:numPr>
        <w:shd w:val="clear" w:color="auto" w:fill="FFFFFF"/>
        <w:spacing w:after="0" w:line="240" w:lineRule="auto"/>
        <w:rPr>
          <w:rFonts w:eastAsia="Times New Roman" w:cs="Times New Roman"/>
          <w:szCs w:val="24"/>
        </w:rPr>
      </w:pPr>
      <w:r w:rsidRPr="00AA4677">
        <w:rPr>
          <w:rFonts w:eastAsia="Times New Roman" w:cs="Times New Roman"/>
          <w:szCs w:val="24"/>
        </w:rPr>
        <w:t>The research presents no more than minimal risk and no more than inconvenience to the prisoner-subjects, and</w:t>
      </w:r>
    </w:p>
    <w:p w14:paraId="67161EB7" w14:textId="77777777" w:rsidR="00FC174E" w:rsidRPr="00AA4677" w:rsidRDefault="00FC174E">
      <w:pPr>
        <w:numPr>
          <w:ilvl w:val="0"/>
          <w:numId w:val="270"/>
        </w:numPr>
        <w:shd w:val="clear" w:color="auto" w:fill="FFFFFF"/>
        <w:spacing w:after="0" w:line="240" w:lineRule="auto"/>
        <w:rPr>
          <w:rFonts w:eastAsia="Times New Roman" w:cs="Times New Roman"/>
          <w:szCs w:val="24"/>
        </w:rPr>
      </w:pPr>
      <w:r w:rsidRPr="00AA4677">
        <w:rPr>
          <w:rFonts w:eastAsia="Times New Roman" w:cs="Times New Roman"/>
          <w:szCs w:val="24"/>
        </w:rPr>
        <w:t>Prisoners are not a particular focus of the research.</w:t>
      </w:r>
    </w:p>
    <w:p w14:paraId="56A5335D" w14:textId="5713CD2F" w:rsidR="00FC174E" w:rsidRPr="00AA4677" w:rsidRDefault="00FC174E" w:rsidP="00C129F1">
      <w:pPr>
        <w:numPr>
          <w:ilvl w:val="0"/>
          <w:numId w:val="33"/>
        </w:numPr>
        <w:shd w:val="clear" w:color="auto" w:fill="FFFFFF"/>
        <w:spacing w:after="0" w:line="240" w:lineRule="auto"/>
        <w:rPr>
          <w:rFonts w:eastAsia="Times New Roman" w:cs="Times New Roman"/>
          <w:szCs w:val="24"/>
        </w:rPr>
      </w:pPr>
      <w:r w:rsidRPr="00AA4677">
        <w:rPr>
          <w:rFonts w:eastAsia="Times New Roman" w:cs="Times New Roman"/>
          <w:szCs w:val="24"/>
        </w:rPr>
        <w:t>The specific type of epidemiological research subject to the waiver involves no more than minimal risk and no more than inconvenience to the human subject</w:t>
      </w:r>
      <w:r w:rsidR="00BF7470" w:rsidRPr="00AA4677">
        <w:rPr>
          <w:rFonts w:eastAsia="Times New Roman" w:cs="Times New Roman"/>
          <w:szCs w:val="24"/>
        </w:rPr>
        <w:t>s</w:t>
      </w:r>
      <w:r w:rsidRPr="00AA4677">
        <w:rPr>
          <w:rFonts w:eastAsia="Times New Roman" w:cs="Times New Roman"/>
          <w:szCs w:val="24"/>
        </w:rPr>
        <w:t>. The waiver would allow the conduct of minimal risk research that does not now fall within the categories set out in 45 CFR 46.306(a)(2).</w:t>
      </w:r>
    </w:p>
    <w:p w14:paraId="1AB04B4F" w14:textId="77777777" w:rsidR="00FC174E" w:rsidRPr="00AA4677" w:rsidRDefault="00FC174E" w:rsidP="00C129F1">
      <w:pPr>
        <w:numPr>
          <w:ilvl w:val="0"/>
          <w:numId w:val="3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range of studies to which the waiver would apply includes epidemiological research related to chronic diseases, injuries, and environmental health. This type of research uses epidemiologic methods (such as interviews and collection of biologic specimens) that generally entail no more than minimal risk to the subjects.</w:t>
      </w:r>
    </w:p>
    <w:p w14:paraId="7845C4FA" w14:textId="2F106E13" w:rsidR="00FC174E" w:rsidRPr="00AA4677" w:rsidRDefault="00FC174E" w:rsidP="00C129F1">
      <w:pPr>
        <w:numPr>
          <w:ilvl w:val="0"/>
          <w:numId w:val="33"/>
        </w:num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In order for</w:t>
      </w:r>
      <w:proofErr w:type="gramEnd"/>
      <w:r w:rsidRPr="00AA4677">
        <w:rPr>
          <w:rFonts w:eastAsia="Times New Roman" w:cs="Times New Roman"/>
          <w:szCs w:val="24"/>
        </w:rPr>
        <w:t xml:space="preserve"> a study to be approved under this waiver, </w:t>
      </w:r>
      <w:r w:rsidR="008716A8"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would need to ensure that, among other things, there are adequate provisions to protect the privacy of subjects and to maintain the confidentiality of the data.</w:t>
      </w:r>
    </w:p>
    <w:p w14:paraId="27A29C43" w14:textId="77777777" w:rsidR="00FC174E" w:rsidRPr="00AA4677" w:rsidRDefault="00FC174E" w:rsidP="00696B35">
      <w:pPr>
        <w:pStyle w:val="Heading2"/>
      </w:pPr>
      <w:bookmarkStart w:id="119" w:name="_Toc192678218"/>
      <w:r w:rsidRPr="00AA4677">
        <w:t>6.8 Research Involving Children</w:t>
      </w:r>
      <w:bookmarkEnd w:id="119"/>
    </w:p>
    <w:p w14:paraId="682085DD" w14:textId="3411908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following applies to all research involving children, regardless of funding source.  The requirements in this section are consistent with Subpart D of 45 CFR 46, which applies to DHHS</w:t>
      </w:r>
      <w:r w:rsidR="008716A8" w:rsidRPr="00AA4677">
        <w:rPr>
          <w:rFonts w:eastAsia="Times New Roman" w:cs="Times New Roman"/>
          <w:szCs w:val="24"/>
        </w:rPr>
        <w:t xml:space="preserve"> </w:t>
      </w:r>
      <w:r w:rsidRPr="00AA4677">
        <w:rPr>
          <w:rFonts w:eastAsia="Times New Roman" w:cs="Times New Roman"/>
          <w:szCs w:val="24"/>
        </w:rPr>
        <w:t>funded research and Subpart D of 21 CFR 50, which applies to FDA</w:t>
      </w:r>
      <w:r w:rsidR="008716A8" w:rsidRPr="00AA4677">
        <w:rPr>
          <w:rFonts w:eastAsia="Times New Roman" w:cs="Times New Roman"/>
          <w:szCs w:val="24"/>
        </w:rPr>
        <w:t xml:space="preserve"> </w:t>
      </w:r>
      <w:r w:rsidRPr="00AA4677">
        <w:rPr>
          <w:rFonts w:eastAsia="Times New Roman" w:cs="Times New Roman"/>
          <w:szCs w:val="24"/>
        </w:rPr>
        <w:t>regulated research involving children.</w:t>
      </w:r>
    </w:p>
    <w:p w14:paraId="42BC5E8E" w14:textId="77777777" w:rsidR="00FC174E" w:rsidRPr="00AA4677" w:rsidRDefault="00FC174E" w:rsidP="00C57C98">
      <w:pPr>
        <w:pStyle w:val="Heading3"/>
      </w:pPr>
      <w:r w:rsidRPr="00AA4677">
        <w:t>6.8.1 Allowable Categories</w:t>
      </w:r>
    </w:p>
    <w:p w14:paraId="4F843D4F" w14:textId="5F2E776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Research on children must be reviewed and categorized by </w:t>
      </w:r>
      <w:r w:rsidR="001549D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into one of the following groups</w:t>
      </w:r>
      <w:r w:rsidR="001B1E9D" w:rsidRPr="00AA4677">
        <w:rPr>
          <w:rFonts w:eastAsia="Times New Roman" w:cs="Times New Roman"/>
          <w:szCs w:val="24"/>
        </w:rPr>
        <w:t xml:space="preserve"> (and if there is more than one possible study arm, a component analysis should be done to assess risk for each arm)</w:t>
      </w:r>
      <w:r w:rsidRPr="00AA4677">
        <w:rPr>
          <w:rFonts w:eastAsia="Times New Roman" w:cs="Times New Roman"/>
          <w:szCs w:val="24"/>
        </w:rPr>
        <w:t>:</w:t>
      </w:r>
    </w:p>
    <w:p w14:paraId="01AC96CD" w14:textId="43F3FB83" w:rsidR="009B3D09" w:rsidRPr="00AA4677" w:rsidRDefault="009B3D09" w:rsidP="00E820CF">
      <w:pPr>
        <w:shd w:val="clear" w:color="auto" w:fill="FFFFFF"/>
        <w:spacing w:after="0" w:line="240" w:lineRule="auto"/>
        <w:rPr>
          <w:rFonts w:eastAsia="Times New Roman" w:cs="Times New Roman"/>
          <w:b/>
          <w:szCs w:val="24"/>
        </w:rPr>
      </w:pPr>
      <w:r w:rsidRPr="00AA4677">
        <w:rPr>
          <w:rFonts w:eastAsia="Times New Roman" w:cs="Times New Roman"/>
          <w:b/>
          <w:szCs w:val="24"/>
        </w:rPr>
        <w:lastRenderedPageBreak/>
        <w:t>45 CFR 46.404; OHRP and if applicable, 21 CFR 50.51; FDA</w:t>
      </w:r>
    </w:p>
    <w:p w14:paraId="1F30E3BB" w14:textId="5521E261" w:rsidR="00FC174E" w:rsidRPr="00AA4677" w:rsidRDefault="00FC174E" w:rsidP="00587D8A">
      <w:pPr>
        <w:shd w:val="clear" w:color="auto" w:fill="FFFFFF"/>
        <w:spacing w:after="0" w:line="240" w:lineRule="auto"/>
        <w:rPr>
          <w:rFonts w:eastAsia="Times New Roman" w:cs="Times New Roman"/>
          <w:szCs w:val="24"/>
        </w:rPr>
      </w:pPr>
      <w:r w:rsidRPr="00AA4677">
        <w:rPr>
          <w:rFonts w:eastAsia="Times New Roman" w:cs="Times New Roman"/>
          <w:szCs w:val="24"/>
        </w:rPr>
        <w:t xml:space="preserve">Research </w:t>
      </w:r>
      <w:proofErr w:type="gramStart"/>
      <w:r w:rsidRPr="00AA4677">
        <w:rPr>
          <w:rFonts w:eastAsia="Times New Roman" w:cs="Times New Roman"/>
          <w:szCs w:val="24"/>
        </w:rPr>
        <w:t>not involving</w:t>
      </w:r>
      <w:proofErr w:type="gramEnd"/>
      <w:r w:rsidRPr="00AA4677">
        <w:rPr>
          <w:rFonts w:eastAsia="Times New Roman" w:cs="Times New Roman"/>
          <w:szCs w:val="24"/>
        </w:rPr>
        <w:t xml:space="preserve"> physical or emotional risk greater than that ordinarily encountered in daily life or during the performance of routine physical or psychological examinations or tests (i.e., </w:t>
      </w:r>
      <w:r w:rsidRPr="00AA4677">
        <w:rPr>
          <w:rFonts w:eastAsia="Times New Roman" w:cs="Times New Roman"/>
          <w:b/>
          <w:bCs/>
          <w:szCs w:val="24"/>
        </w:rPr>
        <w:t>minimal risk</w:t>
      </w:r>
      <w:r w:rsidRPr="00AA4677">
        <w:rPr>
          <w:rFonts w:eastAsia="Times New Roman" w:cs="Times New Roman"/>
          <w:szCs w:val="24"/>
        </w:rPr>
        <w:t>).</w:t>
      </w:r>
      <w:r w:rsidR="009B3D09" w:rsidRPr="00AA4677">
        <w:rPr>
          <w:rFonts w:eastAsia="Times New Roman" w:cs="Times New Roman"/>
          <w:szCs w:val="24"/>
        </w:rPr>
        <w:t xml:space="preserve"> </w:t>
      </w:r>
    </w:p>
    <w:p w14:paraId="319D4338" w14:textId="00CBBFFE" w:rsidR="00FC174E" w:rsidRPr="00AA4677" w:rsidRDefault="00FC174E">
      <w:pPr>
        <w:numPr>
          <w:ilvl w:val="0"/>
          <w:numId w:val="96"/>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Adequate provisions are made for soliciting the assent of children and the permission of their parents or guardians as set forth in Section 6.8.2</w:t>
      </w:r>
      <w:r w:rsidR="001549D9" w:rsidRPr="00AA4677">
        <w:rPr>
          <w:rFonts w:eastAsia="Times New Roman" w:cs="Times New Roman"/>
          <w:szCs w:val="24"/>
        </w:rPr>
        <w:t>.</w:t>
      </w:r>
    </w:p>
    <w:p w14:paraId="6C3C7929" w14:textId="27BC19F3" w:rsidR="009B3D09" w:rsidRPr="00AA4677" w:rsidRDefault="009B3D09" w:rsidP="00E820CF">
      <w:pPr>
        <w:shd w:val="clear" w:color="auto" w:fill="FFFFFF"/>
        <w:spacing w:after="0" w:line="240" w:lineRule="auto"/>
        <w:rPr>
          <w:rFonts w:eastAsia="Times New Roman" w:cs="Times New Roman"/>
          <w:b/>
          <w:szCs w:val="24"/>
        </w:rPr>
      </w:pPr>
      <w:r w:rsidRPr="00AA4677">
        <w:rPr>
          <w:rFonts w:eastAsia="Times New Roman" w:cs="Times New Roman"/>
          <w:b/>
          <w:szCs w:val="24"/>
        </w:rPr>
        <w:t>45 CFR 46.405; OHRP, and if applicable 21 CFR 50.52; FDA</w:t>
      </w:r>
    </w:p>
    <w:p w14:paraId="79287D5A" w14:textId="77777777" w:rsidR="00FC174E" w:rsidRPr="00AA4677" w:rsidRDefault="00FC174E" w:rsidP="00587D8A">
      <w:pPr>
        <w:shd w:val="clear" w:color="auto" w:fill="FFFFFF"/>
        <w:spacing w:after="0" w:line="240" w:lineRule="auto"/>
        <w:rPr>
          <w:rFonts w:eastAsia="Times New Roman" w:cs="Times New Roman"/>
          <w:szCs w:val="24"/>
        </w:rPr>
      </w:pPr>
      <w:r w:rsidRPr="00AA4677">
        <w:rPr>
          <w:rFonts w:eastAsia="Times New Roman" w:cs="Times New Roman"/>
          <w:szCs w:val="24"/>
        </w:rPr>
        <w:t>Research involving greater than minimal risk but presenting the prospect of direct benefit to the individual subject.</w:t>
      </w:r>
    </w:p>
    <w:p w14:paraId="215DE6E0" w14:textId="77777777" w:rsidR="00FC174E" w:rsidRPr="00AA4677" w:rsidRDefault="00FC174E">
      <w:pPr>
        <w:numPr>
          <w:ilvl w:val="0"/>
          <w:numId w:val="9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The risk is justified by the anticipated benefit to the </w:t>
      </w:r>
      <w:proofErr w:type="gramStart"/>
      <w:r w:rsidRPr="00AA4677">
        <w:rPr>
          <w:rFonts w:eastAsia="Times New Roman" w:cs="Times New Roman"/>
          <w:szCs w:val="24"/>
        </w:rPr>
        <w:t>subjects;</w:t>
      </w:r>
      <w:proofErr w:type="gramEnd"/>
    </w:p>
    <w:p w14:paraId="2A6ED88C" w14:textId="417EDC13" w:rsidR="00FC174E" w:rsidRPr="00AA4677" w:rsidRDefault="00FC174E">
      <w:pPr>
        <w:numPr>
          <w:ilvl w:val="0"/>
          <w:numId w:val="9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Adequate provisions are made for soliciting the assent of children and the permission of their parents or guardians as set forth in</w:t>
      </w:r>
      <w:r w:rsidR="001549D9" w:rsidRPr="00AA4677">
        <w:rPr>
          <w:rFonts w:eastAsia="Times New Roman" w:cs="Times New Roman"/>
          <w:szCs w:val="24"/>
        </w:rPr>
        <w:t xml:space="preserve"> Section 6.8.2.</w:t>
      </w:r>
    </w:p>
    <w:p w14:paraId="02049A53" w14:textId="5CD1A334" w:rsidR="009B3D09" w:rsidRPr="00AA4677" w:rsidRDefault="009B3D09" w:rsidP="00E820CF">
      <w:pPr>
        <w:shd w:val="clear" w:color="auto" w:fill="FFFFFF"/>
        <w:spacing w:after="0" w:line="240" w:lineRule="auto"/>
        <w:rPr>
          <w:rFonts w:eastAsia="Times New Roman" w:cs="Times New Roman"/>
          <w:b/>
          <w:szCs w:val="24"/>
        </w:rPr>
      </w:pPr>
      <w:r w:rsidRPr="00AA4677">
        <w:rPr>
          <w:rFonts w:eastAsia="Times New Roman" w:cs="Times New Roman"/>
          <w:b/>
          <w:szCs w:val="24"/>
        </w:rPr>
        <w:t>45 CFR 46.406; OHRP and if applicable 21 CFR 50.53; FDA</w:t>
      </w:r>
    </w:p>
    <w:p w14:paraId="79763D09" w14:textId="77777777" w:rsidR="00FC174E" w:rsidRPr="00AA4677" w:rsidRDefault="00FC174E" w:rsidP="00587D8A">
      <w:pPr>
        <w:shd w:val="clear" w:color="auto" w:fill="FFFFFF"/>
        <w:spacing w:after="0" w:line="240" w:lineRule="auto"/>
        <w:rPr>
          <w:rFonts w:eastAsia="Times New Roman" w:cs="Times New Roman"/>
          <w:szCs w:val="24"/>
        </w:rPr>
      </w:pPr>
      <w:r w:rsidRPr="00AA4677">
        <w:rPr>
          <w:rFonts w:eastAsia="Times New Roman" w:cs="Times New Roman"/>
          <w:szCs w:val="24"/>
        </w:rPr>
        <w:t xml:space="preserve">Research involving greater than minimal risk and no reasonable prospect of direct benefit to the individual subject, but likely to yield </w:t>
      </w:r>
      <w:proofErr w:type="gramStart"/>
      <w:r w:rsidRPr="00AA4677">
        <w:rPr>
          <w:rFonts w:eastAsia="Times New Roman" w:cs="Times New Roman"/>
          <w:szCs w:val="24"/>
        </w:rPr>
        <w:t>generalizable</w:t>
      </w:r>
      <w:proofErr w:type="gramEnd"/>
      <w:r w:rsidRPr="00AA4677">
        <w:rPr>
          <w:rFonts w:eastAsia="Times New Roman" w:cs="Times New Roman"/>
          <w:szCs w:val="24"/>
        </w:rPr>
        <w:t xml:space="preserve"> knowledge about the subject's disorder or condition.</w:t>
      </w:r>
    </w:p>
    <w:p w14:paraId="48107BBA" w14:textId="77777777" w:rsidR="00FC174E" w:rsidRPr="00AA4677" w:rsidRDefault="00FC174E">
      <w:pPr>
        <w:numPr>
          <w:ilvl w:val="0"/>
          <w:numId w:val="98"/>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The risk represents a minor increase over minimal </w:t>
      </w:r>
      <w:proofErr w:type="gramStart"/>
      <w:r w:rsidRPr="00AA4677">
        <w:rPr>
          <w:rFonts w:eastAsia="Times New Roman" w:cs="Times New Roman"/>
          <w:szCs w:val="24"/>
        </w:rPr>
        <w:t>risk;</w:t>
      </w:r>
      <w:proofErr w:type="gramEnd"/>
    </w:p>
    <w:p w14:paraId="3B677958" w14:textId="77777777" w:rsidR="00FC174E" w:rsidRPr="00AA4677" w:rsidRDefault="00FC174E">
      <w:pPr>
        <w:numPr>
          <w:ilvl w:val="0"/>
          <w:numId w:val="98"/>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The intervention or procedure presents experiences </w:t>
      </w:r>
      <w:proofErr w:type="gramStart"/>
      <w:r w:rsidRPr="00AA4677">
        <w:rPr>
          <w:rFonts w:eastAsia="Times New Roman" w:cs="Times New Roman"/>
          <w:szCs w:val="24"/>
        </w:rPr>
        <w:t>to</w:t>
      </w:r>
      <w:proofErr w:type="gramEnd"/>
      <w:r w:rsidRPr="00AA4677">
        <w:rPr>
          <w:rFonts w:eastAsia="Times New Roman" w:cs="Times New Roman"/>
          <w:szCs w:val="24"/>
        </w:rPr>
        <w:t xml:space="preserve"> subjects that are reasonably commensurate with those inherent in their actual or expected medical, dental, psychological, social, or educational </w:t>
      </w:r>
      <w:proofErr w:type="gramStart"/>
      <w:r w:rsidRPr="00AA4677">
        <w:rPr>
          <w:rFonts w:eastAsia="Times New Roman" w:cs="Times New Roman"/>
          <w:szCs w:val="24"/>
        </w:rPr>
        <w:t>situations;</w:t>
      </w:r>
      <w:proofErr w:type="gramEnd"/>
    </w:p>
    <w:p w14:paraId="716EEF0F" w14:textId="720D039B" w:rsidR="009B3D09" w:rsidRPr="00AA4677" w:rsidRDefault="00FC174E">
      <w:pPr>
        <w:numPr>
          <w:ilvl w:val="0"/>
          <w:numId w:val="98"/>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Adequate provisions are made for soliciting the assent of children and the permission of their parents or guardians as set forth in</w:t>
      </w:r>
      <w:r w:rsidR="001549D9" w:rsidRPr="00AA4677">
        <w:rPr>
          <w:rFonts w:eastAsia="Times New Roman" w:cs="Times New Roman"/>
          <w:szCs w:val="24"/>
        </w:rPr>
        <w:t xml:space="preserve"> Section 6.8.2.</w:t>
      </w:r>
    </w:p>
    <w:p w14:paraId="1F9B879B" w14:textId="77777777" w:rsidR="00FC174E" w:rsidRPr="00AA4677" w:rsidRDefault="00FC174E" w:rsidP="00E820CF">
      <w:pPr>
        <w:shd w:val="clear" w:color="auto" w:fill="FFFFFF"/>
        <w:spacing w:after="0" w:line="240" w:lineRule="auto"/>
        <w:rPr>
          <w:rFonts w:eastAsia="Times New Roman" w:cs="Times New Roman"/>
          <w:szCs w:val="24"/>
        </w:rPr>
      </w:pPr>
      <w:r w:rsidRPr="00AA4677">
        <w:rPr>
          <w:rFonts w:eastAsia="Times New Roman" w:cs="Times New Roman"/>
          <w:b/>
          <w:szCs w:val="24"/>
        </w:rPr>
        <w:t xml:space="preserve">Research </w:t>
      </w:r>
      <w:proofErr w:type="gramStart"/>
      <w:r w:rsidRPr="00AA4677">
        <w:rPr>
          <w:rFonts w:eastAsia="Times New Roman" w:cs="Times New Roman"/>
          <w:b/>
          <w:szCs w:val="24"/>
        </w:rPr>
        <w:t>not</w:t>
      </w:r>
      <w:proofErr w:type="gramEnd"/>
      <w:r w:rsidRPr="00AA4677">
        <w:rPr>
          <w:rFonts w:eastAsia="Times New Roman" w:cs="Times New Roman"/>
          <w:b/>
          <w:szCs w:val="24"/>
        </w:rPr>
        <w:t xml:space="preserve"> otherwise </w:t>
      </w:r>
      <w:proofErr w:type="gramStart"/>
      <w:r w:rsidRPr="00AA4677">
        <w:rPr>
          <w:rFonts w:eastAsia="Times New Roman" w:cs="Times New Roman"/>
          <w:b/>
          <w:szCs w:val="24"/>
        </w:rPr>
        <w:t>approvable</w:t>
      </w:r>
      <w:proofErr w:type="gramEnd"/>
      <w:r w:rsidRPr="00AA4677">
        <w:rPr>
          <w:rFonts w:eastAsia="Times New Roman" w:cs="Times New Roman"/>
          <w:b/>
          <w:szCs w:val="24"/>
        </w:rPr>
        <w:t xml:space="preserve"> which presents an opportunity to understand, prevent, or alleviate serious problems affecting the health or welfare of children</w:t>
      </w:r>
      <w:r w:rsidRPr="00AA4677">
        <w:rPr>
          <w:rFonts w:eastAsia="Times New Roman" w:cs="Times New Roman"/>
          <w:szCs w:val="24"/>
        </w:rPr>
        <w:t>.</w:t>
      </w:r>
    </w:p>
    <w:p w14:paraId="2CAE1B7A" w14:textId="77777777" w:rsidR="00FC174E" w:rsidRPr="00AA4677" w:rsidRDefault="00FC174E">
      <w:pPr>
        <w:numPr>
          <w:ilvl w:val="0"/>
          <w:numId w:val="266"/>
        </w:numPr>
        <w:shd w:val="clear" w:color="auto" w:fill="FFFFFF"/>
        <w:tabs>
          <w:tab w:val="clear" w:pos="720"/>
          <w:tab w:val="num" w:pos="360"/>
        </w:tabs>
        <w:spacing w:after="0" w:line="240" w:lineRule="auto"/>
        <w:ind w:left="360"/>
        <w:rPr>
          <w:rFonts w:eastAsia="Times New Roman" w:cs="Times New Roman"/>
          <w:szCs w:val="24"/>
        </w:rPr>
      </w:pPr>
      <w:proofErr w:type="gramStart"/>
      <w:r w:rsidRPr="00AA4677">
        <w:rPr>
          <w:rFonts w:eastAsia="Times New Roman" w:cs="Times New Roman"/>
          <w:szCs w:val="24"/>
        </w:rPr>
        <w:t>Federally-funded</w:t>
      </w:r>
      <w:proofErr w:type="gramEnd"/>
      <w:r w:rsidRPr="00AA4677">
        <w:rPr>
          <w:rFonts w:eastAsia="Times New Roman" w:cs="Times New Roman"/>
          <w:szCs w:val="24"/>
        </w:rPr>
        <w:t xml:space="preserve"> research in this category must be approved by the Secretary of Health and Human Services.</w:t>
      </w:r>
    </w:p>
    <w:p w14:paraId="2E60ECD1" w14:textId="77777777" w:rsidR="00FC174E" w:rsidRPr="00AA4677" w:rsidRDefault="00FC174E">
      <w:pPr>
        <w:numPr>
          <w:ilvl w:val="0"/>
          <w:numId w:val="266"/>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FDA-regulated research in this category must be approved by the Commissioner of Food and Drugs.</w:t>
      </w:r>
    </w:p>
    <w:p w14:paraId="5769CB11" w14:textId="3D5E5BC3" w:rsidR="00FC174E" w:rsidRPr="00AA4677" w:rsidRDefault="00FC174E">
      <w:pPr>
        <w:numPr>
          <w:ilvl w:val="0"/>
          <w:numId w:val="266"/>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For non-</w:t>
      </w:r>
      <w:proofErr w:type="gramStart"/>
      <w:r w:rsidRPr="00AA4677">
        <w:rPr>
          <w:rFonts w:eastAsia="Times New Roman" w:cs="Times New Roman"/>
          <w:szCs w:val="24"/>
        </w:rPr>
        <w:t>federally-funded</w:t>
      </w:r>
      <w:proofErr w:type="gramEnd"/>
      <w:r w:rsidRPr="00AA4677">
        <w:rPr>
          <w:rFonts w:eastAsia="Times New Roman" w:cs="Times New Roman"/>
          <w:szCs w:val="24"/>
        </w:rPr>
        <w:t xml:space="preserve">, non-FDA research, </w:t>
      </w:r>
      <w:r w:rsidR="001549D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consult with a panel of experts in pertinent disciplines (for example: science, medicine, ethics, law).  Based on the rec</w:t>
      </w:r>
      <w:r w:rsidR="001549D9" w:rsidRPr="00AA4677">
        <w:rPr>
          <w:rFonts w:eastAsia="Times New Roman" w:cs="Times New Roman"/>
          <w:szCs w:val="24"/>
        </w:rPr>
        <w:t xml:space="preserve">ommendation of the panel, the </w:t>
      </w:r>
      <w:r w:rsidR="00EE7207" w:rsidRPr="00AA4677">
        <w:rPr>
          <w:rFonts w:eastAsia="Times New Roman" w:cs="Times New Roman"/>
          <w:szCs w:val="24"/>
        </w:rPr>
        <w:t>IRB</w:t>
      </w:r>
      <w:r w:rsidRPr="00AA4677">
        <w:rPr>
          <w:rFonts w:eastAsia="Times New Roman" w:cs="Times New Roman"/>
          <w:szCs w:val="24"/>
        </w:rPr>
        <w:t xml:space="preserve"> may approve the research based on either:</w:t>
      </w:r>
    </w:p>
    <w:p w14:paraId="10A02D69" w14:textId="77777777" w:rsidR="00FC174E" w:rsidRPr="00AA4677" w:rsidRDefault="00FC174E">
      <w:pPr>
        <w:numPr>
          <w:ilvl w:val="1"/>
          <w:numId w:val="267"/>
        </w:numPr>
        <w:shd w:val="clear" w:color="auto" w:fill="FFFFFF"/>
        <w:tabs>
          <w:tab w:val="clear" w:pos="1080"/>
          <w:tab w:val="num" w:pos="720"/>
        </w:tabs>
        <w:spacing w:after="0" w:line="240" w:lineRule="auto"/>
        <w:ind w:left="720"/>
        <w:rPr>
          <w:rFonts w:eastAsia="Times New Roman" w:cs="Times New Roman"/>
          <w:szCs w:val="24"/>
        </w:rPr>
      </w:pPr>
      <w:r w:rsidRPr="00AA4677">
        <w:rPr>
          <w:rFonts w:eastAsia="Times New Roman" w:cs="Times New Roman"/>
          <w:szCs w:val="24"/>
        </w:rPr>
        <w:t>That the research in fact satisfies the conditions of the previous categories, as applicable; or</w:t>
      </w:r>
    </w:p>
    <w:p w14:paraId="6BFACDA3" w14:textId="77777777" w:rsidR="00FC174E" w:rsidRPr="00AA4677" w:rsidRDefault="00FC174E">
      <w:pPr>
        <w:numPr>
          <w:ilvl w:val="1"/>
          <w:numId w:val="267"/>
        </w:numPr>
        <w:shd w:val="clear" w:color="auto" w:fill="FFFFFF"/>
        <w:tabs>
          <w:tab w:val="clear" w:pos="1080"/>
          <w:tab w:val="num" w:pos="720"/>
        </w:tabs>
        <w:spacing w:after="0" w:line="240" w:lineRule="auto"/>
        <w:ind w:left="720"/>
        <w:rPr>
          <w:rFonts w:eastAsia="Times New Roman" w:cs="Times New Roman"/>
          <w:szCs w:val="24"/>
        </w:rPr>
      </w:pPr>
      <w:r w:rsidRPr="00AA4677">
        <w:rPr>
          <w:rFonts w:eastAsia="Times New Roman" w:cs="Times New Roman"/>
          <w:szCs w:val="24"/>
        </w:rPr>
        <w:t>The following:</w:t>
      </w:r>
    </w:p>
    <w:p w14:paraId="0FAFE4C6" w14:textId="77777777" w:rsidR="00FC174E" w:rsidRPr="00AA4677" w:rsidRDefault="00FC174E">
      <w:pPr>
        <w:numPr>
          <w:ilvl w:val="2"/>
          <w:numId w:val="268"/>
        </w:numPr>
        <w:shd w:val="clear" w:color="auto" w:fill="FFFFFF"/>
        <w:tabs>
          <w:tab w:val="clear" w:pos="1800"/>
          <w:tab w:val="num" w:pos="1080"/>
        </w:tabs>
        <w:spacing w:after="0" w:line="240" w:lineRule="auto"/>
        <w:ind w:left="1080"/>
        <w:rPr>
          <w:rFonts w:eastAsia="Times New Roman" w:cs="Times New Roman"/>
          <w:szCs w:val="24"/>
        </w:rPr>
      </w:pPr>
      <w:r w:rsidRPr="00AA4677">
        <w:rPr>
          <w:rFonts w:eastAsia="Times New Roman" w:cs="Times New Roman"/>
          <w:szCs w:val="24"/>
        </w:rPr>
        <w:t xml:space="preserve">The research presents a reasonable opportunity to further the understanding, prevention, or alleviation of a serious problem affecting the health or welfare of </w:t>
      </w:r>
      <w:proofErr w:type="gramStart"/>
      <w:r w:rsidRPr="00AA4677">
        <w:rPr>
          <w:rFonts w:eastAsia="Times New Roman" w:cs="Times New Roman"/>
          <w:szCs w:val="24"/>
        </w:rPr>
        <w:t>children;</w:t>
      </w:r>
      <w:proofErr w:type="gramEnd"/>
    </w:p>
    <w:p w14:paraId="69E82B76" w14:textId="77777777" w:rsidR="00FC174E" w:rsidRPr="00AA4677" w:rsidRDefault="00FC174E">
      <w:pPr>
        <w:numPr>
          <w:ilvl w:val="2"/>
          <w:numId w:val="268"/>
        </w:numPr>
        <w:shd w:val="clear" w:color="auto" w:fill="FFFFFF"/>
        <w:tabs>
          <w:tab w:val="clear" w:pos="1800"/>
          <w:tab w:val="num" w:pos="1080"/>
        </w:tabs>
        <w:spacing w:after="0" w:line="240" w:lineRule="auto"/>
        <w:ind w:left="1080"/>
        <w:rPr>
          <w:rFonts w:eastAsia="Times New Roman" w:cs="Times New Roman"/>
          <w:szCs w:val="24"/>
        </w:rPr>
      </w:pPr>
      <w:r w:rsidRPr="00AA4677">
        <w:rPr>
          <w:rFonts w:eastAsia="Times New Roman" w:cs="Times New Roman"/>
          <w:szCs w:val="24"/>
        </w:rPr>
        <w:t>The research will be conducted in accord with sound ethical principles; and</w:t>
      </w:r>
    </w:p>
    <w:p w14:paraId="3768BFEA" w14:textId="77777777" w:rsidR="001549D9" w:rsidRPr="00AA4677" w:rsidRDefault="00FC174E">
      <w:pPr>
        <w:numPr>
          <w:ilvl w:val="2"/>
          <w:numId w:val="268"/>
        </w:numPr>
        <w:shd w:val="clear" w:color="auto" w:fill="FFFFFF"/>
        <w:tabs>
          <w:tab w:val="clear" w:pos="1800"/>
          <w:tab w:val="num" w:pos="1080"/>
        </w:tabs>
        <w:spacing w:after="0" w:line="240" w:lineRule="auto"/>
        <w:ind w:left="1080"/>
        <w:rPr>
          <w:rFonts w:eastAsia="Times New Roman" w:cs="Times New Roman"/>
          <w:szCs w:val="24"/>
        </w:rPr>
      </w:pPr>
      <w:r w:rsidRPr="00AA4677">
        <w:rPr>
          <w:rFonts w:eastAsia="Times New Roman" w:cs="Times New Roman"/>
          <w:szCs w:val="24"/>
        </w:rPr>
        <w:lastRenderedPageBreak/>
        <w:t>Informed consent will be obtained in accord with the provisions for informed consent and other applicable sections of this manual.</w:t>
      </w:r>
    </w:p>
    <w:p w14:paraId="2488D91F" w14:textId="48974514" w:rsidR="00FC174E" w:rsidRPr="00AA4677" w:rsidRDefault="00FC174E">
      <w:pPr>
        <w:numPr>
          <w:ilvl w:val="0"/>
          <w:numId w:val="99"/>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Adequate provisions are made for soliciting the assent of children and the permission of their parents or guardians as set forth in</w:t>
      </w:r>
      <w:r w:rsidR="001549D9" w:rsidRPr="00AA4677">
        <w:rPr>
          <w:rFonts w:eastAsia="Times New Roman" w:cs="Times New Roman"/>
          <w:szCs w:val="24"/>
        </w:rPr>
        <w:t xml:space="preserve"> Section 6.8.2.</w:t>
      </w:r>
    </w:p>
    <w:p w14:paraId="30FE4724" w14:textId="77777777" w:rsidR="00FC174E" w:rsidRPr="00AA4677" w:rsidRDefault="00FC174E" w:rsidP="00C57C98">
      <w:pPr>
        <w:pStyle w:val="Heading3"/>
      </w:pPr>
      <w:r w:rsidRPr="00AA4677">
        <w:t>6.8.2 Parental Permission and Assent</w:t>
      </w:r>
    </w:p>
    <w:p w14:paraId="25FBF17E" w14:textId="77777777" w:rsidR="00FC174E" w:rsidRPr="00AA4677" w:rsidRDefault="00FC174E" w:rsidP="001D3801">
      <w:pPr>
        <w:pStyle w:val="Heading4"/>
      </w:pPr>
      <w:r w:rsidRPr="00AA4677">
        <w:t>6.8.2.1    Parental Permission</w:t>
      </w:r>
    </w:p>
    <w:p w14:paraId="795BE316" w14:textId="3C0D89CD" w:rsidR="00FC174E" w:rsidRPr="00AA4677" w:rsidRDefault="00572079" w:rsidP="00572079">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must determine that adequate provisions have been made for soliciting the permission of each child’s paren</w:t>
      </w:r>
      <w:r w:rsidR="00083063" w:rsidRPr="00AA4677">
        <w:rPr>
          <w:rFonts w:eastAsia="Times New Roman" w:cs="Times New Roman"/>
          <w:szCs w:val="24"/>
        </w:rPr>
        <w:t>ts</w:t>
      </w:r>
      <w:r w:rsidR="00FC174E" w:rsidRPr="00AA4677">
        <w:rPr>
          <w:rFonts w:eastAsia="Times New Roman" w:cs="Times New Roman"/>
          <w:szCs w:val="24"/>
        </w:rPr>
        <w:t xml:space="preserve"> or guardian</w:t>
      </w:r>
      <w:r w:rsidR="00083063" w:rsidRPr="00AA4677">
        <w:rPr>
          <w:rFonts w:eastAsia="Times New Roman" w:cs="Times New Roman"/>
          <w:szCs w:val="24"/>
        </w:rPr>
        <w:t>s</w:t>
      </w:r>
      <w:r w:rsidR="00FC174E" w:rsidRPr="00AA4677">
        <w:rPr>
          <w:rFonts w:eastAsia="Times New Roman" w:cs="Times New Roman"/>
          <w:szCs w:val="24"/>
        </w:rPr>
        <w:t>.</w:t>
      </w:r>
      <w:r w:rsidR="00083063" w:rsidRPr="00AA4677">
        <w:rPr>
          <w:rFonts w:eastAsia="Times New Roman" w:cs="Times New Roman"/>
          <w:szCs w:val="24"/>
        </w:rPr>
        <w:t xml:space="preserve"> </w:t>
      </w: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may find that the permission of one parent is sufficient for research to be conducted under </w:t>
      </w:r>
      <w:r w:rsidR="009B3D09" w:rsidRPr="00AA4677">
        <w:rPr>
          <w:rFonts w:eastAsia="Times New Roman" w:cs="Times New Roman"/>
          <w:szCs w:val="24"/>
        </w:rPr>
        <w:t>.404</w:t>
      </w:r>
      <w:r w:rsidR="00FC174E" w:rsidRPr="00AA4677">
        <w:rPr>
          <w:rFonts w:eastAsia="Times New Roman" w:cs="Times New Roman"/>
          <w:szCs w:val="24"/>
        </w:rPr>
        <w:t xml:space="preserve"> &amp; </w:t>
      </w:r>
      <w:r w:rsidR="009B3D09" w:rsidRPr="00AA4677">
        <w:rPr>
          <w:rFonts w:eastAsia="Times New Roman" w:cs="Times New Roman"/>
          <w:szCs w:val="24"/>
        </w:rPr>
        <w:t>.405</w:t>
      </w:r>
      <w:r w:rsidR="00FC174E" w:rsidRPr="00AA4677">
        <w:rPr>
          <w:rFonts w:eastAsia="Times New Roman" w:cs="Times New Roman"/>
          <w:szCs w:val="24"/>
        </w:rPr>
        <w:t xml:space="preserve"> above.  </w:t>
      </w:r>
      <w:r w:rsidR="00EE7207" w:rsidRPr="00AA4677">
        <w:rPr>
          <w:rFonts w:eastAsia="Times New Roman" w:cs="Times New Roman"/>
          <w:szCs w:val="24"/>
        </w:rPr>
        <w:t>IRB</w:t>
      </w:r>
      <w:r w:rsidR="00FC174E" w:rsidRPr="00AA4677">
        <w:rPr>
          <w:rFonts w:eastAsia="Times New Roman" w:cs="Times New Roman"/>
          <w:szCs w:val="24"/>
        </w:rPr>
        <w:t>’s determination of whether permission must be obtained from one or both parents will be documented in the electronic record when a protocol receives expedited review, and in meeting minutes when reviewed by the convened committee.</w:t>
      </w:r>
    </w:p>
    <w:p w14:paraId="10510BBE" w14:textId="77777777" w:rsidR="00572079" w:rsidRPr="00AA4677" w:rsidRDefault="00572079" w:rsidP="00572079">
      <w:pPr>
        <w:shd w:val="clear" w:color="auto" w:fill="FFFFFF"/>
        <w:spacing w:after="0" w:line="240" w:lineRule="auto"/>
        <w:rPr>
          <w:rFonts w:eastAsia="Times New Roman" w:cs="Times New Roman"/>
          <w:szCs w:val="24"/>
        </w:rPr>
      </w:pPr>
    </w:p>
    <w:p w14:paraId="5523B242" w14:textId="1490F9D6" w:rsidR="00FC174E" w:rsidRPr="00AA4677" w:rsidRDefault="00FC174E" w:rsidP="00572079">
      <w:pPr>
        <w:shd w:val="clear" w:color="auto" w:fill="FFFFFF"/>
        <w:spacing w:after="0" w:line="240" w:lineRule="auto"/>
        <w:rPr>
          <w:rFonts w:eastAsia="Times New Roman" w:cs="Times New Roman"/>
          <w:szCs w:val="24"/>
        </w:rPr>
      </w:pPr>
      <w:r w:rsidRPr="00AA4677">
        <w:rPr>
          <w:rFonts w:eastAsia="Times New Roman" w:cs="Times New Roman"/>
          <w:szCs w:val="24"/>
        </w:rPr>
        <w:t xml:space="preserve">Consent from both parents is </w:t>
      </w:r>
      <w:r w:rsidRPr="00AA4677">
        <w:rPr>
          <w:rFonts w:eastAsia="Times New Roman" w:cs="Times New Roman"/>
          <w:b/>
          <w:szCs w:val="24"/>
        </w:rPr>
        <w:t xml:space="preserve">required </w:t>
      </w:r>
      <w:r w:rsidRPr="00AA4677">
        <w:rPr>
          <w:rFonts w:eastAsia="Times New Roman" w:cs="Times New Roman"/>
          <w:szCs w:val="24"/>
        </w:rPr>
        <w:t>for research to be conducted under</w:t>
      </w:r>
      <w:r w:rsidR="009B3D09" w:rsidRPr="00AA4677">
        <w:rPr>
          <w:rFonts w:eastAsia="Times New Roman" w:cs="Times New Roman"/>
          <w:szCs w:val="24"/>
        </w:rPr>
        <w:t xml:space="preserve"> </w:t>
      </w:r>
      <w:proofErr w:type="gramStart"/>
      <w:r w:rsidR="009B3D09" w:rsidRPr="00AA4677">
        <w:rPr>
          <w:rFonts w:eastAsia="Times New Roman" w:cs="Times New Roman"/>
          <w:szCs w:val="24"/>
        </w:rPr>
        <w:t>.406</w:t>
      </w:r>
      <w:r w:rsidRPr="00AA4677">
        <w:rPr>
          <w:rFonts w:eastAsia="Times New Roman" w:cs="Times New Roman"/>
          <w:szCs w:val="24"/>
        </w:rPr>
        <w:t xml:space="preserve"> &amp; </w:t>
      </w:r>
      <w:r w:rsidR="009B3D09" w:rsidRPr="00AA4677">
        <w:rPr>
          <w:rFonts w:eastAsia="Times New Roman" w:cs="Times New Roman"/>
          <w:szCs w:val="24"/>
        </w:rPr>
        <w:t>‘</w:t>
      </w:r>
      <w:proofErr w:type="gramEnd"/>
      <w:r w:rsidR="009B3D09" w:rsidRPr="00AA4677">
        <w:rPr>
          <w:rFonts w:eastAsia="Times New Roman" w:cs="Times New Roman"/>
          <w:szCs w:val="24"/>
        </w:rPr>
        <w:t>Research not otherwise approvable’</w:t>
      </w:r>
      <w:r w:rsidRPr="00AA4677">
        <w:rPr>
          <w:rFonts w:eastAsia="Times New Roman" w:cs="Times New Roman"/>
          <w:szCs w:val="24"/>
        </w:rPr>
        <w:t xml:space="preserve"> above unless</w:t>
      </w:r>
      <w:r w:rsidR="00572079" w:rsidRPr="00AA4677">
        <w:rPr>
          <w:rFonts w:eastAsia="Times New Roman" w:cs="Times New Roman"/>
          <w:szCs w:val="24"/>
        </w:rPr>
        <w:t xml:space="preserve">: </w:t>
      </w:r>
    </w:p>
    <w:p w14:paraId="557A8423" w14:textId="71A524EA" w:rsidR="00FC174E" w:rsidRPr="00AA4677" w:rsidRDefault="00FC174E">
      <w:pPr>
        <w:pStyle w:val="ListParagraph"/>
        <w:numPr>
          <w:ilvl w:val="0"/>
          <w:numId w:val="100"/>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One parent is deceased, unknown, incompetent, or not reasonably </w:t>
      </w:r>
      <w:proofErr w:type="gramStart"/>
      <w:r w:rsidRPr="00AA4677">
        <w:rPr>
          <w:rFonts w:eastAsia="Times New Roman" w:cs="Times New Roman"/>
          <w:szCs w:val="24"/>
        </w:rPr>
        <w:t>available;</w:t>
      </w:r>
      <w:proofErr w:type="gramEnd"/>
      <w:r w:rsidRPr="00AA4677">
        <w:rPr>
          <w:rFonts w:eastAsia="Times New Roman" w:cs="Times New Roman"/>
          <w:szCs w:val="24"/>
        </w:rPr>
        <w:t xml:space="preserve"> or</w:t>
      </w:r>
    </w:p>
    <w:p w14:paraId="582C1DB6" w14:textId="67862C2D" w:rsidR="00FC174E" w:rsidRPr="00AA4677" w:rsidRDefault="00FC174E">
      <w:pPr>
        <w:pStyle w:val="ListParagraph"/>
        <w:numPr>
          <w:ilvl w:val="0"/>
          <w:numId w:val="100"/>
        </w:numPr>
        <w:shd w:val="clear" w:color="auto" w:fill="FFFFFF"/>
        <w:spacing w:after="0" w:line="240" w:lineRule="auto"/>
        <w:rPr>
          <w:rFonts w:eastAsia="Times New Roman" w:cs="Times New Roman"/>
          <w:szCs w:val="24"/>
        </w:rPr>
      </w:pPr>
      <w:r w:rsidRPr="00AA4677">
        <w:rPr>
          <w:rFonts w:eastAsia="Times New Roman" w:cs="Times New Roman"/>
          <w:szCs w:val="24"/>
        </w:rPr>
        <w:t>When only one parent has legal responsibility for the care and custody of the child.</w:t>
      </w:r>
    </w:p>
    <w:p w14:paraId="103C3AB6" w14:textId="77777777" w:rsidR="00572079" w:rsidRPr="00AA4677" w:rsidRDefault="00572079" w:rsidP="00572079">
      <w:pPr>
        <w:shd w:val="clear" w:color="auto" w:fill="FFFFFF"/>
        <w:spacing w:after="0" w:line="240" w:lineRule="auto"/>
        <w:rPr>
          <w:rFonts w:eastAsia="Times New Roman" w:cs="Times New Roman"/>
          <w:szCs w:val="24"/>
        </w:rPr>
      </w:pPr>
    </w:p>
    <w:p w14:paraId="2F7CB7A5" w14:textId="42EA018B" w:rsidR="00FC174E" w:rsidRPr="00AA4677" w:rsidRDefault="00344476" w:rsidP="00572079">
      <w:pPr>
        <w:shd w:val="clear" w:color="auto" w:fill="FFFFFF"/>
        <w:spacing w:after="0" w:line="240" w:lineRule="auto"/>
        <w:rPr>
          <w:rFonts w:eastAsia="Times New Roman" w:cs="Times New Roman"/>
          <w:szCs w:val="24"/>
        </w:rPr>
      </w:pPr>
      <w:r w:rsidRPr="00AA4677">
        <w:rPr>
          <w:rFonts w:eastAsia="Times New Roman" w:cs="Times New Roman"/>
          <w:szCs w:val="24"/>
        </w:rPr>
        <w:t>T</w:t>
      </w:r>
      <w:r w:rsidR="00572079" w:rsidRPr="00AA4677">
        <w:rPr>
          <w:rFonts w:eastAsia="Times New Roman" w:cs="Times New Roman"/>
          <w:szCs w:val="24"/>
        </w:rPr>
        <w:t xml:space="preserve">he </w:t>
      </w:r>
      <w:r w:rsidR="00EE7207" w:rsidRPr="00AA4677">
        <w:rPr>
          <w:rFonts w:eastAsia="Times New Roman" w:cs="Times New Roman"/>
          <w:szCs w:val="24"/>
        </w:rPr>
        <w:t>IRB</w:t>
      </w:r>
      <w:r w:rsidR="00FC174E" w:rsidRPr="00AA4677">
        <w:rPr>
          <w:rFonts w:eastAsia="Times New Roman" w:cs="Times New Roman"/>
          <w:szCs w:val="24"/>
        </w:rPr>
        <w:t xml:space="preserve"> may waive the requirement for obtaining permission from a parent or legal guardian if:</w:t>
      </w:r>
    </w:p>
    <w:p w14:paraId="5E9DF754" w14:textId="1BDF06AF" w:rsidR="00FC174E" w:rsidRPr="00AA4677" w:rsidRDefault="00FC174E" w:rsidP="00C129F1">
      <w:pPr>
        <w:numPr>
          <w:ilvl w:val="0"/>
          <w:numId w:val="34"/>
        </w:numPr>
        <w:shd w:val="clear" w:color="auto" w:fill="FFFFFF"/>
        <w:spacing w:after="0" w:line="240" w:lineRule="auto"/>
        <w:rPr>
          <w:rFonts w:eastAsia="Times New Roman" w:cs="Times New Roman"/>
          <w:szCs w:val="24"/>
        </w:rPr>
      </w:pPr>
      <w:r w:rsidRPr="00AA4677">
        <w:rPr>
          <w:rFonts w:eastAsia="Times New Roman" w:cs="Times New Roman"/>
          <w:szCs w:val="24"/>
        </w:rPr>
        <w:t>The research meets the prov</w:t>
      </w:r>
      <w:r w:rsidR="0007561D" w:rsidRPr="00AA4677">
        <w:rPr>
          <w:rFonts w:eastAsia="Times New Roman" w:cs="Times New Roman"/>
          <w:szCs w:val="24"/>
        </w:rPr>
        <w:t>isions for a waiver</w:t>
      </w:r>
      <w:r w:rsidR="00572079" w:rsidRPr="00AA4677">
        <w:rPr>
          <w:rFonts w:eastAsia="Times New Roman" w:cs="Times New Roman"/>
          <w:szCs w:val="24"/>
        </w:rPr>
        <w:t>;</w:t>
      </w:r>
      <w:r w:rsidRPr="00AA4677">
        <w:rPr>
          <w:rFonts w:eastAsia="Times New Roman" w:cs="Times New Roman"/>
          <w:szCs w:val="24"/>
        </w:rPr>
        <w:t xml:space="preserve"> or</w:t>
      </w:r>
    </w:p>
    <w:p w14:paraId="6D2628CE" w14:textId="5283790D" w:rsidR="00FC174E" w:rsidRPr="00AA4677" w:rsidRDefault="00572079" w:rsidP="00C129F1">
      <w:pPr>
        <w:numPr>
          <w:ilvl w:val="0"/>
          <w:numId w:val="3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If the </w:t>
      </w:r>
      <w:r w:rsidR="00EE7207" w:rsidRPr="00AA4677">
        <w:rPr>
          <w:rFonts w:eastAsia="Times New Roman" w:cs="Times New Roman"/>
          <w:szCs w:val="24"/>
        </w:rPr>
        <w:t>IRB</w:t>
      </w:r>
      <w:r w:rsidR="00FC174E" w:rsidRPr="00AA4677">
        <w:rPr>
          <w:rFonts w:eastAsia="Times New Roman" w:cs="Times New Roman"/>
          <w:szCs w:val="24"/>
        </w:rPr>
        <w:t xml:space="preserve"> determines that the research protocol is designed for conditions or a subject population for which parental or guardian permission is not a reasonable requirements to protect the subjects (</w:t>
      </w:r>
      <w:r w:rsidRPr="00AA4677">
        <w:rPr>
          <w:rFonts w:eastAsia="Times New Roman" w:cs="Times New Roman"/>
          <w:szCs w:val="24"/>
        </w:rPr>
        <w:t>e.g.</w:t>
      </w:r>
      <w:r w:rsidR="00FC174E" w:rsidRPr="00AA4677">
        <w:rPr>
          <w:rFonts w:eastAsia="Times New Roman" w:cs="Times New Roman"/>
          <w:szCs w:val="24"/>
        </w:rPr>
        <w:t xml:space="preserve"> neglected or abused children) provided an appropriate mechanism for protecting the children who will participate as subjects in the research is substituted, and that the waiver is not inconsistent with </w:t>
      </w:r>
      <w:r w:rsidRPr="00AA4677">
        <w:rPr>
          <w:rFonts w:eastAsia="Times New Roman" w:cs="Times New Roman"/>
          <w:szCs w:val="24"/>
        </w:rPr>
        <w:t>f</w:t>
      </w:r>
      <w:r w:rsidR="00FC174E" w:rsidRPr="00AA4677">
        <w:rPr>
          <w:rFonts w:eastAsia="Times New Roman" w:cs="Times New Roman"/>
          <w:szCs w:val="24"/>
        </w:rPr>
        <w:t>ederal</w:t>
      </w:r>
      <w:r w:rsidRPr="00AA4677">
        <w:rPr>
          <w:rFonts w:eastAsia="Times New Roman" w:cs="Times New Roman"/>
          <w:szCs w:val="24"/>
        </w:rPr>
        <w:t>, s</w:t>
      </w:r>
      <w:r w:rsidR="00FC174E" w:rsidRPr="00AA4677">
        <w:rPr>
          <w:rFonts w:eastAsia="Times New Roman" w:cs="Times New Roman"/>
          <w:szCs w:val="24"/>
        </w:rPr>
        <w:t>tate, or local law.  The choice of an appropriate mechanism would depend upon the nature and purpose of the activities described in the protocol, the risk and anticipated benefit to the research subjects, and their age, maturity, status, and condition.</w:t>
      </w:r>
    </w:p>
    <w:p w14:paraId="7865A112" w14:textId="77777777" w:rsidR="00572079" w:rsidRPr="00AA4677" w:rsidRDefault="00572079" w:rsidP="00572079">
      <w:pPr>
        <w:shd w:val="clear" w:color="auto" w:fill="FFFFFF"/>
        <w:spacing w:after="0" w:line="240" w:lineRule="auto"/>
        <w:rPr>
          <w:rFonts w:eastAsia="Times New Roman" w:cs="Times New Roman"/>
          <w:szCs w:val="24"/>
        </w:rPr>
      </w:pPr>
    </w:p>
    <w:p w14:paraId="3159B60B" w14:textId="5FF05D12" w:rsidR="00FC174E" w:rsidRPr="00AA4677" w:rsidRDefault="00FC174E" w:rsidP="00572079">
      <w:pPr>
        <w:shd w:val="clear" w:color="auto" w:fill="FFFFFF"/>
        <w:spacing w:after="0" w:line="240" w:lineRule="auto"/>
        <w:rPr>
          <w:rFonts w:eastAsia="Times New Roman" w:cs="Times New Roman"/>
          <w:szCs w:val="24"/>
        </w:rPr>
      </w:pPr>
      <w:r w:rsidRPr="00AA4677">
        <w:rPr>
          <w:rFonts w:eastAsia="Times New Roman" w:cs="Times New Roman"/>
          <w:szCs w:val="24"/>
        </w:rPr>
        <w:t xml:space="preserve">Permission from parents or legal guardians must be documented in accordance with and to the extent required by </w:t>
      </w:r>
      <w:r w:rsidR="003311A4" w:rsidRPr="00AA4677">
        <w:rPr>
          <w:rFonts w:eastAsia="Times New Roman" w:cs="Times New Roman"/>
          <w:szCs w:val="24"/>
        </w:rPr>
        <w:t>Section 5.7</w:t>
      </w:r>
      <w:r w:rsidRPr="00AA4677">
        <w:rPr>
          <w:rFonts w:eastAsia="Times New Roman" w:cs="Times New Roman"/>
          <w:szCs w:val="24"/>
        </w:rPr>
        <w:t>.</w:t>
      </w:r>
    </w:p>
    <w:p w14:paraId="59A9858F" w14:textId="77777777" w:rsidR="00FC174E" w:rsidRPr="00AA4677" w:rsidRDefault="00FC174E" w:rsidP="001D3801">
      <w:pPr>
        <w:pStyle w:val="Heading4"/>
      </w:pPr>
      <w:r w:rsidRPr="00AA4677">
        <w:t>6.8.2.2    Assent from Children</w:t>
      </w:r>
    </w:p>
    <w:p w14:paraId="57759651" w14:textId="7D1D9C1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Because </w:t>
      </w:r>
      <w:r w:rsidRPr="00AA4677">
        <w:rPr>
          <w:rFonts w:eastAsia="Times New Roman" w:cs="Times New Roman"/>
          <w:b/>
          <w:szCs w:val="24"/>
        </w:rPr>
        <w:t>“assent”</w:t>
      </w:r>
      <w:r w:rsidRPr="00AA4677">
        <w:rPr>
          <w:rFonts w:eastAsia="Times New Roman" w:cs="Times New Roman"/>
          <w:szCs w:val="24"/>
        </w:rPr>
        <w:t xml:space="preserve"> means a child’s affirmative agreement to participate in research, the child must actively show his or her willingness to participate in the research, rather than just complying with </w:t>
      </w:r>
      <w:r w:rsidRPr="00AA4677">
        <w:rPr>
          <w:rFonts w:eastAsia="Times New Roman" w:cs="Times New Roman"/>
          <w:szCs w:val="24"/>
        </w:rPr>
        <w:lastRenderedPageBreak/>
        <w:t xml:space="preserve">directions to participate and not resisting in any way. When judging whether children are capable of assent, as well as the assent process, </w:t>
      </w:r>
      <w:r w:rsidR="0057207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is charged with </w:t>
      </w:r>
      <w:proofErr w:type="gramStart"/>
      <w:r w:rsidRPr="00AA4677">
        <w:rPr>
          <w:rFonts w:eastAsia="Times New Roman" w:cs="Times New Roman"/>
          <w:szCs w:val="24"/>
        </w:rPr>
        <w:t>taking into account</w:t>
      </w:r>
      <w:proofErr w:type="gramEnd"/>
      <w:r w:rsidRPr="00AA4677">
        <w:rPr>
          <w:rFonts w:eastAsia="Times New Roman" w:cs="Times New Roman"/>
          <w:szCs w:val="24"/>
        </w:rPr>
        <w:t xml:space="preserve"> nature of the proposed research activity, the </w:t>
      </w:r>
      <w:r w:rsidRPr="00AA4677">
        <w:rPr>
          <w:rFonts w:eastAsia="Times New Roman" w:cs="Times New Roman"/>
          <w:b/>
          <w:szCs w:val="24"/>
        </w:rPr>
        <w:t>ages, maturity, and psychological state</w:t>
      </w:r>
      <w:r w:rsidRPr="00AA4677">
        <w:rPr>
          <w:rFonts w:eastAsia="Times New Roman" w:cs="Times New Roman"/>
          <w:szCs w:val="24"/>
        </w:rPr>
        <w:t xml:space="preserve"> of the children involved. The minor population to be studied may have a wide range of ability to provide assent. Some potential subjects may lack the cognitive or developmental ability to provide assent, regardless of </w:t>
      </w:r>
      <w:proofErr w:type="gramStart"/>
      <w:r w:rsidRPr="00AA4677">
        <w:rPr>
          <w:rFonts w:eastAsia="Times New Roman" w:cs="Times New Roman"/>
          <w:szCs w:val="24"/>
        </w:rPr>
        <w:t>chronologic</w:t>
      </w:r>
      <w:proofErr w:type="gramEnd"/>
      <w:r w:rsidRPr="00AA4677">
        <w:rPr>
          <w:rFonts w:eastAsia="Times New Roman" w:cs="Times New Roman"/>
          <w:szCs w:val="24"/>
        </w:rPr>
        <w:t xml:space="preserve"> age. Some children will have the capacity to assent, while others will not. In this situation, </w:t>
      </w:r>
      <w:r w:rsidR="00572079" w:rsidRPr="00AA4677">
        <w:rPr>
          <w:rFonts w:eastAsia="Times New Roman" w:cs="Times New Roman"/>
          <w:szCs w:val="24"/>
        </w:rPr>
        <w:t xml:space="preserve">the </w:t>
      </w:r>
      <w:r w:rsidR="00EE7207" w:rsidRPr="00AA4677">
        <w:rPr>
          <w:rFonts w:eastAsia="Times New Roman" w:cs="Times New Roman"/>
          <w:szCs w:val="24"/>
        </w:rPr>
        <w:t>IRB</w:t>
      </w:r>
      <w:r w:rsidR="00781DA3" w:rsidRPr="00AA4677">
        <w:rPr>
          <w:rFonts w:eastAsia="Times New Roman" w:cs="Times New Roman"/>
          <w:szCs w:val="24"/>
        </w:rPr>
        <w:t xml:space="preserve"> may require that the PI has</w:t>
      </w:r>
      <w:r w:rsidRPr="00AA4677">
        <w:rPr>
          <w:rFonts w:eastAsia="Times New Roman" w:cs="Times New Roman"/>
          <w:szCs w:val="24"/>
        </w:rPr>
        <w:t xml:space="preserve"> a plan of assessing and documenting each child’s capability of assenting, and of being able to comply with </w:t>
      </w:r>
      <w:r w:rsidR="00572079" w:rsidRPr="00AA4677">
        <w:rPr>
          <w:rFonts w:eastAsia="Times New Roman" w:cs="Times New Roman"/>
          <w:szCs w:val="24"/>
        </w:rPr>
        <w:t xml:space="preserve">the study procedures.  If the </w:t>
      </w:r>
      <w:r w:rsidR="00EE7207" w:rsidRPr="00AA4677">
        <w:rPr>
          <w:rFonts w:eastAsia="Times New Roman" w:cs="Times New Roman"/>
          <w:szCs w:val="24"/>
        </w:rPr>
        <w:t>IRB</w:t>
      </w:r>
      <w:r w:rsidRPr="00AA4677">
        <w:rPr>
          <w:rFonts w:eastAsia="Times New Roman" w:cs="Times New Roman"/>
          <w:szCs w:val="24"/>
        </w:rPr>
        <w:t xml:space="preserve"> determines that the capability of </w:t>
      </w:r>
      <w:r w:rsidRPr="00AA4677">
        <w:rPr>
          <w:rFonts w:eastAsia="Times New Roman" w:cs="Times New Roman"/>
          <w:b/>
          <w:szCs w:val="24"/>
        </w:rPr>
        <w:t>some or all</w:t>
      </w:r>
      <w:r w:rsidRPr="00AA4677">
        <w:rPr>
          <w:rFonts w:eastAsia="Times New Roman" w:cs="Times New Roman"/>
          <w:szCs w:val="24"/>
        </w:rPr>
        <w:t xml:space="preserve"> of the children is so limited that they cannot reasonably be consulted or that the intervention or procedure involved in the research holds out a prospect of direct benefit that is important to the health or well-being of the children and is available only in the context of the research, the assent of the children is </w:t>
      </w:r>
      <w:r w:rsidR="00083063" w:rsidRPr="00AA4677">
        <w:rPr>
          <w:rFonts w:eastAsia="Times New Roman" w:cs="Times New Roman"/>
          <w:szCs w:val="24"/>
        </w:rPr>
        <w:t>then no longer</w:t>
      </w:r>
      <w:r w:rsidRPr="00AA4677">
        <w:rPr>
          <w:rFonts w:eastAsia="Times New Roman" w:cs="Times New Roman"/>
          <w:szCs w:val="24"/>
        </w:rPr>
        <w:t xml:space="preserve"> a necessary condition for proceeding with the research. Even when </w:t>
      </w:r>
      <w:r w:rsidR="0057207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determines that the subjects are capable of assenting, </w:t>
      </w:r>
      <w:r w:rsidR="00572079" w:rsidRPr="00AA4677">
        <w:rPr>
          <w:rFonts w:eastAsia="Times New Roman" w:cs="Times New Roman"/>
          <w:szCs w:val="24"/>
        </w:rPr>
        <w:t xml:space="preserve">the </w:t>
      </w:r>
      <w:r w:rsidR="00EE7207" w:rsidRPr="00AA4677">
        <w:rPr>
          <w:rFonts w:eastAsia="Times New Roman" w:cs="Times New Roman"/>
          <w:szCs w:val="24"/>
        </w:rPr>
        <w:t>IRB</w:t>
      </w:r>
      <w:r w:rsidR="00572079" w:rsidRPr="00AA4677">
        <w:rPr>
          <w:rFonts w:eastAsia="Times New Roman" w:cs="Times New Roman"/>
          <w:szCs w:val="24"/>
        </w:rPr>
        <w:t xml:space="preserve"> </w:t>
      </w:r>
      <w:r w:rsidRPr="00AA4677">
        <w:rPr>
          <w:rFonts w:eastAsia="Times New Roman" w:cs="Times New Roman"/>
          <w:szCs w:val="24"/>
        </w:rPr>
        <w:t>may still waive the assent requirement under circumstances detailed in the Waiver of Informed Consent section of this manual.</w:t>
      </w:r>
      <w:r w:rsidR="00781DA3" w:rsidRPr="00AA4677">
        <w:rPr>
          <w:rFonts w:eastAsia="Times New Roman" w:cs="Times New Roman"/>
          <w:szCs w:val="24"/>
        </w:rPr>
        <w:t xml:space="preserve"> IRB determinations regarding assent</w:t>
      </w:r>
      <w:r w:rsidR="0070538C" w:rsidRPr="00AA4677">
        <w:rPr>
          <w:rFonts w:eastAsia="Times New Roman" w:cs="Times New Roman"/>
          <w:szCs w:val="24"/>
        </w:rPr>
        <w:t xml:space="preserve"> (and which if any children are not required to assent)</w:t>
      </w:r>
      <w:r w:rsidR="00781DA3" w:rsidRPr="00AA4677">
        <w:rPr>
          <w:rFonts w:eastAsia="Times New Roman" w:cs="Times New Roman"/>
          <w:szCs w:val="24"/>
        </w:rPr>
        <w:t xml:space="preserve"> and the process to document assent are documented.</w:t>
      </w:r>
    </w:p>
    <w:p w14:paraId="55147352" w14:textId="27A141FE"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Each protocol is unique and is reviewed by </w:t>
      </w:r>
      <w:r w:rsidR="0057207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accordingly. As such, the</w:t>
      </w:r>
      <w:r w:rsidR="00572079"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’s decision regarding assent (and documentation thereof) may necessarily vary from the general parameters below.</w:t>
      </w:r>
    </w:p>
    <w:p w14:paraId="0C98FF16"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But, in general:</w:t>
      </w:r>
    </w:p>
    <w:p w14:paraId="647EB0DA" w14:textId="37E477EE" w:rsidR="00FC174E" w:rsidRPr="00AA4677" w:rsidRDefault="00FC174E" w:rsidP="00572079">
      <w:p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b/>
          <w:szCs w:val="24"/>
        </w:rPr>
        <w:t>Assent</w:t>
      </w:r>
      <w:proofErr w:type="gramEnd"/>
      <w:r w:rsidRPr="00AA4677">
        <w:rPr>
          <w:rFonts w:eastAsia="Times New Roman" w:cs="Times New Roman"/>
          <w:b/>
          <w:szCs w:val="24"/>
        </w:rPr>
        <w:t xml:space="preserve"> will be required for</w:t>
      </w:r>
      <w:r w:rsidRPr="00AA4677">
        <w:rPr>
          <w:rFonts w:eastAsia="Times New Roman" w:cs="Times New Roman"/>
          <w:szCs w:val="24"/>
        </w:rPr>
        <w:t>:</w:t>
      </w:r>
    </w:p>
    <w:p w14:paraId="6B538E6F" w14:textId="2B83CF49" w:rsidR="00FC174E" w:rsidRPr="00AA4677" w:rsidRDefault="00FC174E" w:rsidP="00C129F1">
      <w:pPr>
        <w:pStyle w:val="ListParagraph"/>
        <w:numPr>
          <w:ilvl w:val="0"/>
          <w:numId w:val="35"/>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Non-therapeutic protocols. Assent must be documented as follows:</w:t>
      </w:r>
    </w:p>
    <w:p w14:paraId="7F8C2019" w14:textId="15DAFF6C" w:rsidR="00FC174E" w:rsidRPr="00AA4677" w:rsidRDefault="00FC174E">
      <w:pPr>
        <w:numPr>
          <w:ilvl w:val="0"/>
          <w:numId w:val="299"/>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For </w:t>
      </w:r>
      <w:proofErr w:type="gramStart"/>
      <w:r w:rsidRPr="00AA4677">
        <w:rPr>
          <w:rFonts w:eastAsia="Times New Roman" w:cs="Times New Roman"/>
          <w:szCs w:val="24"/>
        </w:rPr>
        <w:t>12-17 year olds</w:t>
      </w:r>
      <w:proofErr w:type="gramEnd"/>
      <w:r w:rsidRPr="00AA4677">
        <w:rPr>
          <w:rFonts w:eastAsia="Times New Roman" w:cs="Times New Roman"/>
          <w:szCs w:val="24"/>
        </w:rPr>
        <w:t>: via a</w:t>
      </w:r>
      <w:r w:rsidR="00716D47" w:rsidRPr="00AA4677">
        <w:rPr>
          <w:rFonts w:eastAsia="Times New Roman" w:cs="Times New Roman"/>
          <w:szCs w:val="24"/>
        </w:rPr>
        <w:t>n</w:t>
      </w:r>
      <w:r w:rsidRPr="00AA4677">
        <w:rPr>
          <w:rFonts w:eastAsia="Times New Roman" w:cs="Times New Roman"/>
          <w:szCs w:val="24"/>
        </w:rPr>
        <w:t xml:space="preserve"> assent form (containing highly simplified 'consent' i</w:t>
      </w:r>
      <w:r w:rsidR="00716D47" w:rsidRPr="00AA4677">
        <w:rPr>
          <w:rFonts w:eastAsia="Times New Roman" w:cs="Times New Roman"/>
          <w:szCs w:val="24"/>
        </w:rPr>
        <w:t>nformation-- see section below about an</w:t>
      </w:r>
      <w:r w:rsidRPr="00AA4677">
        <w:rPr>
          <w:rFonts w:eastAsia="Times New Roman" w:cs="Times New Roman"/>
          <w:szCs w:val="24"/>
        </w:rPr>
        <w:t xml:space="preserve"> </w:t>
      </w:r>
      <w:r w:rsidR="00716D47" w:rsidRPr="00AA4677">
        <w:rPr>
          <w:rFonts w:eastAsia="Times New Roman" w:cs="Times New Roman"/>
          <w:szCs w:val="24"/>
        </w:rPr>
        <w:t>“</w:t>
      </w:r>
      <w:r w:rsidRPr="00AA4677">
        <w:rPr>
          <w:rFonts w:eastAsia="Times New Roman" w:cs="Times New Roman"/>
          <w:szCs w:val="24"/>
        </w:rPr>
        <w:t>Assent Form") that the child signs</w:t>
      </w:r>
      <w:r w:rsidR="00572079" w:rsidRPr="00AA4677">
        <w:rPr>
          <w:rFonts w:eastAsia="Times New Roman" w:cs="Times New Roman"/>
          <w:szCs w:val="24"/>
        </w:rPr>
        <w:t>;</w:t>
      </w:r>
      <w:r w:rsidRPr="00AA4677">
        <w:rPr>
          <w:rFonts w:eastAsia="Times New Roman" w:cs="Times New Roman"/>
          <w:szCs w:val="24"/>
        </w:rPr>
        <w:t xml:space="preserve"> and</w:t>
      </w:r>
    </w:p>
    <w:p w14:paraId="3DB84EF3" w14:textId="1501ABC9" w:rsidR="00FC174E" w:rsidRPr="00AA4677" w:rsidRDefault="00FC174E">
      <w:pPr>
        <w:numPr>
          <w:ilvl w:val="0"/>
          <w:numId w:val="299"/>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For </w:t>
      </w:r>
      <w:proofErr w:type="gramStart"/>
      <w:r w:rsidRPr="00AA4677">
        <w:rPr>
          <w:rFonts w:eastAsia="Times New Roman" w:cs="Times New Roman"/>
          <w:szCs w:val="24"/>
        </w:rPr>
        <w:t>7-11 year olds</w:t>
      </w:r>
      <w:proofErr w:type="gramEnd"/>
      <w:r w:rsidRPr="00AA4677">
        <w:rPr>
          <w:rFonts w:eastAsia="Times New Roman" w:cs="Times New Roman"/>
          <w:szCs w:val="24"/>
        </w:rPr>
        <w:t>:  a note in the subject's research record that the assent discussion has occurred and the child's agreement has been obtained</w:t>
      </w:r>
      <w:r w:rsidR="00572079" w:rsidRPr="00AA4677">
        <w:rPr>
          <w:rFonts w:eastAsia="Times New Roman" w:cs="Times New Roman"/>
          <w:szCs w:val="24"/>
        </w:rPr>
        <w:t>.</w:t>
      </w:r>
    </w:p>
    <w:p w14:paraId="62B9A175" w14:textId="706D83BD" w:rsidR="00FC174E" w:rsidRPr="00AA4677" w:rsidRDefault="00FC174E" w:rsidP="00C129F1">
      <w:pPr>
        <w:numPr>
          <w:ilvl w:val="0"/>
          <w:numId w:val="35"/>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Potentially therapeutic protocols </w:t>
      </w:r>
      <w:r w:rsidR="00B8326A" w:rsidRPr="00AA4677">
        <w:rPr>
          <w:rFonts w:eastAsia="Times New Roman" w:cs="Times New Roman"/>
          <w:szCs w:val="24"/>
        </w:rPr>
        <w:t xml:space="preserve">(FDA-approved or investigational) </w:t>
      </w:r>
      <w:r w:rsidRPr="00AA4677">
        <w:rPr>
          <w:rFonts w:eastAsia="Times New Roman" w:cs="Times New Roman"/>
          <w:szCs w:val="24"/>
        </w:rPr>
        <w:t>where there are alternatives available outside of the research with similar risk/benefit profiles. Assent must be documented as follows:</w:t>
      </w:r>
    </w:p>
    <w:p w14:paraId="0673F5E6" w14:textId="0116FEE4" w:rsidR="00FC174E" w:rsidRPr="00AA4677" w:rsidRDefault="00FC174E">
      <w:pPr>
        <w:numPr>
          <w:ilvl w:val="0"/>
          <w:numId w:val="300"/>
        </w:numPr>
        <w:shd w:val="clear" w:color="auto" w:fill="FFFFFF"/>
        <w:spacing w:after="0" w:line="240" w:lineRule="auto"/>
        <w:rPr>
          <w:rFonts w:eastAsia="Times New Roman" w:cs="Times New Roman"/>
          <w:szCs w:val="24"/>
        </w:rPr>
      </w:pPr>
      <w:r w:rsidRPr="00AA4677">
        <w:rPr>
          <w:rFonts w:eastAsia="Times New Roman" w:cs="Times New Roman"/>
          <w:szCs w:val="24"/>
        </w:rPr>
        <w:t>Fo</w:t>
      </w:r>
      <w:r w:rsidR="00716D47" w:rsidRPr="00AA4677">
        <w:rPr>
          <w:rFonts w:eastAsia="Times New Roman" w:cs="Times New Roman"/>
          <w:szCs w:val="24"/>
        </w:rPr>
        <w:t xml:space="preserve">r </w:t>
      </w:r>
      <w:proofErr w:type="gramStart"/>
      <w:r w:rsidR="00716D47" w:rsidRPr="00AA4677">
        <w:rPr>
          <w:rFonts w:eastAsia="Times New Roman" w:cs="Times New Roman"/>
          <w:szCs w:val="24"/>
        </w:rPr>
        <w:t>12-17 year olds</w:t>
      </w:r>
      <w:proofErr w:type="gramEnd"/>
      <w:r w:rsidR="00716D47" w:rsidRPr="00AA4677">
        <w:rPr>
          <w:rFonts w:eastAsia="Times New Roman" w:cs="Times New Roman"/>
          <w:szCs w:val="24"/>
        </w:rPr>
        <w:t xml:space="preserve">: via an </w:t>
      </w:r>
      <w:r w:rsidRPr="00AA4677">
        <w:rPr>
          <w:rFonts w:eastAsia="Times New Roman" w:cs="Times New Roman"/>
          <w:szCs w:val="24"/>
        </w:rPr>
        <w:t>assent form (containing highly simplified 'consent' infor</w:t>
      </w:r>
      <w:r w:rsidR="00716D47" w:rsidRPr="00AA4677">
        <w:rPr>
          <w:rFonts w:eastAsia="Times New Roman" w:cs="Times New Roman"/>
          <w:szCs w:val="24"/>
        </w:rPr>
        <w:t xml:space="preserve">mation—see section below about an </w:t>
      </w:r>
      <w:r w:rsidRPr="00AA4677">
        <w:rPr>
          <w:rFonts w:eastAsia="Times New Roman" w:cs="Times New Roman"/>
          <w:szCs w:val="24"/>
        </w:rPr>
        <w:t>Assent Form") that the child signs</w:t>
      </w:r>
      <w:r w:rsidR="00572079" w:rsidRPr="00AA4677">
        <w:rPr>
          <w:rFonts w:eastAsia="Times New Roman" w:cs="Times New Roman"/>
          <w:szCs w:val="24"/>
        </w:rPr>
        <w:t>;</w:t>
      </w:r>
      <w:r w:rsidRPr="00AA4677">
        <w:rPr>
          <w:rFonts w:eastAsia="Times New Roman" w:cs="Times New Roman"/>
          <w:szCs w:val="24"/>
        </w:rPr>
        <w:t xml:space="preserve"> and</w:t>
      </w:r>
    </w:p>
    <w:p w14:paraId="29AD3DB7" w14:textId="301859F0" w:rsidR="00FC174E" w:rsidRPr="00AA4677" w:rsidRDefault="00FC174E">
      <w:pPr>
        <w:numPr>
          <w:ilvl w:val="0"/>
          <w:numId w:val="300"/>
        </w:numPr>
        <w:shd w:val="clear" w:color="auto" w:fill="FFFFFF"/>
        <w:tabs>
          <w:tab w:val="num" w:pos="1080"/>
        </w:tabs>
        <w:spacing w:after="0" w:line="240" w:lineRule="auto"/>
        <w:rPr>
          <w:rFonts w:eastAsia="Times New Roman" w:cs="Times New Roman"/>
          <w:szCs w:val="24"/>
        </w:rPr>
      </w:pPr>
      <w:r w:rsidRPr="00AA4677">
        <w:rPr>
          <w:rFonts w:eastAsia="Times New Roman" w:cs="Times New Roman"/>
          <w:szCs w:val="24"/>
        </w:rPr>
        <w:t xml:space="preserve">For </w:t>
      </w:r>
      <w:proofErr w:type="gramStart"/>
      <w:r w:rsidRPr="00AA4677">
        <w:rPr>
          <w:rFonts w:eastAsia="Times New Roman" w:cs="Times New Roman"/>
          <w:szCs w:val="24"/>
        </w:rPr>
        <w:t>7-11 year olds</w:t>
      </w:r>
      <w:proofErr w:type="gramEnd"/>
      <w:r w:rsidRPr="00AA4677">
        <w:rPr>
          <w:rFonts w:eastAsia="Times New Roman" w:cs="Times New Roman"/>
          <w:szCs w:val="24"/>
        </w:rPr>
        <w:t>: via a note in the subject's research record that the assent discussion has occurred and the child's agreement has been obtained</w:t>
      </w:r>
      <w:r w:rsidR="00572079" w:rsidRPr="00AA4677">
        <w:rPr>
          <w:rFonts w:eastAsia="Times New Roman" w:cs="Times New Roman"/>
          <w:szCs w:val="24"/>
        </w:rPr>
        <w:t>.</w:t>
      </w:r>
    </w:p>
    <w:p w14:paraId="7625620E" w14:textId="6906E401" w:rsidR="00FC174E" w:rsidRPr="00AA4677" w:rsidRDefault="00FC174E" w:rsidP="00C129F1">
      <w:pPr>
        <w:numPr>
          <w:ilvl w:val="0"/>
          <w:numId w:val="35"/>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lastRenderedPageBreak/>
        <w:t>Potentially therapeutic protocol involving FDA- approved drugs, devices, radiation, procedures, etc. used in an experimental way (dosages, scheduling</w:t>
      </w:r>
      <w:r w:rsidR="00083063" w:rsidRPr="00AA4677">
        <w:rPr>
          <w:rFonts w:eastAsia="Times New Roman" w:cs="Times New Roman"/>
          <w:szCs w:val="24"/>
        </w:rPr>
        <w:t>,</w:t>
      </w:r>
      <w:r w:rsidRPr="00AA4677">
        <w:rPr>
          <w:rFonts w:eastAsia="Times New Roman" w:cs="Times New Roman"/>
          <w:szCs w:val="24"/>
        </w:rPr>
        <w:t xml:space="preserve"> etc</w:t>
      </w:r>
      <w:r w:rsidR="00083063" w:rsidRPr="00AA4677">
        <w:rPr>
          <w:rFonts w:eastAsia="Times New Roman" w:cs="Times New Roman"/>
          <w:szCs w:val="24"/>
        </w:rPr>
        <w:t>.</w:t>
      </w:r>
      <w:r w:rsidRPr="00AA4677">
        <w:rPr>
          <w:rFonts w:eastAsia="Times New Roman" w:cs="Times New Roman"/>
          <w:szCs w:val="24"/>
        </w:rPr>
        <w:t>). Assent must be documented as follows:</w:t>
      </w:r>
    </w:p>
    <w:p w14:paraId="132FA55B" w14:textId="3F2F3E03" w:rsidR="00FC174E" w:rsidRPr="00AA4677" w:rsidRDefault="00FC174E">
      <w:pPr>
        <w:numPr>
          <w:ilvl w:val="0"/>
          <w:numId w:val="30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For </w:t>
      </w:r>
      <w:proofErr w:type="gramStart"/>
      <w:r w:rsidRPr="00AA4677">
        <w:rPr>
          <w:rFonts w:eastAsia="Times New Roman" w:cs="Times New Roman"/>
          <w:szCs w:val="24"/>
        </w:rPr>
        <w:t>12-17 year olds</w:t>
      </w:r>
      <w:proofErr w:type="gramEnd"/>
      <w:r w:rsidRPr="00AA4677">
        <w:rPr>
          <w:rFonts w:eastAsia="Times New Roman" w:cs="Times New Roman"/>
          <w:szCs w:val="24"/>
        </w:rPr>
        <w:t>: via a</w:t>
      </w:r>
      <w:r w:rsidR="009C2BF5" w:rsidRPr="00AA4677">
        <w:rPr>
          <w:rFonts w:eastAsia="Times New Roman" w:cs="Times New Roman"/>
          <w:szCs w:val="24"/>
        </w:rPr>
        <w:t>n</w:t>
      </w:r>
      <w:r w:rsidRPr="00AA4677">
        <w:rPr>
          <w:rFonts w:eastAsia="Times New Roman" w:cs="Times New Roman"/>
          <w:szCs w:val="24"/>
        </w:rPr>
        <w:t xml:space="preserve"> assent form (containing highly simplified 'consent' informati</w:t>
      </w:r>
      <w:r w:rsidR="009C2BF5" w:rsidRPr="00AA4677">
        <w:rPr>
          <w:rFonts w:eastAsia="Times New Roman" w:cs="Times New Roman"/>
          <w:szCs w:val="24"/>
        </w:rPr>
        <w:t>on—see section below an</w:t>
      </w:r>
      <w:r w:rsidRPr="00AA4677">
        <w:rPr>
          <w:rFonts w:eastAsia="Times New Roman" w:cs="Times New Roman"/>
          <w:szCs w:val="24"/>
        </w:rPr>
        <w:t xml:space="preserve"> </w:t>
      </w:r>
      <w:r w:rsidR="009C2BF5" w:rsidRPr="00AA4677">
        <w:rPr>
          <w:rFonts w:eastAsia="Times New Roman" w:cs="Times New Roman"/>
          <w:szCs w:val="24"/>
        </w:rPr>
        <w:t>“</w:t>
      </w:r>
      <w:r w:rsidRPr="00AA4677">
        <w:rPr>
          <w:rFonts w:eastAsia="Times New Roman" w:cs="Times New Roman"/>
          <w:szCs w:val="24"/>
        </w:rPr>
        <w:t>Assent Form") that the child signs</w:t>
      </w:r>
      <w:r w:rsidR="009C2BF5" w:rsidRPr="00AA4677">
        <w:rPr>
          <w:rFonts w:eastAsia="Times New Roman" w:cs="Times New Roman"/>
          <w:szCs w:val="24"/>
        </w:rPr>
        <w:t>.</w:t>
      </w:r>
    </w:p>
    <w:p w14:paraId="25E747B0" w14:textId="578FD0D0" w:rsidR="00FC174E" w:rsidRPr="00AA4677" w:rsidRDefault="00FC174E">
      <w:pPr>
        <w:numPr>
          <w:ilvl w:val="0"/>
          <w:numId w:val="30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For </w:t>
      </w:r>
      <w:proofErr w:type="gramStart"/>
      <w:r w:rsidRPr="00AA4677">
        <w:rPr>
          <w:rFonts w:eastAsia="Times New Roman" w:cs="Times New Roman"/>
          <w:szCs w:val="24"/>
        </w:rPr>
        <w:t>7-11 year olds</w:t>
      </w:r>
      <w:proofErr w:type="gramEnd"/>
      <w:r w:rsidRPr="00AA4677">
        <w:rPr>
          <w:rFonts w:eastAsia="Times New Roman" w:cs="Times New Roman"/>
          <w:szCs w:val="24"/>
        </w:rPr>
        <w:t>: via a note in the subject's research record that the discussion has occurred and the child's agreement has been obtained</w:t>
      </w:r>
      <w:r w:rsidR="00572079" w:rsidRPr="00AA4677">
        <w:rPr>
          <w:rFonts w:eastAsia="Times New Roman" w:cs="Times New Roman"/>
          <w:szCs w:val="24"/>
        </w:rPr>
        <w:t>.</w:t>
      </w:r>
    </w:p>
    <w:p w14:paraId="34B5E42F" w14:textId="00B44E3A" w:rsidR="00FC174E" w:rsidRPr="00AA4677" w:rsidRDefault="00FC174E" w:rsidP="00C129F1">
      <w:pPr>
        <w:numPr>
          <w:ilvl w:val="0"/>
          <w:numId w:val="35"/>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Protocols th</w:t>
      </w:r>
      <w:r w:rsidR="00572079" w:rsidRPr="00AA4677">
        <w:rPr>
          <w:rFonts w:eastAsia="Times New Roman" w:cs="Times New Roman"/>
          <w:szCs w:val="24"/>
        </w:rPr>
        <w:t>at do not fit into categories (1</w:t>
      </w:r>
      <w:r w:rsidRPr="00AA4677">
        <w:rPr>
          <w:rFonts w:eastAsia="Times New Roman" w:cs="Times New Roman"/>
          <w:szCs w:val="24"/>
        </w:rPr>
        <w:t>), (</w:t>
      </w:r>
      <w:r w:rsidR="00572079" w:rsidRPr="00AA4677">
        <w:rPr>
          <w:rFonts w:eastAsia="Times New Roman" w:cs="Times New Roman"/>
          <w:szCs w:val="24"/>
        </w:rPr>
        <w:t>2</w:t>
      </w:r>
      <w:r w:rsidRPr="00AA4677">
        <w:rPr>
          <w:rFonts w:eastAsia="Times New Roman" w:cs="Times New Roman"/>
          <w:szCs w:val="24"/>
        </w:rPr>
        <w:t>), or (</w:t>
      </w:r>
      <w:r w:rsidR="00572079" w:rsidRPr="00AA4677">
        <w:rPr>
          <w:rFonts w:eastAsia="Times New Roman" w:cs="Times New Roman"/>
          <w:szCs w:val="24"/>
        </w:rPr>
        <w:t>3</w:t>
      </w:r>
      <w:r w:rsidRPr="00AA4677">
        <w:rPr>
          <w:rFonts w:eastAsia="Times New Roman" w:cs="Times New Roman"/>
          <w:szCs w:val="24"/>
        </w:rPr>
        <w:t>) above, but where assent is none-the-less required by NCI CIRB (for cooperative oncology protocols), or as otherwise required by the IRB. Assent must be documented as follows:</w:t>
      </w:r>
    </w:p>
    <w:p w14:paraId="2C1849AF" w14:textId="77777777" w:rsidR="00FC174E" w:rsidRPr="00AA4677" w:rsidRDefault="00FC174E">
      <w:pPr>
        <w:numPr>
          <w:ilvl w:val="0"/>
          <w:numId w:val="101"/>
        </w:numPr>
        <w:shd w:val="clear" w:color="auto" w:fill="FFFFFF"/>
        <w:tabs>
          <w:tab w:val="num" w:pos="1080"/>
        </w:tabs>
        <w:spacing w:after="0" w:line="240" w:lineRule="auto"/>
        <w:rPr>
          <w:rFonts w:eastAsia="Times New Roman" w:cs="Times New Roman"/>
          <w:szCs w:val="24"/>
        </w:rPr>
      </w:pPr>
      <w:r w:rsidRPr="00AA4677">
        <w:rPr>
          <w:rFonts w:eastAsia="Times New Roman" w:cs="Times New Roman"/>
          <w:szCs w:val="24"/>
        </w:rPr>
        <w:t xml:space="preserve">For </w:t>
      </w:r>
      <w:proofErr w:type="gramStart"/>
      <w:r w:rsidRPr="00AA4677">
        <w:rPr>
          <w:rFonts w:eastAsia="Times New Roman" w:cs="Times New Roman"/>
          <w:szCs w:val="24"/>
        </w:rPr>
        <w:t>7-11 year olds</w:t>
      </w:r>
      <w:proofErr w:type="gramEnd"/>
      <w:r w:rsidRPr="00AA4677">
        <w:rPr>
          <w:rFonts w:eastAsia="Times New Roman" w:cs="Times New Roman"/>
          <w:szCs w:val="24"/>
        </w:rPr>
        <w:t>: via a note in the subject's research record that the discussion has occurred and the child's agreement has been obtained.</w:t>
      </w:r>
    </w:p>
    <w:p w14:paraId="3ACF8349" w14:textId="7AC12BB8" w:rsidR="00FC174E" w:rsidRPr="00AA4677" w:rsidRDefault="00FC174E" w:rsidP="00572079">
      <w:pPr>
        <w:shd w:val="clear" w:color="auto" w:fill="FFFFFF"/>
        <w:spacing w:before="100" w:beforeAutospacing="1" w:after="100" w:afterAutospacing="1" w:line="240" w:lineRule="auto"/>
        <w:rPr>
          <w:rFonts w:eastAsia="Times New Roman" w:cs="Times New Roman"/>
          <w:b/>
          <w:szCs w:val="24"/>
        </w:rPr>
      </w:pPr>
      <w:r w:rsidRPr="00AA4677">
        <w:rPr>
          <w:rFonts w:eastAsia="Times New Roman" w:cs="Times New Roman"/>
          <w:b/>
          <w:szCs w:val="24"/>
        </w:rPr>
        <w:t>Assent is waived for:</w:t>
      </w:r>
    </w:p>
    <w:p w14:paraId="45EC50A6" w14:textId="5F1AED61" w:rsidR="00FC174E" w:rsidRPr="00AA4677" w:rsidRDefault="00FC174E" w:rsidP="00C129F1">
      <w:pPr>
        <w:numPr>
          <w:ilvl w:val="0"/>
          <w:numId w:val="36"/>
        </w:numPr>
        <w:shd w:val="clear" w:color="auto" w:fill="FFFFFF"/>
        <w:tabs>
          <w:tab w:val="num" w:pos="72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Non-therapeutic protocols where results of biological tests are required </w:t>
      </w:r>
      <w:proofErr w:type="gramStart"/>
      <w:r w:rsidRPr="00AA4677">
        <w:rPr>
          <w:rFonts w:eastAsia="Times New Roman" w:cs="Times New Roman"/>
          <w:szCs w:val="24"/>
        </w:rPr>
        <w:t>in order to</w:t>
      </w:r>
      <w:proofErr w:type="gramEnd"/>
      <w:r w:rsidRPr="00AA4677">
        <w:rPr>
          <w:rFonts w:eastAsia="Times New Roman" w:cs="Times New Roman"/>
          <w:szCs w:val="24"/>
        </w:rPr>
        <w:t xml:space="preserve"> determine eligibility for potentially therapeutic protocols (certain COG protocols)</w:t>
      </w:r>
      <w:r w:rsidR="00572079" w:rsidRPr="00AA4677">
        <w:rPr>
          <w:rFonts w:eastAsia="Times New Roman" w:cs="Times New Roman"/>
          <w:szCs w:val="24"/>
        </w:rPr>
        <w:t>.</w:t>
      </w:r>
    </w:p>
    <w:p w14:paraId="15DED4F0" w14:textId="77777777" w:rsidR="00FC174E" w:rsidRPr="00AA4677" w:rsidRDefault="00FC174E" w:rsidP="00C129F1">
      <w:pPr>
        <w:numPr>
          <w:ilvl w:val="0"/>
          <w:numId w:val="36"/>
        </w:numPr>
        <w:shd w:val="clear" w:color="auto" w:fill="FFFFFF"/>
        <w:tabs>
          <w:tab w:val="num" w:pos="720"/>
        </w:tabs>
        <w:spacing w:before="100" w:beforeAutospacing="1" w:after="100" w:afterAutospacing="1" w:line="240" w:lineRule="auto"/>
        <w:rPr>
          <w:rFonts w:eastAsia="Times New Roman" w:cs="Times New Roman"/>
          <w:szCs w:val="24"/>
        </w:rPr>
      </w:pPr>
      <w:r w:rsidRPr="00AA4677">
        <w:rPr>
          <w:rFonts w:eastAsia="Times New Roman" w:cs="Times New Roman"/>
          <w:szCs w:val="24"/>
        </w:rPr>
        <w:t>Potentially therapeutic protocols involving an experimental drug or procedure where there are no standard alternatives available, or where the risk/benefit profile of the standard alternatives that are available are such that participation in the protocol would be important to the health or well-being of the children. </w:t>
      </w:r>
    </w:p>
    <w:p w14:paraId="567A35A8" w14:textId="0FDC89AF" w:rsidR="00B8326A" w:rsidRPr="00AA4677" w:rsidRDefault="00B8326A" w:rsidP="00C129F1">
      <w:pPr>
        <w:numPr>
          <w:ilvl w:val="0"/>
          <w:numId w:val="36"/>
        </w:numPr>
        <w:shd w:val="clear" w:color="auto" w:fill="FFFFFF"/>
        <w:tabs>
          <w:tab w:val="num" w:pos="720"/>
        </w:tabs>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Studies where the subject population is too young, or the capability of some or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children is so </w:t>
      </w:r>
      <w:proofErr w:type="gramStart"/>
      <w:r w:rsidRPr="00AA4677">
        <w:rPr>
          <w:rFonts w:eastAsia="Times New Roman" w:cs="Times New Roman"/>
          <w:szCs w:val="24"/>
        </w:rPr>
        <w:t>limited,</w:t>
      </w:r>
      <w:proofErr w:type="gramEnd"/>
      <w:r w:rsidRPr="00AA4677">
        <w:rPr>
          <w:rFonts w:eastAsia="Times New Roman" w:cs="Times New Roman"/>
          <w:szCs w:val="24"/>
        </w:rPr>
        <w:t xml:space="preserve"> that they cannot reasonably be consulted   </w:t>
      </w:r>
    </w:p>
    <w:p w14:paraId="209BAC7E" w14:textId="3463DB07" w:rsidR="00FC174E" w:rsidRPr="00AA4677" w:rsidRDefault="00FC174E" w:rsidP="00572079">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Whether assent is required or waived, no physical or chemical means of restraint may be used on a minor subject unless specifically</w:t>
      </w:r>
      <w:r w:rsidR="00572079" w:rsidRPr="00AA4677">
        <w:rPr>
          <w:rFonts w:eastAsia="Times New Roman" w:cs="Times New Roman"/>
          <w:szCs w:val="24"/>
        </w:rPr>
        <w:t xml:space="preserve"> approved prior to use by the </w:t>
      </w:r>
      <w:r w:rsidR="00EE7207" w:rsidRPr="00AA4677">
        <w:rPr>
          <w:rFonts w:eastAsia="Times New Roman" w:cs="Times New Roman"/>
          <w:szCs w:val="24"/>
        </w:rPr>
        <w:t>IRB</w:t>
      </w:r>
      <w:r w:rsidRPr="00AA4677">
        <w:rPr>
          <w:rFonts w:eastAsia="Times New Roman" w:cs="Times New Roman"/>
          <w:szCs w:val="24"/>
        </w:rPr>
        <w:t>.</w:t>
      </w:r>
    </w:p>
    <w:p w14:paraId="0F35252F" w14:textId="6ABCDAD7" w:rsidR="00FC174E" w:rsidRPr="00AA4677" w:rsidRDefault="00FC174E" w:rsidP="00C36642">
      <w:pPr>
        <w:pStyle w:val="Heading5"/>
        <w:rPr>
          <w:b/>
          <w:color w:val="auto"/>
        </w:rPr>
      </w:pPr>
      <w:r w:rsidRPr="00AA4677">
        <w:rPr>
          <w:b/>
          <w:color w:val="auto"/>
        </w:rPr>
        <w:t>6</w:t>
      </w:r>
      <w:r w:rsidR="009C2BF5" w:rsidRPr="00AA4677">
        <w:rPr>
          <w:b/>
          <w:color w:val="auto"/>
        </w:rPr>
        <w:t>.8.2.2.1 </w:t>
      </w:r>
      <w:r w:rsidRPr="00AA4677">
        <w:rPr>
          <w:b/>
          <w:color w:val="auto"/>
        </w:rPr>
        <w:t>Assent Form:</w:t>
      </w:r>
    </w:p>
    <w:p w14:paraId="04E03386" w14:textId="0420ED9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This document must be an accurate and complete, but highly simplified version of the approved consent form/permission form for the study. It must be understandable to a </w:t>
      </w:r>
      <w:r w:rsidR="00A55C90" w:rsidRPr="00AA4677">
        <w:rPr>
          <w:rFonts w:eastAsia="Times New Roman" w:cs="Times New Roman"/>
          <w:szCs w:val="24"/>
        </w:rPr>
        <w:t>twelve (12)</w:t>
      </w:r>
      <w:r w:rsidRPr="00AA4677">
        <w:rPr>
          <w:rFonts w:eastAsia="Times New Roman" w:cs="Times New Roman"/>
          <w:szCs w:val="24"/>
        </w:rPr>
        <w:t xml:space="preserve"> year old (approximately 7th grade).</w:t>
      </w:r>
    </w:p>
    <w:p w14:paraId="28255F0B" w14:textId="31A72CCD" w:rsidR="00FC174E" w:rsidRPr="00AA4677" w:rsidRDefault="00A55C90" w:rsidP="002B5253">
      <w:pPr>
        <w:shd w:val="clear" w:color="auto" w:fill="FFFFFF"/>
        <w:spacing w:after="0" w:line="240" w:lineRule="auto"/>
        <w:rPr>
          <w:rFonts w:eastAsia="Times New Roman" w:cs="Times New Roman"/>
          <w:szCs w:val="24"/>
        </w:rPr>
      </w:pPr>
      <w:r w:rsidRPr="00AA4677">
        <w:rPr>
          <w:rFonts w:eastAsia="Times New Roman" w:cs="Times New Roman"/>
          <w:szCs w:val="24"/>
        </w:rPr>
        <w:t>Investigators</w:t>
      </w:r>
      <w:r w:rsidR="00FC174E" w:rsidRPr="00AA4677">
        <w:rPr>
          <w:rFonts w:eastAsia="Times New Roman" w:cs="Times New Roman"/>
          <w:szCs w:val="24"/>
        </w:rPr>
        <w:t xml:space="preserve"> should try to draft a form that is age appropriate and study specific, </w:t>
      </w:r>
      <w:proofErr w:type="gramStart"/>
      <w:r w:rsidR="00FC174E" w:rsidRPr="00AA4677">
        <w:rPr>
          <w:rFonts w:eastAsia="Times New Roman" w:cs="Times New Roman"/>
          <w:szCs w:val="24"/>
        </w:rPr>
        <w:t>taking into account</w:t>
      </w:r>
      <w:proofErr w:type="gramEnd"/>
      <w:r w:rsidR="00FC174E" w:rsidRPr="00AA4677">
        <w:rPr>
          <w:rFonts w:eastAsia="Times New Roman" w:cs="Times New Roman"/>
          <w:szCs w:val="24"/>
        </w:rPr>
        <w:t xml:space="preserve"> the typical child's experience and level of understanding, and composing a document that treats the child respectfully and conveys the essential information about the study. The assent form should:</w:t>
      </w:r>
    </w:p>
    <w:p w14:paraId="3CBBE7C9" w14:textId="2AC4225A" w:rsidR="00FC174E" w:rsidRPr="00AA4677" w:rsidRDefault="00A55C90" w:rsidP="00C129F1">
      <w:pPr>
        <w:numPr>
          <w:ilvl w:val="0"/>
          <w:numId w:val="37"/>
        </w:numPr>
        <w:shd w:val="clear" w:color="auto" w:fill="FFFFFF"/>
        <w:spacing w:after="0" w:line="240" w:lineRule="auto"/>
        <w:rPr>
          <w:rFonts w:eastAsia="Times New Roman" w:cs="Times New Roman"/>
          <w:szCs w:val="24"/>
        </w:rPr>
      </w:pPr>
      <w:proofErr w:type="gramStart"/>
      <w:r w:rsidRPr="00AA4677">
        <w:rPr>
          <w:rFonts w:eastAsia="Times New Roman" w:cs="Times New Roman"/>
          <w:szCs w:val="24"/>
        </w:rPr>
        <w:t>T</w:t>
      </w:r>
      <w:r w:rsidR="00FC174E" w:rsidRPr="00AA4677">
        <w:rPr>
          <w:rFonts w:eastAsia="Times New Roman" w:cs="Times New Roman"/>
          <w:szCs w:val="24"/>
        </w:rPr>
        <w:t>ell</w:t>
      </w:r>
      <w:proofErr w:type="gramEnd"/>
      <w:r w:rsidR="00FC174E" w:rsidRPr="00AA4677">
        <w:rPr>
          <w:rFonts w:eastAsia="Times New Roman" w:cs="Times New Roman"/>
          <w:szCs w:val="24"/>
        </w:rPr>
        <w:t xml:space="preserve"> why the research is being </w:t>
      </w:r>
      <w:proofErr w:type="gramStart"/>
      <w:r w:rsidR="00FC174E" w:rsidRPr="00AA4677">
        <w:rPr>
          <w:rFonts w:eastAsia="Times New Roman" w:cs="Times New Roman"/>
          <w:szCs w:val="24"/>
        </w:rPr>
        <w:t>conducted;</w:t>
      </w:r>
      <w:proofErr w:type="gramEnd"/>
    </w:p>
    <w:p w14:paraId="0FB7EC1B" w14:textId="1933A49A" w:rsidR="00FC174E" w:rsidRPr="00AA4677" w:rsidRDefault="00A55C90" w:rsidP="00C129F1">
      <w:pPr>
        <w:numPr>
          <w:ilvl w:val="0"/>
          <w:numId w:val="37"/>
        </w:numPr>
        <w:shd w:val="clear" w:color="auto" w:fill="FFFFFF"/>
        <w:spacing w:after="0" w:line="240" w:lineRule="auto"/>
        <w:rPr>
          <w:rFonts w:eastAsia="Times New Roman" w:cs="Times New Roman"/>
          <w:szCs w:val="24"/>
        </w:rPr>
      </w:pPr>
      <w:r w:rsidRPr="00AA4677">
        <w:rPr>
          <w:rFonts w:eastAsia="Times New Roman" w:cs="Times New Roman"/>
          <w:szCs w:val="24"/>
        </w:rPr>
        <w:t>D</w:t>
      </w:r>
      <w:r w:rsidR="00FC174E" w:rsidRPr="00AA4677">
        <w:rPr>
          <w:rFonts w:eastAsia="Times New Roman" w:cs="Times New Roman"/>
          <w:szCs w:val="24"/>
        </w:rPr>
        <w:t xml:space="preserve">escribe what will happen and for how long or how </w:t>
      </w:r>
      <w:proofErr w:type="gramStart"/>
      <w:r w:rsidR="00FC174E" w:rsidRPr="00AA4677">
        <w:rPr>
          <w:rFonts w:eastAsia="Times New Roman" w:cs="Times New Roman"/>
          <w:szCs w:val="24"/>
        </w:rPr>
        <w:t>often;</w:t>
      </w:r>
      <w:proofErr w:type="gramEnd"/>
    </w:p>
    <w:p w14:paraId="1DE9725F" w14:textId="0F6AEBB3" w:rsidR="00FC174E" w:rsidRPr="00AA4677" w:rsidRDefault="00A55C90" w:rsidP="00C129F1">
      <w:pPr>
        <w:numPr>
          <w:ilvl w:val="0"/>
          <w:numId w:val="37"/>
        </w:num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Sa</w:t>
      </w:r>
      <w:r w:rsidR="00FC174E" w:rsidRPr="00AA4677">
        <w:rPr>
          <w:rFonts w:eastAsia="Times New Roman" w:cs="Times New Roman"/>
          <w:szCs w:val="24"/>
        </w:rPr>
        <w:t xml:space="preserve">y it's up to the child to participate and that it's okay to say </w:t>
      </w:r>
      <w:proofErr w:type="gramStart"/>
      <w:r w:rsidR="00FC174E" w:rsidRPr="00AA4677">
        <w:rPr>
          <w:rFonts w:eastAsia="Times New Roman" w:cs="Times New Roman"/>
          <w:szCs w:val="24"/>
        </w:rPr>
        <w:t>no;</w:t>
      </w:r>
      <w:proofErr w:type="gramEnd"/>
    </w:p>
    <w:p w14:paraId="1FD56095" w14:textId="3552DD3A" w:rsidR="00FC174E" w:rsidRPr="00AA4677" w:rsidRDefault="00A55C90" w:rsidP="00C129F1">
      <w:pPr>
        <w:numPr>
          <w:ilvl w:val="0"/>
          <w:numId w:val="37"/>
        </w:numPr>
        <w:shd w:val="clear" w:color="auto" w:fill="FFFFFF"/>
        <w:spacing w:after="0" w:line="240" w:lineRule="auto"/>
        <w:rPr>
          <w:rFonts w:eastAsia="Times New Roman" w:cs="Times New Roman"/>
          <w:szCs w:val="24"/>
        </w:rPr>
      </w:pPr>
      <w:r w:rsidRPr="00AA4677">
        <w:rPr>
          <w:rFonts w:eastAsia="Times New Roman" w:cs="Times New Roman"/>
          <w:szCs w:val="24"/>
        </w:rPr>
        <w:t>Ex</w:t>
      </w:r>
      <w:r w:rsidR="00FC174E" w:rsidRPr="00AA4677">
        <w:rPr>
          <w:rFonts w:eastAsia="Times New Roman" w:cs="Times New Roman"/>
          <w:szCs w:val="24"/>
        </w:rPr>
        <w:t xml:space="preserve">plain if it </w:t>
      </w:r>
      <w:proofErr w:type="gramStart"/>
      <w:r w:rsidR="00FC174E" w:rsidRPr="00AA4677">
        <w:rPr>
          <w:rFonts w:eastAsia="Times New Roman" w:cs="Times New Roman"/>
          <w:szCs w:val="24"/>
        </w:rPr>
        <w:t>will hurt</w:t>
      </w:r>
      <w:proofErr w:type="gramEnd"/>
      <w:r w:rsidR="00FC174E" w:rsidRPr="00AA4677">
        <w:rPr>
          <w:rFonts w:eastAsia="Times New Roman" w:cs="Times New Roman"/>
          <w:szCs w:val="24"/>
        </w:rPr>
        <w:t xml:space="preserve"> and if so for how long and how </w:t>
      </w:r>
      <w:proofErr w:type="gramStart"/>
      <w:r w:rsidR="00FC174E" w:rsidRPr="00AA4677">
        <w:rPr>
          <w:rFonts w:eastAsia="Times New Roman" w:cs="Times New Roman"/>
          <w:szCs w:val="24"/>
        </w:rPr>
        <w:t>often;</w:t>
      </w:r>
      <w:proofErr w:type="gramEnd"/>
    </w:p>
    <w:p w14:paraId="57E70533" w14:textId="1113B633" w:rsidR="00FC174E" w:rsidRPr="00AA4677" w:rsidRDefault="00A55C90" w:rsidP="00C129F1">
      <w:pPr>
        <w:numPr>
          <w:ilvl w:val="0"/>
          <w:numId w:val="37"/>
        </w:numPr>
        <w:shd w:val="clear" w:color="auto" w:fill="FFFFFF"/>
        <w:spacing w:after="0" w:line="240" w:lineRule="auto"/>
        <w:rPr>
          <w:rFonts w:eastAsia="Times New Roman" w:cs="Times New Roman"/>
          <w:szCs w:val="24"/>
        </w:rPr>
      </w:pPr>
      <w:r w:rsidRPr="00AA4677">
        <w:rPr>
          <w:rFonts w:eastAsia="Times New Roman" w:cs="Times New Roman"/>
          <w:szCs w:val="24"/>
        </w:rPr>
        <w:t>S</w:t>
      </w:r>
      <w:r w:rsidR="00FC174E" w:rsidRPr="00AA4677">
        <w:rPr>
          <w:rFonts w:eastAsia="Times New Roman" w:cs="Times New Roman"/>
          <w:szCs w:val="24"/>
        </w:rPr>
        <w:t xml:space="preserve">ay what the child's other choices </w:t>
      </w:r>
      <w:proofErr w:type="gramStart"/>
      <w:r w:rsidR="00FC174E" w:rsidRPr="00AA4677">
        <w:rPr>
          <w:rFonts w:eastAsia="Times New Roman" w:cs="Times New Roman"/>
          <w:szCs w:val="24"/>
        </w:rPr>
        <w:t>are;</w:t>
      </w:r>
      <w:proofErr w:type="gramEnd"/>
    </w:p>
    <w:p w14:paraId="54BF63E5" w14:textId="3A35A98C" w:rsidR="00FC174E" w:rsidRPr="00AA4677" w:rsidRDefault="00A55C90" w:rsidP="00C129F1">
      <w:pPr>
        <w:numPr>
          <w:ilvl w:val="0"/>
          <w:numId w:val="37"/>
        </w:numPr>
        <w:shd w:val="clear" w:color="auto" w:fill="FFFFFF"/>
        <w:spacing w:after="0" w:line="240" w:lineRule="auto"/>
        <w:rPr>
          <w:rFonts w:eastAsia="Times New Roman" w:cs="Times New Roman"/>
          <w:szCs w:val="24"/>
        </w:rPr>
      </w:pPr>
      <w:r w:rsidRPr="00AA4677">
        <w:rPr>
          <w:rFonts w:eastAsia="Times New Roman" w:cs="Times New Roman"/>
          <w:szCs w:val="24"/>
        </w:rPr>
        <w:t>D</w:t>
      </w:r>
      <w:r w:rsidR="00FC174E" w:rsidRPr="00AA4677">
        <w:rPr>
          <w:rFonts w:eastAsia="Times New Roman" w:cs="Times New Roman"/>
          <w:szCs w:val="24"/>
        </w:rPr>
        <w:t xml:space="preserve">escribe any good things that might </w:t>
      </w:r>
      <w:proofErr w:type="gramStart"/>
      <w:r w:rsidR="00FC174E" w:rsidRPr="00AA4677">
        <w:rPr>
          <w:rFonts w:eastAsia="Times New Roman" w:cs="Times New Roman"/>
          <w:szCs w:val="24"/>
        </w:rPr>
        <w:t>happen;</w:t>
      </w:r>
      <w:proofErr w:type="gramEnd"/>
    </w:p>
    <w:p w14:paraId="4D683762" w14:textId="6504175F" w:rsidR="00FC174E" w:rsidRPr="00AA4677" w:rsidRDefault="00A55C90" w:rsidP="00C129F1">
      <w:pPr>
        <w:numPr>
          <w:ilvl w:val="0"/>
          <w:numId w:val="37"/>
        </w:numPr>
        <w:shd w:val="clear" w:color="auto" w:fill="FFFFFF"/>
        <w:spacing w:after="0" w:line="240" w:lineRule="auto"/>
        <w:rPr>
          <w:rFonts w:eastAsia="Times New Roman" w:cs="Times New Roman"/>
          <w:szCs w:val="24"/>
        </w:rPr>
      </w:pPr>
      <w:r w:rsidRPr="00AA4677">
        <w:rPr>
          <w:rFonts w:eastAsia="Times New Roman" w:cs="Times New Roman"/>
          <w:szCs w:val="24"/>
        </w:rPr>
        <w:t>S</w:t>
      </w:r>
      <w:r w:rsidR="00FC174E" w:rsidRPr="00AA4677">
        <w:rPr>
          <w:rFonts w:eastAsia="Times New Roman" w:cs="Times New Roman"/>
          <w:szCs w:val="24"/>
        </w:rPr>
        <w:t>ay whether there is any compensation for participating; and</w:t>
      </w:r>
    </w:p>
    <w:p w14:paraId="03085002" w14:textId="299DEEF2" w:rsidR="002B5253" w:rsidRPr="00AA4677" w:rsidRDefault="00ED069F" w:rsidP="00C129F1">
      <w:pPr>
        <w:numPr>
          <w:ilvl w:val="0"/>
          <w:numId w:val="37"/>
        </w:numPr>
        <w:shd w:val="clear" w:color="auto" w:fill="FFFFFF"/>
        <w:spacing w:after="0" w:line="240" w:lineRule="auto"/>
        <w:rPr>
          <w:rFonts w:eastAsia="Times New Roman" w:cs="Times New Roman"/>
          <w:szCs w:val="24"/>
        </w:rPr>
      </w:pPr>
      <w:r w:rsidRPr="00AA4677">
        <w:rPr>
          <w:rFonts w:eastAsia="Times New Roman" w:cs="Times New Roman"/>
          <w:szCs w:val="24"/>
        </w:rPr>
        <w:t>Who to a</w:t>
      </w:r>
      <w:r w:rsidR="00FC174E" w:rsidRPr="00AA4677">
        <w:rPr>
          <w:rFonts w:eastAsia="Times New Roman" w:cs="Times New Roman"/>
          <w:szCs w:val="24"/>
        </w:rPr>
        <w:t>sk for questions.</w:t>
      </w:r>
    </w:p>
    <w:p w14:paraId="1E191365" w14:textId="693CD6A8" w:rsidR="00FC174E" w:rsidRPr="00AA4677" w:rsidRDefault="00FC174E" w:rsidP="001D3801">
      <w:pPr>
        <w:pStyle w:val="Heading4"/>
      </w:pPr>
      <w:r w:rsidRPr="00AA4677">
        <w:t xml:space="preserve">6.8.2.3    Children </w:t>
      </w:r>
      <w:r w:rsidR="00B8326A" w:rsidRPr="00AA4677">
        <w:t>who</w:t>
      </w:r>
      <w:r w:rsidRPr="00AA4677">
        <w:t xml:space="preserve"> are Wards (‘Foster Children”)</w:t>
      </w:r>
    </w:p>
    <w:p w14:paraId="4309D2BF" w14:textId="5E03E44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Children who are wards of the State or any other agency, institution, or entity must be specifically permitted by </w:t>
      </w:r>
      <w:r w:rsidR="00A55C9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for inclusion in research involving greater than minimal risk and no prospect of direct benefit to individual subjects, but likely to yield </w:t>
      </w:r>
      <w:proofErr w:type="gramStart"/>
      <w:r w:rsidRPr="00AA4677">
        <w:rPr>
          <w:rFonts w:eastAsia="Times New Roman" w:cs="Times New Roman"/>
          <w:szCs w:val="24"/>
        </w:rPr>
        <w:t>generalizable</w:t>
      </w:r>
      <w:proofErr w:type="gramEnd"/>
      <w:r w:rsidRPr="00AA4677">
        <w:rPr>
          <w:rFonts w:eastAsia="Times New Roman" w:cs="Times New Roman"/>
          <w:szCs w:val="24"/>
        </w:rPr>
        <w:t xml:space="preserve"> knowledge about the subject's disorder or condition. Such </w:t>
      </w:r>
      <w:r w:rsidRPr="00AA4677">
        <w:rPr>
          <w:rFonts w:eastAsia="Times New Roman" w:cs="Times New Roman"/>
          <w:b/>
          <w:bCs/>
          <w:szCs w:val="24"/>
        </w:rPr>
        <w:t>research</w:t>
      </w:r>
      <w:r w:rsidRPr="00AA4677">
        <w:rPr>
          <w:rFonts w:eastAsia="Times New Roman" w:cs="Times New Roman"/>
          <w:szCs w:val="24"/>
        </w:rPr>
        <w:t> must be:</w:t>
      </w:r>
    </w:p>
    <w:p w14:paraId="6AE6C70B" w14:textId="32C39DBE" w:rsidR="00FC174E" w:rsidRPr="00AA4677" w:rsidRDefault="00A55C90" w:rsidP="00C129F1">
      <w:pPr>
        <w:numPr>
          <w:ilvl w:val="0"/>
          <w:numId w:val="38"/>
        </w:numPr>
        <w:shd w:val="clear" w:color="auto" w:fill="FFFFFF"/>
        <w:tabs>
          <w:tab w:val="clear" w:pos="72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R</w:t>
      </w:r>
      <w:r w:rsidR="00FC174E" w:rsidRPr="00AA4677">
        <w:rPr>
          <w:rFonts w:eastAsia="Times New Roman" w:cs="Times New Roman"/>
          <w:szCs w:val="24"/>
        </w:rPr>
        <w:t>elated to their status as wards; or</w:t>
      </w:r>
    </w:p>
    <w:p w14:paraId="326EF326" w14:textId="02F07513" w:rsidR="00FC174E" w:rsidRPr="00AA4677" w:rsidRDefault="00A55C90" w:rsidP="00C129F1">
      <w:pPr>
        <w:numPr>
          <w:ilvl w:val="0"/>
          <w:numId w:val="38"/>
        </w:numPr>
        <w:shd w:val="clear" w:color="auto" w:fill="FFFFFF"/>
        <w:tabs>
          <w:tab w:val="clear" w:pos="72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C</w:t>
      </w:r>
      <w:r w:rsidR="00FC174E" w:rsidRPr="00AA4677">
        <w:rPr>
          <w:rFonts w:eastAsia="Times New Roman" w:cs="Times New Roman"/>
          <w:szCs w:val="24"/>
        </w:rPr>
        <w:t xml:space="preserve">onducted in schools, camps, hospitals, institutions, or similar settings in which </w:t>
      </w:r>
      <w:proofErr w:type="gramStart"/>
      <w:r w:rsidR="00FC174E" w:rsidRPr="00AA4677">
        <w:rPr>
          <w:rFonts w:eastAsia="Times New Roman" w:cs="Times New Roman"/>
          <w:szCs w:val="24"/>
        </w:rPr>
        <w:t>the majority of</w:t>
      </w:r>
      <w:proofErr w:type="gramEnd"/>
      <w:r w:rsidR="00FC174E" w:rsidRPr="00AA4677">
        <w:rPr>
          <w:rFonts w:eastAsia="Times New Roman" w:cs="Times New Roman"/>
          <w:szCs w:val="24"/>
        </w:rPr>
        <w:t xml:space="preserve"> children involved as subjects are not </w:t>
      </w:r>
      <w:proofErr w:type="gramStart"/>
      <w:r w:rsidR="00FC174E" w:rsidRPr="00AA4677">
        <w:rPr>
          <w:rFonts w:eastAsia="Times New Roman" w:cs="Times New Roman"/>
          <w:szCs w:val="24"/>
        </w:rPr>
        <w:t>wards</w:t>
      </w:r>
      <w:proofErr w:type="gramEnd"/>
      <w:r w:rsidR="00FC174E" w:rsidRPr="00AA4677">
        <w:rPr>
          <w:rFonts w:eastAsia="Times New Roman" w:cs="Times New Roman"/>
          <w:szCs w:val="24"/>
        </w:rPr>
        <w:t>.</w:t>
      </w:r>
    </w:p>
    <w:p w14:paraId="6572BFE9" w14:textId="5658DA7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the research meets the </w:t>
      </w:r>
      <w:proofErr w:type="gramStart"/>
      <w:r w:rsidRPr="00AA4677">
        <w:rPr>
          <w:rFonts w:eastAsia="Times New Roman" w:cs="Times New Roman"/>
          <w:szCs w:val="24"/>
        </w:rPr>
        <w:t>condition(s)</w:t>
      </w:r>
      <w:proofErr w:type="gramEnd"/>
      <w:r w:rsidRPr="00AA4677">
        <w:rPr>
          <w:rFonts w:eastAsia="Times New Roman" w:cs="Times New Roman"/>
          <w:szCs w:val="24"/>
        </w:rPr>
        <w:t xml:space="preserve"> above, </w:t>
      </w:r>
      <w:r w:rsidR="00A55C9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require that an advocate must be appointed for each child who is a ward (one individual may serve as advocate for more than one child), in addition to any other individual acting on behalf of the child as legal guardian or in</w:t>
      </w:r>
      <w:r w:rsidRPr="00AA4677">
        <w:rPr>
          <w:rFonts w:eastAsia="Times New Roman" w:cs="Times New Roman"/>
          <w:i/>
          <w:iCs/>
          <w:szCs w:val="24"/>
        </w:rPr>
        <w:t> loco parentis.</w:t>
      </w:r>
    </w:p>
    <w:p w14:paraId="7E3935F1" w14:textId="29C3132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advocate must be an individual who has the background and experience to act in, and agrees to act in, the best interests of the child for the duration of the child's participation in the research and who is not associated in any way (except in the role as advocate or member of </w:t>
      </w:r>
      <w:r w:rsidR="00A55C9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with the research, the investigator(s), or the guardian organization.</w:t>
      </w:r>
    </w:p>
    <w:p w14:paraId="73D758C2" w14:textId="4DB09636" w:rsidR="00FC174E" w:rsidRPr="00AA4677" w:rsidRDefault="00FC174E" w:rsidP="00696B35">
      <w:pPr>
        <w:pStyle w:val="Heading2"/>
      </w:pPr>
      <w:bookmarkStart w:id="120" w:name="_Toc192678219"/>
      <w:r w:rsidRPr="00AA4677">
        <w:t>6.9 Persons with Impaired Decision</w:t>
      </w:r>
      <w:r w:rsidR="00632D4B" w:rsidRPr="00AA4677">
        <w:t>-</w:t>
      </w:r>
      <w:r w:rsidRPr="00AA4677">
        <w:t>Making Capacity</w:t>
      </w:r>
      <w:bookmarkEnd w:id="120"/>
    </w:p>
    <w:p w14:paraId="4BE3381A"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requirements in this section apply to all research involving adults with impaired decision-making capacity regardless of funding source. Section 5.5 should be reviewed for required processes to be followed to ascertain a subject’s capacity to consent for research.</w:t>
      </w:r>
    </w:p>
    <w:p w14:paraId="66EC16E8" w14:textId="3BC290E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szCs w:val="24"/>
        </w:rPr>
        <w:t>In order to</w:t>
      </w:r>
      <w:proofErr w:type="gramEnd"/>
      <w:r w:rsidRPr="00AA4677">
        <w:rPr>
          <w:rFonts w:eastAsia="Times New Roman" w:cs="Times New Roman"/>
          <w:szCs w:val="24"/>
        </w:rPr>
        <w:t xml:space="preserve"> include such a population in research, the investigator must demonstrate to </w:t>
      </w:r>
      <w:r w:rsidR="00310498"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that there is a compelling reason to do so, and that the aims of the research cannot be accomplished without their inclusion.  </w:t>
      </w:r>
    </w:p>
    <w:p w14:paraId="0A37BDD7"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An appropriate legally authorized representative (LAR), as defined above, must give surrogate permission for the patient’s inclusion in the research. The LAR must be told that their obligation is </w:t>
      </w:r>
      <w:r w:rsidRPr="00AA4677">
        <w:rPr>
          <w:rFonts w:eastAsia="Times New Roman" w:cs="Times New Roman"/>
          <w:szCs w:val="24"/>
        </w:rPr>
        <w:lastRenderedPageBreak/>
        <w:t xml:space="preserve">to try to determine what the subject would do if competent, or if the subject's wishes cannot be determined, what they think is in the incompetent person's best interest. The subject’s assent should also be obtained whenever possible. If the subject’s condition is such that decision-making capacity may be regained, the investigator is obligated to repeat the consent process with the </w:t>
      </w:r>
      <w:proofErr w:type="gramStart"/>
      <w:r w:rsidRPr="00AA4677">
        <w:rPr>
          <w:rFonts w:eastAsia="Times New Roman" w:cs="Times New Roman"/>
          <w:szCs w:val="24"/>
        </w:rPr>
        <w:t>subject, and</w:t>
      </w:r>
      <w:proofErr w:type="gramEnd"/>
      <w:r w:rsidRPr="00AA4677">
        <w:rPr>
          <w:rFonts w:eastAsia="Times New Roman" w:cs="Times New Roman"/>
          <w:szCs w:val="24"/>
        </w:rPr>
        <w:t xml:space="preserve"> obtain the subject’s consent to continue in the study.</w:t>
      </w:r>
    </w:p>
    <w:p w14:paraId="57A82703" w14:textId="76C6ABC4" w:rsidR="00FC174E" w:rsidRPr="00AA4677" w:rsidRDefault="00CB0C0B" w:rsidP="00C57C98">
      <w:pPr>
        <w:pStyle w:val="Heading3"/>
      </w:pPr>
      <w:r w:rsidRPr="00AA4677">
        <w:t> 6.9.1 </w:t>
      </w:r>
      <w:r w:rsidR="00EE7207" w:rsidRPr="00AA4677">
        <w:t>IRB</w:t>
      </w:r>
      <w:r w:rsidR="00FC174E" w:rsidRPr="00AA4677">
        <w:t xml:space="preserve"> Composition and Additional Protections</w:t>
      </w:r>
    </w:p>
    <w:p w14:paraId="68ED7B73" w14:textId="195E7D4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For research constituting more than minimal risk</w:t>
      </w:r>
      <w:r w:rsidRPr="00AA4677">
        <w:rPr>
          <w:rFonts w:eastAsia="Times New Roman" w:cs="Times New Roman"/>
          <w:szCs w:val="24"/>
        </w:rPr>
        <w:t xml:space="preserve"> at least one </w:t>
      </w:r>
      <w:r w:rsidR="00EE7207" w:rsidRPr="00AA4677">
        <w:rPr>
          <w:rFonts w:eastAsia="Times New Roman" w:cs="Times New Roman"/>
          <w:szCs w:val="24"/>
        </w:rPr>
        <w:t>IRB</w:t>
      </w:r>
      <w:r w:rsidRPr="00AA4677">
        <w:rPr>
          <w:rFonts w:eastAsia="Times New Roman" w:cs="Times New Roman"/>
          <w:szCs w:val="24"/>
        </w:rPr>
        <w:t xml:space="preserve"> member who is knowledgeable </w:t>
      </w:r>
      <w:proofErr w:type="gramStart"/>
      <w:r w:rsidRPr="00AA4677">
        <w:rPr>
          <w:rFonts w:eastAsia="Times New Roman" w:cs="Times New Roman"/>
          <w:szCs w:val="24"/>
        </w:rPr>
        <w:t>about, or</w:t>
      </w:r>
      <w:proofErr w:type="gramEnd"/>
      <w:r w:rsidRPr="00AA4677">
        <w:rPr>
          <w:rFonts w:eastAsia="Times New Roman" w:cs="Times New Roman"/>
          <w:szCs w:val="24"/>
        </w:rPr>
        <w:t xml:space="preserve"> experienced in working with subjects who are </w:t>
      </w:r>
      <w:proofErr w:type="gramStart"/>
      <w:r w:rsidRPr="00AA4677">
        <w:rPr>
          <w:rFonts w:eastAsia="Times New Roman" w:cs="Times New Roman"/>
          <w:szCs w:val="24"/>
        </w:rPr>
        <w:t>decisionally-impaired</w:t>
      </w:r>
      <w:proofErr w:type="gramEnd"/>
      <w:r w:rsidRPr="00AA4677">
        <w:rPr>
          <w:rFonts w:eastAsia="Times New Roman" w:cs="Times New Roman"/>
          <w:szCs w:val="24"/>
        </w:rPr>
        <w:t>, will be present for the review.</w:t>
      </w:r>
    </w:p>
    <w:p w14:paraId="79A5D10D" w14:textId="58F7F2BD" w:rsidR="00FC174E" w:rsidRPr="00AA4677" w:rsidRDefault="00FC174E" w:rsidP="00310498">
      <w:pPr>
        <w:shd w:val="clear" w:color="auto" w:fill="FFFFFF"/>
        <w:spacing w:after="0" w:line="240" w:lineRule="auto"/>
        <w:rPr>
          <w:rFonts w:eastAsia="Times New Roman" w:cs="Times New Roman"/>
          <w:szCs w:val="24"/>
        </w:rPr>
      </w:pPr>
      <w:r w:rsidRPr="00AA4677">
        <w:rPr>
          <w:rFonts w:eastAsia="Times New Roman" w:cs="Times New Roman"/>
          <w:b/>
          <w:bCs/>
          <w:szCs w:val="24"/>
        </w:rPr>
        <w:t>For research involving more than minimal risk, without the prospect of direct benefit to the subject</w:t>
      </w:r>
      <w:r w:rsidRPr="00AA4677">
        <w:rPr>
          <w:rFonts w:eastAsia="Times New Roman" w:cs="Times New Roman"/>
          <w:szCs w:val="24"/>
        </w:rPr>
        <w:t xml:space="preserve">, additional </w:t>
      </w:r>
      <w:proofErr w:type="gramStart"/>
      <w:r w:rsidRPr="00AA4677">
        <w:rPr>
          <w:rFonts w:eastAsia="Times New Roman" w:cs="Times New Roman"/>
          <w:szCs w:val="24"/>
        </w:rPr>
        <w:t>protections</w:t>
      </w:r>
      <w:proofErr w:type="gramEnd"/>
      <w:r w:rsidRPr="00AA4677">
        <w:rPr>
          <w:rFonts w:eastAsia="Times New Roman" w:cs="Times New Roman"/>
          <w:szCs w:val="24"/>
        </w:rPr>
        <w:t xml:space="preserve"> to the subjects may include one or </w:t>
      </w:r>
      <w:proofErr w:type="gramStart"/>
      <w:r w:rsidRPr="00AA4677">
        <w:rPr>
          <w:rFonts w:eastAsia="Times New Roman" w:cs="Times New Roman"/>
          <w:szCs w:val="24"/>
        </w:rPr>
        <w:t>both of the requirements</w:t>
      </w:r>
      <w:proofErr w:type="gramEnd"/>
      <w:r w:rsidRPr="00AA4677">
        <w:rPr>
          <w:rFonts w:eastAsia="Times New Roman" w:cs="Times New Roman"/>
          <w:szCs w:val="24"/>
        </w:rPr>
        <w:t xml:space="preserve"> below, as deemed appropriate by </w:t>
      </w:r>
      <w:r w:rsidR="00310498"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w:t>
      </w:r>
    </w:p>
    <w:p w14:paraId="6951DD9A" w14:textId="3B282B7B" w:rsidR="00FC174E" w:rsidRPr="00AA4677" w:rsidRDefault="00FC174E">
      <w:pPr>
        <w:pStyle w:val="ListParagraph"/>
        <w:numPr>
          <w:ilvl w:val="0"/>
          <w:numId w:val="102"/>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 documented determination by </w:t>
      </w:r>
      <w:r w:rsidR="00310498"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that the research is of </w:t>
      </w:r>
      <w:r w:rsidRPr="00AA4677">
        <w:rPr>
          <w:rFonts w:eastAsia="Times New Roman" w:cs="Times New Roman"/>
          <w:b/>
          <w:bCs/>
          <w:szCs w:val="24"/>
        </w:rPr>
        <w:t>vital importance</w:t>
      </w:r>
      <w:r w:rsidRPr="00AA4677">
        <w:rPr>
          <w:rFonts w:eastAsia="Times New Roman" w:cs="Times New Roman"/>
          <w:szCs w:val="24"/>
        </w:rPr>
        <w:t>, i.e., there is clear and significant evidence that the use of such a procedure or intervention presents a reasonable opportunity to further the understanding of the etiology, prevention, diagnosis, pathophysiology, or alleviation or treat</w:t>
      </w:r>
      <w:r w:rsidR="00310498" w:rsidRPr="00AA4677">
        <w:rPr>
          <w:rFonts w:eastAsia="Times New Roman" w:cs="Times New Roman"/>
          <w:szCs w:val="24"/>
        </w:rPr>
        <w:t>ment of a condition or disorder;</w:t>
      </w:r>
      <w:r w:rsidRPr="00AA4677">
        <w:rPr>
          <w:rFonts w:eastAsia="Times New Roman" w:cs="Times New Roman"/>
          <w:szCs w:val="24"/>
        </w:rPr>
        <w:t xml:space="preserve"> and/or</w:t>
      </w:r>
    </w:p>
    <w:p w14:paraId="04AF3CC8" w14:textId="0713978D" w:rsidR="00FC174E" w:rsidRPr="00AA4677" w:rsidRDefault="00FC174E">
      <w:pPr>
        <w:pStyle w:val="ListParagraph"/>
        <w:numPr>
          <w:ilvl w:val="0"/>
          <w:numId w:val="102"/>
        </w:numPr>
        <w:shd w:val="clear" w:color="auto" w:fill="FFFFFF"/>
        <w:spacing w:after="0" w:line="240" w:lineRule="auto"/>
        <w:rPr>
          <w:rFonts w:eastAsia="Times New Roman" w:cs="Times New Roman"/>
          <w:szCs w:val="24"/>
        </w:rPr>
      </w:pPr>
      <w:r w:rsidRPr="00AA4677">
        <w:rPr>
          <w:rFonts w:eastAsia="Times New Roman" w:cs="Times New Roman"/>
          <w:szCs w:val="24"/>
        </w:rPr>
        <w:t>Consultation with one or more representatives of a relevant advocacy group</w:t>
      </w:r>
      <w:r w:rsidR="00310498" w:rsidRPr="00AA4677">
        <w:rPr>
          <w:rFonts w:eastAsia="Times New Roman" w:cs="Times New Roman"/>
          <w:szCs w:val="24"/>
        </w:rPr>
        <w:t>.</w:t>
      </w:r>
    </w:p>
    <w:p w14:paraId="51BB8458" w14:textId="768164D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As with any study, </w:t>
      </w:r>
      <w:r w:rsidR="00310498"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retains the right to have a member of the</w:t>
      </w:r>
      <w:r w:rsidR="00310498"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or ORC to monitor/witness the consent processes with the patient’s LAR.</w:t>
      </w:r>
    </w:p>
    <w:p w14:paraId="6BEA65BF" w14:textId="5DFABA37" w:rsidR="00FC174E" w:rsidRPr="00AA4677" w:rsidRDefault="00FC174E" w:rsidP="00C57C98">
      <w:pPr>
        <w:pStyle w:val="Heading3"/>
      </w:pPr>
      <w:r w:rsidRPr="00AA4677">
        <w:t> 6.9.2 Determining Decision Making Capacity</w:t>
      </w:r>
    </w:p>
    <w:p w14:paraId="1A4E3551"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(See Section 5.5 for general discussion of the consent process required to determine the decision-making capacity of all potential research subjects.)</w:t>
      </w:r>
    </w:p>
    <w:p w14:paraId="456031AD" w14:textId="77777777" w:rsidR="00FC174E" w:rsidRPr="00AA4677" w:rsidRDefault="00FC174E" w:rsidP="00C129F1">
      <w:pPr>
        <w:numPr>
          <w:ilvl w:val="0"/>
          <w:numId w:val="3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Certain individuals, such as those with severe dementia, or severe mental retardation, will have a diminished capacity to provide consent. For these individuals, see the section on 'Surrogate Consent,' below.</w:t>
      </w:r>
    </w:p>
    <w:p w14:paraId="165E9E1B" w14:textId="77777777" w:rsidR="00FC174E" w:rsidRPr="00AA4677" w:rsidRDefault="00FC174E" w:rsidP="00C129F1">
      <w:pPr>
        <w:numPr>
          <w:ilvl w:val="0"/>
          <w:numId w:val="39"/>
        </w:numPr>
        <w:shd w:val="clear" w:color="auto" w:fill="FFFFFF"/>
        <w:spacing w:after="0" w:line="240" w:lineRule="auto"/>
        <w:rPr>
          <w:rFonts w:eastAsia="Times New Roman" w:cs="Times New Roman"/>
          <w:szCs w:val="24"/>
        </w:rPr>
      </w:pPr>
      <w:r w:rsidRPr="00AA4677">
        <w:rPr>
          <w:rFonts w:eastAsia="Times New Roman" w:cs="Times New Roman"/>
          <w:szCs w:val="24"/>
        </w:rPr>
        <w:t>For other individuals, it will not always be easy to predict whether capacity will be diminished given the following:</w:t>
      </w:r>
    </w:p>
    <w:p w14:paraId="46E426A2" w14:textId="77777777" w:rsidR="00FC174E" w:rsidRPr="00AA4677" w:rsidRDefault="00FC174E">
      <w:pPr>
        <w:numPr>
          <w:ilvl w:val="0"/>
          <w:numId w:val="103"/>
        </w:numPr>
        <w:shd w:val="clear" w:color="auto" w:fill="FFFFFF"/>
        <w:spacing w:after="0" w:line="240" w:lineRule="auto"/>
        <w:ind w:left="360"/>
        <w:rPr>
          <w:rFonts w:eastAsia="Times New Roman" w:cs="Times New Roman"/>
          <w:szCs w:val="24"/>
        </w:rPr>
      </w:pPr>
      <w:r w:rsidRPr="00AA4677">
        <w:rPr>
          <w:rFonts w:eastAsia="Times New Roman" w:cs="Times New Roman"/>
          <w:szCs w:val="24"/>
        </w:rPr>
        <w:t>Many individuals with psychiatric illnesses have the capacity to provide consent.</w:t>
      </w:r>
    </w:p>
    <w:p w14:paraId="39AAF0DD" w14:textId="1EB8503A" w:rsidR="00FC174E" w:rsidRPr="00AA4677" w:rsidRDefault="00FC174E">
      <w:pPr>
        <w:numPr>
          <w:ilvl w:val="0"/>
          <w:numId w:val="103"/>
        </w:numPr>
        <w:shd w:val="clear" w:color="auto" w:fill="FFFFFF"/>
        <w:spacing w:after="0" w:line="240" w:lineRule="auto"/>
        <w:ind w:left="360"/>
        <w:rPr>
          <w:rFonts w:eastAsia="Times New Roman" w:cs="Times New Roman"/>
          <w:szCs w:val="24"/>
        </w:rPr>
      </w:pPr>
      <w:r w:rsidRPr="00AA4677">
        <w:rPr>
          <w:rFonts w:eastAsia="Times New Roman" w:cs="Times New Roman"/>
          <w:szCs w:val="24"/>
        </w:rPr>
        <w:t>Medical illnesses (e.g. cerebral insult) may be accompanied by an impaired capacity to consent.</w:t>
      </w:r>
    </w:p>
    <w:p w14:paraId="6DE72A38" w14:textId="77777777" w:rsidR="00FC174E" w:rsidRPr="00AA4677" w:rsidRDefault="00FC174E">
      <w:pPr>
        <w:numPr>
          <w:ilvl w:val="0"/>
          <w:numId w:val="103"/>
        </w:numPr>
        <w:shd w:val="clear" w:color="auto" w:fill="FFFFFF"/>
        <w:spacing w:after="0" w:line="240" w:lineRule="auto"/>
        <w:ind w:left="360"/>
        <w:rPr>
          <w:rFonts w:eastAsia="Times New Roman" w:cs="Times New Roman"/>
          <w:szCs w:val="24"/>
        </w:rPr>
      </w:pPr>
      <w:r w:rsidRPr="00AA4677">
        <w:rPr>
          <w:rFonts w:eastAsia="Times New Roman" w:cs="Times New Roman"/>
          <w:szCs w:val="24"/>
        </w:rPr>
        <w:lastRenderedPageBreak/>
        <w:t>Upon learning of a serious diagnosis (e.g. cancer), psychological "shock" may temporarily impair a person's capacity to provide consent, although the illness does not affect decisional capacity in and of itself.</w:t>
      </w:r>
    </w:p>
    <w:p w14:paraId="584BA1AD" w14:textId="77777777" w:rsidR="00FC174E" w:rsidRPr="00AA4677" w:rsidRDefault="00FC174E">
      <w:pPr>
        <w:numPr>
          <w:ilvl w:val="0"/>
          <w:numId w:val="103"/>
        </w:numPr>
        <w:shd w:val="clear" w:color="auto" w:fill="FFFFFF"/>
        <w:spacing w:after="0" w:line="240" w:lineRule="auto"/>
        <w:ind w:left="360"/>
        <w:rPr>
          <w:rFonts w:eastAsia="Times New Roman" w:cs="Times New Roman"/>
          <w:szCs w:val="24"/>
        </w:rPr>
      </w:pPr>
      <w:r w:rsidRPr="00AA4677">
        <w:rPr>
          <w:rFonts w:eastAsia="Times New Roman" w:cs="Times New Roman"/>
          <w:szCs w:val="24"/>
        </w:rPr>
        <w:t>Individuals who are intoxicated with alcohol or with drugs may be unable to consent to research until the intoxication resolves.</w:t>
      </w:r>
    </w:p>
    <w:p w14:paraId="68410427" w14:textId="77777777" w:rsidR="000216F7" w:rsidRPr="00AA4677" w:rsidRDefault="000216F7" w:rsidP="000216F7">
      <w:pPr>
        <w:shd w:val="clear" w:color="auto" w:fill="FFFFFF"/>
        <w:spacing w:after="0" w:line="240" w:lineRule="auto"/>
        <w:rPr>
          <w:rFonts w:eastAsia="Times New Roman" w:cs="Times New Roman"/>
          <w:szCs w:val="24"/>
        </w:rPr>
      </w:pPr>
    </w:p>
    <w:p w14:paraId="68864316" w14:textId="77777777" w:rsidR="00FC174E" w:rsidRPr="00AA4677" w:rsidRDefault="00FC174E" w:rsidP="00C97D8A">
      <w:pPr>
        <w:shd w:val="clear" w:color="auto" w:fill="FFFFFF"/>
        <w:spacing w:after="0" w:line="240" w:lineRule="auto"/>
        <w:rPr>
          <w:rFonts w:eastAsia="Times New Roman" w:cs="Times New Roman"/>
          <w:szCs w:val="24"/>
        </w:rPr>
      </w:pPr>
      <w:r w:rsidRPr="00AA4677">
        <w:rPr>
          <w:rFonts w:eastAsia="Times New Roman" w:cs="Times New Roman"/>
          <w:szCs w:val="24"/>
        </w:rPr>
        <w:t>In assessing capacity, it is important to note that capacity is neither a constant nor an absolute. For example:</w:t>
      </w:r>
    </w:p>
    <w:p w14:paraId="01C889A6" w14:textId="77777777" w:rsidR="00FC174E" w:rsidRPr="00AA4677" w:rsidRDefault="00FC174E">
      <w:pPr>
        <w:numPr>
          <w:ilvl w:val="0"/>
          <w:numId w:val="103"/>
        </w:num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Stroke victims may not have the capacity to consent to research immediately after the onset of </w:t>
      </w:r>
      <w:proofErr w:type="gramStart"/>
      <w:r w:rsidRPr="00AA4677">
        <w:rPr>
          <w:rFonts w:eastAsia="Times New Roman" w:cs="Times New Roman"/>
          <w:szCs w:val="24"/>
        </w:rPr>
        <w:t>stroke, but</w:t>
      </w:r>
      <w:proofErr w:type="gramEnd"/>
      <w:r w:rsidRPr="00AA4677">
        <w:rPr>
          <w:rFonts w:eastAsia="Times New Roman" w:cs="Times New Roman"/>
          <w:szCs w:val="24"/>
        </w:rPr>
        <w:t xml:space="preserve"> may develop capacity as recovery progresses.</w:t>
      </w:r>
    </w:p>
    <w:p w14:paraId="055552F1" w14:textId="77777777" w:rsidR="00FC174E" w:rsidRPr="00AA4677" w:rsidRDefault="00FC174E">
      <w:pPr>
        <w:numPr>
          <w:ilvl w:val="0"/>
          <w:numId w:val="103"/>
        </w:numPr>
        <w:shd w:val="clear" w:color="auto" w:fill="FFFFFF"/>
        <w:spacing w:after="0" w:line="240" w:lineRule="auto"/>
        <w:ind w:left="360"/>
        <w:rPr>
          <w:rFonts w:eastAsia="Times New Roman" w:cs="Times New Roman"/>
          <w:szCs w:val="24"/>
        </w:rPr>
      </w:pPr>
      <w:r w:rsidRPr="00AA4677">
        <w:rPr>
          <w:rFonts w:eastAsia="Times New Roman" w:cs="Times New Roman"/>
          <w:szCs w:val="24"/>
        </w:rPr>
        <w:t>Patients in the early stages of Alzheimer's disease may initially have the capacity to consent to research, but as the disease progresses, may lose the ability to decide to continue or withdraw from that research.</w:t>
      </w:r>
    </w:p>
    <w:p w14:paraId="355B8C6B" w14:textId="77777777" w:rsidR="00FC174E" w:rsidRPr="00AA4677" w:rsidRDefault="00FC174E">
      <w:pPr>
        <w:numPr>
          <w:ilvl w:val="0"/>
          <w:numId w:val="103"/>
        </w:numPr>
        <w:shd w:val="clear" w:color="auto" w:fill="FFFFFF"/>
        <w:spacing w:after="0" w:line="240" w:lineRule="auto"/>
        <w:ind w:left="360"/>
        <w:rPr>
          <w:rFonts w:eastAsia="Times New Roman" w:cs="Times New Roman"/>
          <w:szCs w:val="24"/>
        </w:rPr>
      </w:pPr>
      <w:r w:rsidRPr="00AA4677">
        <w:rPr>
          <w:rFonts w:eastAsia="Times New Roman" w:cs="Times New Roman"/>
          <w:szCs w:val="24"/>
        </w:rPr>
        <w:t>Patients with schizophrenia often experience acute psychotic episodes followed by periods of lucidity.</w:t>
      </w:r>
    </w:p>
    <w:p w14:paraId="1426BD6E" w14:textId="77777777" w:rsidR="00FC174E" w:rsidRPr="00AA4677" w:rsidRDefault="00FC174E">
      <w:pPr>
        <w:numPr>
          <w:ilvl w:val="0"/>
          <w:numId w:val="103"/>
        </w:num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Patients who learn they are terminally </w:t>
      </w:r>
      <w:proofErr w:type="gramStart"/>
      <w:r w:rsidRPr="00AA4677">
        <w:rPr>
          <w:rFonts w:eastAsia="Times New Roman" w:cs="Times New Roman"/>
          <w:szCs w:val="24"/>
        </w:rPr>
        <w:t>ill,</w:t>
      </w:r>
      <w:proofErr w:type="gramEnd"/>
      <w:r w:rsidRPr="00AA4677">
        <w:rPr>
          <w:rFonts w:eastAsia="Times New Roman" w:cs="Times New Roman"/>
          <w:szCs w:val="24"/>
        </w:rPr>
        <w:t xml:space="preserve"> often experience an initial short-lived period of emotional shock and denial which impairs their capacity to provide consent.</w:t>
      </w:r>
    </w:p>
    <w:p w14:paraId="21494448" w14:textId="77777777" w:rsidR="000216F7" w:rsidRPr="00AA4677" w:rsidRDefault="000216F7" w:rsidP="001E22E4">
      <w:pPr>
        <w:shd w:val="clear" w:color="auto" w:fill="FFFFFF"/>
        <w:spacing w:after="0" w:line="240" w:lineRule="auto"/>
        <w:ind w:left="360" w:hanging="360"/>
        <w:rPr>
          <w:rFonts w:eastAsia="Times New Roman" w:cs="Times New Roman"/>
          <w:szCs w:val="24"/>
        </w:rPr>
      </w:pPr>
    </w:p>
    <w:p w14:paraId="2D3DE404" w14:textId="77777777" w:rsidR="00FC174E" w:rsidRPr="00AA4677" w:rsidRDefault="00FC174E" w:rsidP="001E22E4">
      <w:pPr>
        <w:shd w:val="clear" w:color="auto" w:fill="FFFFFF"/>
        <w:spacing w:after="0" w:line="240" w:lineRule="auto"/>
        <w:ind w:left="360" w:hanging="360"/>
        <w:rPr>
          <w:rFonts w:eastAsia="Times New Roman" w:cs="Times New Roman"/>
          <w:szCs w:val="24"/>
        </w:rPr>
      </w:pPr>
      <w:r w:rsidRPr="00AA4677">
        <w:rPr>
          <w:rFonts w:eastAsia="Times New Roman" w:cs="Times New Roman"/>
          <w:szCs w:val="24"/>
        </w:rPr>
        <w:t>The requisite level of capacity will necessarily vary from study to study and will depend on:</w:t>
      </w:r>
    </w:p>
    <w:p w14:paraId="3A612E61" w14:textId="69627291" w:rsidR="00FC174E" w:rsidRPr="00AA4677" w:rsidRDefault="000216F7">
      <w:pPr>
        <w:numPr>
          <w:ilvl w:val="0"/>
          <w:numId w:val="103"/>
        </w:numPr>
        <w:shd w:val="clear" w:color="auto" w:fill="FFFFFF"/>
        <w:spacing w:after="0" w:line="240" w:lineRule="auto"/>
        <w:ind w:left="360"/>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 complexity of the information being presented, and</w:t>
      </w:r>
    </w:p>
    <w:p w14:paraId="66C92099" w14:textId="16EF33A8" w:rsidR="00FC174E" w:rsidRPr="00AA4677" w:rsidRDefault="000216F7">
      <w:pPr>
        <w:numPr>
          <w:ilvl w:val="0"/>
          <w:numId w:val="103"/>
        </w:numPr>
        <w:shd w:val="clear" w:color="auto" w:fill="FFFFFF"/>
        <w:spacing w:after="0" w:line="240" w:lineRule="auto"/>
        <w:ind w:left="360"/>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 relative risks and benefits of the study (deciding to participate in a blood drawing protocol is 'easier' than deciding to participate in an experimental drug trial).</w:t>
      </w:r>
    </w:p>
    <w:p w14:paraId="4CF47EE0" w14:textId="0A9DBF56"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Therefore, when developing a research proposal, the investigator must determine whether the study will include any subjects who may not have the capacity to consent to the research, either initially, or at some point </w:t>
      </w:r>
      <w:proofErr w:type="gramStart"/>
      <w:r w:rsidRPr="00AA4677">
        <w:rPr>
          <w:rFonts w:eastAsia="Times New Roman" w:cs="Times New Roman"/>
          <w:szCs w:val="24"/>
        </w:rPr>
        <w:t>during the course of</w:t>
      </w:r>
      <w:proofErr w:type="gramEnd"/>
      <w:r w:rsidRPr="00AA4677">
        <w:rPr>
          <w:rFonts w:eastAsia="Times New Roman" w:cs="Times New Roman"/>
          <w:szCs w:val="24"/>
        </w:rPr>
        <w:t xml:space="preserve"> the study. If some or all subjects may have a diminished capacity to consent, the investigator must further determine if the potential impairment is temporary (e.g. 'shock' at the discovery of a medical diagnosis, intoxication), permanent (e.g. severe mental </w:t>
      </w:r>
      <w:r w:rsidR="000216F7" w:rsidRPr="00AA4677">
        <w:rPr>
          <w:rFonts w:eastAsia="Times New Roman" w:cs="Times New Roman"/>
          <w:szCs w:val="24"/>
        </w:rPr>
        <w:t>retardation), progressive (e.g.</w:t>
      </w:r>
      <w:r w:rsidRPr="00AA4677">
        <w:rPr>
          <w:rFonts w:eastAsia="Times New Roman" w:cs="Times New Roman"/>
          <w:szCs w:val="24"/>
        </w:rPr>
        <w:t xml:space="preserve"> Alzheimer's</w:t>
      </w:r>
      <w:r w:rsidR="000216F7" w:rsidRPr="00AA4677">
        <w:rPr>
          <w:rFonts w:eastAsia="Times New Roman" w:cs="Times New Roman"/>
          <w:szCs w:val="24"/>
        </w:rPr>
        <w:t xml:space="preserve"> dementia) or fluctuating (e.g.</w:t>
      </w:r>
      <w:r w:rsidRPr="00AA4677">
        <w:rPr>
          <w:rFonts w:eastAsia="Times New Roman" w:cs="Times New Roman"/>
          <w:szCs w:val="24"/>
        </w:rPr>
        <w:t xml:space="preserve"> bipolar disorder).</w:t>
      </w:r>
    </w:p>
    <w:p w14:paraId="5AB4236D" w14:textId="5D07BC8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For research protocols involving subjects who have fluctuating or limited decision</w:t>
      </w:r>
      <w:r w:rsidR="000216F7" w:rsidRPr="00AA4677">
        <w:rPr>
          <w:rFonts w:eastAsia="Times New Roman" w:cs="Times New Roman"/>
          <w:szCs w:val="24"/>
        </w:rPr>
        <w:t xml:space="preserve">-making capacity the </w:t>
      </w:r>
      <w:r w:rsidR="00EE7207" w:rsidRPr="00AA4677">
        <w:rPr>
          <w:rFonts w:eastAsia="Times New Roman" w:cs="Times New Roman"/>
          <w:szCs w:val="24"/>
        </w:rPr>
        <w:t>IRB</w:t>
      </w:r>
      <w:r w:rsidRPr="00AA4677">
        <w:rPr>
          <w:rFonts w:eastAsia="Times New Roman" w:cs="Times New Roman"/>
          <w:szCs w:val="24"/>
        </w:rPr>
        <w:t xml:space="preserve"> may ensure that investigators establish and maintain ongoing communication with involved caregivers. Periodic re-consent should be considered in some cases. Third party consent monitors may be used during the recruitment and consenting process, or waiting periods may be required to allow more time for the subject to consider the information that has been presented.</w:t>
      </w:r>
    </w:p>
    <w:p w14:paraId="4BBFF473" w14:textId="567DCA6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It is often possible for investigators and others to enable </w:t>
      </w:r>
      <w:proofErr w:type="gramStart"/>
      <w:r w:rsidRPr="00AA4677">
        <w:rPr>
          <w:rFonts w:eastAsia="Times New Roman" w:cs="Times New Roman"/>
          <w:szCs w:val="24"/>
        </w:rPr>
        <w:t>persons</w:t>
      </w:r>
      <w:proofErr w:type="gramEnd"/>
      <w:r w:rsidRPr="00AA4677">
        <w:rPr>
          <w:rFonts w:eastAsia="Times New Roman" w:cs="Times New Roman"/>
          <w:szCs w:val="24"/>
        </w:rPr>
        <w:t xml:space="preserve"> with some decisional </w:t>
      </w:r>
      <w:proofErr w:type="gramStart"/>
      <w:r w:rsidRPr="00AA4677">
        <w:rPr>
          <w:rFonts w:eastAsia="Times New Roman" w:cs="Times New Roman"/>
          <w:szCs w:val="24"/>
        </w:rPr>
        <w:t>impairments</w:t>
      </w:r>
      <w:proofErr w:type="gramEnd"/>
      <w:r w:rsidRPr="00AA4677">
        <w:rPr>
          <w:rFonts w:eastAsia="Times New Roman" w:cs="Times New Roman"/>
          <w:szCs w:val="24"/>
        </w:rPr>
        <w:t xml:space="preserve"> to make voluntary and informed decisions to consent or refuse participation in </w:t>
      </w:r>
      <w:r w:rsidRPr="00AA4677">
        <w:rPr>
          <w:rFonts w:eastAsia="Times New Roman" w:cs="Times New Roman"/>
          <w:szCs w:val="24"/>
        </w:rPr>
        <w:lastRenderedPageBreak/>
        <w:t xml:space="preserve">research. Potential measures include repetitive teaching, group sessions, audiovisual presentations, and oral or written recall tests. Other measures might include follow-up questions to assess subject understanding, videotaping or </w:t>
      </w:r>
      <w:proofErr w:type="gramStart"/>
      <w:r w:rsidRPr="00AA4677">
        <w:rPr>
          <w:rFonts w:eastAsia="Times New Roman" w:cs="Times New Roman"/>
          <w:szCs w:val="24"/>
        </w:rPr>
        <w:t>audio-taping</w:t>
      </w:r>
      <w:proofErr w:type="gramEnd"/>
      <w:r w:rsidRPr="00AA4677">
        <w:rPr>
          <w:rFonts w:eastAsia="Times New Roman" w:cs="Times New Roman"/>
          <w:szCs w:val="24"/>
        </w:rPr>
        <w:t xml:space="preserve"> of consent interviews, second opinions, use of independent consent observers,</w:t>
      </w:r>
      <w:r w:rsidR="00EE269B" w:rsidRPr="00AA4677">
        <w:rPr>
          <w:rFonts w:eastAsia="Times New Roman" w:cs="Times New Roman"/>
          <w:szCs w:val="24"/>
        </w:rPr>
        <w:t xml:space="preserve"> an</w:t>
      </w:r>
      <w:r w:rsidRPr="00AA4677">
        <w:rPr>
          <w:rFonts w:eastAsia="Times New Roman" w:cs="Times New Roman"/>
          <w:szCs w:val="24"/>
        </w:rPr>
        <w:t xml:space="preserve"> interpreter for hearing-impaired subjects, allowing a waiting period before enrollment, or involvement of a trusted family member or friend in the disclosure and </w:t>
      </w:r>
      <w:proofErr w:type="gramStart"/>
      <w:r w:rsidRPr="00AA4677">
        <w:rPr>
          <w:rFonts w:eastAsia="Times New Roman" w:cs="Times New Roman"/>
          <w:szCs w:val="24"/>
        </w:rPr>
        <w:t>decision making</w:t>
      </w:r>
      <w:proofErr w:type="gramEnd"/>
      <w:r w:rsidRPr="00AA4677">
        <w:rPr>
          <w:rFonts w:eastAsia="Times New Roman" w:cs="Times New Roman"/>
          <w:szCs w:val="24"/>
        </w:rPr>
        <w:t xml:space="preserve"> process.</w:t>
      </w:r>
    </w:p>
    <w:p w14:paraId="1E11B02E" w14:textId="0CD7F76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Both investigators and </w:t>
      </w:r>
      <w:r w:rsidR="00EE7207" w:rsidRPr="00AA4677">
        <w:rPr>
          <w:rFonts w:eastAsia="Times New Roman" w:cs="Times New Roman"/>
          <w:szCs w:val="24"/>
        </w:rPr>
        <w:t>IRB</w:t>
      </w:r>
      <w:r w:rsidRPr="00AA4677">
        <w:rPr>
          <w:rFonts w:eastAsia="Times New Roman" w:cs="Times New Roman"/>
          <w:szCs w:val="24"/>
        </w:rPr>
        <w:t xml:space="preserve"> members must be aware that for some subjects, their decision-making capacity may fluctuate. For subjects with fluctuating </w:t>
      </w:r>
      <w:proofErr w:type="gramStart"/>
      <w:r w:rsidRPr="00AA4677">
        <w:rPr>
          <w:rFonts w:eastAsia="Times New Roman" w:cs="Times New Roman"/>
          <w:szCs w:val="24"/>
        </w:rPr>
        <w:t>decision making</w:t>
      </w:r>
      <w:proofErr w:type="gramEnd"/>
      <w:r w:rsidRPr="00AA4677">
        <w:rPr>
          <w:rFonts w:eastAsia="Times New Roman" w:cs="Times New Roman"/>
          <w:szCs w:val="24"/>
        </w:rPr>
        <w:t xml:space="preserve"> capacity or those with decreasing capacity to give consent, a re-consenting process with surrogate consent may be necessary.</w:t>
      </w:r>
    </w:p>
    <w:p w14:paraId="27A0845E" w14:textId="78F3CA0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the event research </w:t>
      </w:r>
      <w:r w:rsidR="00BF7470" w:rsidRPr="00AA4677">
        <w:rPr>
          <w:rFonts w:eastAsia="Times New Roman" w:cs="Times New Roman"/>
          <w:szCs w:val="24"/>
        </w:rPr>
        <w:t>subject</w:t>
      </w:r>
      <w:r w:rsidRPr="00AA4677">
        <w:rPr>
          <w:rFonts w:eastAsia="Times New Roman" w:cs="Times New Roman"/>
          <w:szCs w:val="24"/>
        </w:rPr>
        <w:t xml:space="preserve">s become incompetent or impaired in decision making capacity after enrollment, the PI is responsible for notifying </w:t>
      </w:r>
      <w:r w:rsidR="000216F7"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ORC. The PI is responsible for developing a monitoring plan which</w:t>
      </w:r>
      <w:r w:rsidR="0083058D" w:rsidRPr="00AA4677">
        <w:rPr>
          <w:rFonts w:eastAsia="Times New Roman" w:cs="Times New Roman"/>
          <w:szCs w:val="24"/>
        </w:rPr>
        <w:t xml:space="preserve"> follows the guidelines outlined</w:t>
      </w:r>
      <w:r w:rsidRPr="00AA4677">
        <w:rPr>
          <w:rFonts w:eastAsia="Times New Roman" w:cs="Times New Roman"/>
          <w:szCs w:val="24"/>
        </w:rPr>
        <w:t xml:space="preserve"> above for impaired </w:t>
      </w:r>
      <w:proofErr w:type="gramStart"/>
      <w:r w:rsidRPr="00AA4677">
        <w:rPr>
          <w:rFonts w:eastAsia="Times New Roman" w:cs="Times New Roman"/>
          <w:szCs w:val="24"/>
        </w:rPr>
        <w:t>decision making</w:t>
      </w:r>
      <w:proofErr w:type="gramEnd"/>
      <w:r w:rsidRPr="00AA4677">
        <w:rPr>
          <w:rFonts w:eastAsia="Times New Roman" w:cs="Times New Roman"/>
          <w:szCs w:val="24"/>
        </w:rPr>
        <w:t xml:space="preserve"> research </w:t>
      </w:r>
      <w:r w:rsidR="00BF7470" w:rsidRPr="00AA4677">
        <w:rPr>
          <w:rFonts w:eastAsia="Times New Roman" w:cs="Times New Roman"/>
          <w:szCs w:val="24"/>
        </w:rPr>
        <w:t>subject</w:t>
      </w:r>
      <w:r w:rsidRPr="00AA4677">
        <w:rPr>
          <w:rFonts w:eastAsia="Times New Roman" w:cs="Times New Roman"/>
          <w:szCs w:val="24"/>
        </w:rPr>
        <w:t>s.   </w:t>
      </w:r>
    </w:p>
    <w:p w14:paraId="5402D1B4" w14:textId="24665EE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Depending on the study, associated risk/benefit ratio, and likelihood of inclusion of adults who can and cannot consent for themselves, </w:t>
      </w:r>
      <w:r w:rsidR="000216F7"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may require investigators to use independent and qualified professionals</w:t>
      </w:r>
      <w:r w:rsidR="00083063" w:rsidRPr="00AA4677">
        <w:rPr>
          <w:rFonts w:eastAsia="Times New Roman" w:cs="Times New Roman"/>
          <w:szCs w:val="24"/>
        </w:rPr>
        <w:t xml:space="preserve"> (not associated with the study and</w:t>
      </w:r>
      <w:r w:rsidRPr="00AA4677">
        <w:rPr>
          <w:rFonts w:eastAsia="Times New Roman" w:cs="Times New Roman"/>
          <w:szCs w:val="24"/>
        </w:rPr>
        <w:t xml:space="preserve"> with familiarity concerning capacity to consent issues) to assess whether potential subjects have the capacity to give voluntary, informed consent.</w:t>
      </w:r>
    </w:p>
    <w:p w14:paraId="0B33D224" w14:textId="70A49284" w:rsidR="00FC174E" w:rsidRPr="00AA4677" w:rsidRDefault="000216F7"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the </w:t>
      </w:r>
      <w:r w:rsidR="00EE7207" w:rsidRPr="00AA4677">
        <w:rPr>
          <w:rFonts w:eastAsia="Times New Roman" w:cs="Times New Roman"/>
          <w:szCs w:val="24"/>
        </w:rPr>
        <w:t>IRB</w:t>
      </w:r>
      <w:r w:rsidR="00FC174E" w:rsidRPr="00AA4677">
        <w:rPr>
          <w:rFonts w:eastAsia="Times New Roman" w:cs="Times New Roman"/>
          <w:szCs w:val="24"/>
        </w:rPr>
        <w:t xml:space="preserve"> requires such formal documentation of a subject's capacity, the following statement is added to the end of the consent form:</w:t>
      </w:r>
    </w:p>
    <w:p w14:paraId="5E116A32"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160475">
        <w:rPr>
          <w:rFonts w:eastAsia="Times New Roman" w:cs="Times New Roman"/>
          <w:szCs w:val="24"/>
          <w:highlight w:val="yellow"/>
        </w:rPr>
        <w:t xml:space="preserve">"My signature below attests to the fact that I am a licensed health care </w:t>
      </w:r>
      <w:proofErr w:type="gramStart"/>
      <w:r w:rsidRPr="00160475">
        <w:rPr>
          <w:rFonts w:eastAsia="Times New Roman" w:cs="Times New Roman"/>
          <w:szCs w:val="24"/>
          <w:highlight w:val="yellow"/>
        </w:rPr>
        <w:t>provider</w:t>
      </w:r>
      <w:proofErr w:type="gramEnd"/>
      <w:r w:rsidRPr="00160475">
        <w:rPr>
          <w:rFonts w:eastAsia="Times New Roman" w:cs="Times New Roman"/>
          <w:szCs w:val="24"/>
          <w:highlight w:val="yellow"/>
        </w:rPr>
        <w:t xml:space="preserve"> and I have interviewed (name of patient) on ______ (date). I have determined that s/he does_____ does not_____ have the capacity to consent to participation in this research activity, in that s/he is____ is not____ capable of appreciating a) that the activity described in this consent document constitutes research, not standard treatment, b) the risks and benefits of this study c) the alternatives that are available if s/he chooses not to participate, and d) that the decision to not participate will be accepted without penalty, i.e., without jeopardizing his/her clinical care."</w:t>
      </w:r>
    </w:p>
    <w:p w14:paraId="5D23E611"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Although unable to provide informed consent, some </w:t>
      </w:r>
      <w:proofErr w:type="gramStart"/>
      <w:r w:rsidRPr="00AA4677">
        <w:rPr>
          <w:rFonts w:eastAsia="Times New Roman" w:cs="Times New Roman"/>
          <w:szCs w:val="24"/>
        </w:rPr>
        <w:t>persons</w:t>
      </w:r>
      <w:proofErr w:type="gramEnd"/>
      <w:r w:rsidRPr="00AA4677">
        <w:rPr>
          <w:rFonts w:eastAsia="Times New Roman" w:cs="Times New Roman"/>
          <w:szCs w:val="24"/>
        </w:rPr>
        <w:t xml:space="preserve"> may resist participating in a research protocol for which permission has been given by their LAR. Under no circumstances may subjects be forced or coerced to participate.</w:t>
      </w:r>
    </w:p>
    <w:p w14:paraId="453DF537" w14:textId="17ED23F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When </w:t>
      </w:r>
      <w:r w:rsidR="00BF7470" w:rsidRPr="00AA4677">
        <w:rPr>
          <w:rFonts w:eastAsia="Times New Roman" w:cs="Times New Roman"/>
          <w:szCs w:val="24"/>
        </w:rPr>
        <w:t>subject</w:t>
      </w:r>
      <w:r w:rsidRPr="00AA4677">
        <w:rPr>
          <w:rFonts w:eastAsia="Times New Roman" w:cs="Times New Roman"/>
          <w:szCs w:val="24"/>
        </w:rPr>
        <w:t>s lack the capacity to give consent, investigators may obtain permission from the legally authorized representative of a subject as described below.</w:t>
      </w:r>
    </w:p>
    <w:p w14:paraId="74F50D0E"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 person who has been determined to lack capacity to consent to participate in a research study should be informed about the trial to the extent compatible with the subject’s understanding and, if possible, the subject should give their assent to participate, sign and date the written informed consent or a separate assent form. If the person objects to participating, this objection should be heeded.</w:t>
      </w:r>
    </w:p>
    <w:p w14:paraId="7802B643"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Where subjects lack the capacity to give consent, surrogate consent may be obtained from the subject’s legally authorized/empowered representative (as defined in Section 5.2)</w:t>
      </w:r>
      <w:r w:rsidRPr="00AA4677">
        <w:rPr>
          <w:rFonts w:eastAsia="Times New Roman" w:cs="Times New Roman"/>
          <w:b/>
          <w:bCs/>
          <w:szCs w:val="24"/>
        </w:rPr>
        <w:t>.</w:t>
      </w:r>
    </w:p>
    <w:p w14:paraId="1B172300" w14:textId="1EB521FA" w:rsidR="00FC174E" w:rsidRPr="00AA4677" w:rsidRDefault="00FC174E" w:rsidP="00CC2D64">
      <w:pPr>
        <w:pStyle w:val="Heading1"/>
      </w:pPr>
      <w:bookmarkStart w:id="121" w:name="_Toc192678220"/>
      <w:r w:rsidRPr="00AA4677">
        <w:t xml:space="preserve">7 </w:t>
      </w:r>
      <w:r w:rsidR="00BC26C0" w:rsidRPr="00AA4677">
        <w:t>FDA-Regulated</w:t>
      </w:r>
      <w:r w:rsidR="00083063" w:rsidRPr="00AA4677">
        <w:t xml:space="preserve"> </w:t>
      </w:r>
      <w:r w:rsidRPr="00AA4677">
        <w:t>Research</w:t>
      </w:r>
      <w:bookmarkEnd w:id="121"/>
    </w:p>
    <w:p w14:paraId="7FFE2564" w14:textId="77777777" w:rsidR="001E22E4" w:rsidRPr="00AA4677" w:rsidRDefault="001E22E4" w:rsidP="00CC2D64">
      <w:pPr>
        <w:spacing w:after="0" w:line="240" w:lineRule="auto"/>
      </w:pPr>
      <w:bookmarkStart w:id="122" w:name="_Toc140906280"/>
    </w:p>
    <w:p w14:paraId="5B958323" w14:textId="5AD0D4EC" w:rsidR="00BC26C0" w:rsidRPr="00AA4677" w:rsidRDefault="00BC26C0" w:rsidP="00CC2D64">
      <w:pPr>
        <w:spacing w:after="0" w:line="240" w:lineRule="auto"/>
      </w:pPr>
      <w:r w:rsidRPr="00AA4677">
        <w:t xml:space="preserve">FDA regulations apply to research that involves </w:t>
      </w:r>
      <w:proofErr w:type="gramStart"/>
      <w:r w:rsidRPr="00AA4677">
        <w:t>a</w:t>
      </w:r>
      <w:proofErr w:type="gramEnd"/>
      <w:r w:rsidRPr="00AA4677">
        <w:t xml:space="preserve"> FDA-regulated </w:t>
      </w:r>
      <w:r w:rsidRPr="00AA4677">
        <w:rPr>
          <w:i/>
        </w:rPr>
        <w:t>test article</w:t>
      </w:r>
      <w:r w:rsidRPr="00AA4677">
        <w:t xml:space="preserve"> in a </w:t>
      </w:r>
      <w:r w:rsidRPr="00AA4677">
        <w:rPr>
          <w:i/>
        </w:rPr>
        <w:t xml:space="preserve">clinical investigation </w:t>
      </w:r>
      <w:r w:rsidRPr="00AA4677">
        <w:t xml:space="preserve">involving </w:t>
      </w:r>
      <w:r w:rsidRPr="00AA4677">
        <w:rPr>
          <w:i/>
        </w:rPr>
        <w:t>human subjects</w:t>
      </w:r>
      <w:r w:rsidRPr="00AA4677">
        <w:t xml:space="preserve"> as defined by the FDA regulations. For FDA-regulated research, the IRB must apply the FDA regulations at </w:t>
      </w:r>
      <w:hyperlink r:id="rId23" w:history="1">
        <w:r w:rsidRPr="00AA4677">
          <w:rPr>
            <w:rStyle w:val="Hyperlink"/>
            <w:color w:val="auto"/>
            <w:u w:val="none"/>
          </w:rPr>
          <w:t>21 CFR 50</w:t>
        </w:r>
      </w:hyperlink>
      <w:r w:rsidRPr="00AA4677">
        <w:t xml:space="preserve"> and </w:t>
      </w:r>
      <w:hyperlink r:id="rId24" w:history="1">
        <w:r w:rsidRPr="00AA4677">
          <w:rPr>
            <w:rStyle w:val="Hyperlink"/>
            <w:color w:val="auto"/>
            <w:u w:val="none"/>
          </w:rPr>
          <w:t>21 CFR 56</w:t>
        </w:r>
      </w:hyperlink>
      <w:r w:rsidRPr="00AA4677">
        <w:t>.</w:t>
      </w:r>
      <w:bookmarkStart w:id="123" w:name="_Hlk526081940"/>
      <w:r w:rsidRPr="00AA4677">
        <w:rPr>
          <w:strike/>
        </w:rPr>
        <w:t xml:space="preserve"> </w:t>
      </w:r>
      <w:r w:rsidRPr="00AA4677">
        <w:t xml:space="preserve">If the research is conducted or supported by a Common Rule agency or department, or if compliance with the Common Rule is required by state law or the terms of an award or contract, then the Common Rule must also be applied.  </w:t>
      </w:r>
      <w:r w:rsidR="00DE56E9" w:rsidRPr="00AA4677">
        <w:t>When following requirements</w:t>
      </w:r>
      <w:r w:rsidR="00CA48AE" w:rsidRPr="00AA4677">
        <w:t xml:space="preserve"> </w:t>
      </w:r>
      <w:r w:rsidR="00DE56E9" w:rsidRPr="00AA4677">
        <w:t xml:space="preserve">in countries other than the US, Stony Brook University </w:t>
      </w:r>
      <w:proofErr w:type="gramStart"/>
      <w:r w:rsidR="00DE56E9" w:rsidRPr="00AA4677">
        <w:t>follow</w:t>
      </w:r>
      <w:proofErr w:type="gramEnd"/>
      <w:r w:rsidR="00DE56E9" w:rsidRPr="00AA4677">
        <w:t xml:space="preserve"> the requirements and laws for that country.</w:t>
      </w:r>
    </w:p>
    <w:bookmarkEnd w:id="123"/>
    <w:p w14:paraId="5C5338CF" w14:textId="77777777" w:rsidR="00CC2D64" w:rsidRPr="00AA4677" w:rsidRDefault="00CC2D64" w:rsidP="00CC2D64">
      <w:pPr>
        <w:spacing w:after="0" w:line="240" w:lineRule="auto"/>
      </w:pPr>
    </w:p>
    <w:p w14:paraId="11D4B7A6" w14:textId="02F717A8" w:rsidR="00BC26C0" w:rsidRPr="00AA4677" w:rsidRDefault="00BC26C0" w:rsidP="00CC2D64">
      <w:pPr>
        <w:spacing w:after="0" w:line="240" w:lineRule="auto"/>
      </w:pPr>
      <w:r w:rsidRPr="00AA4677">
        <w:t xml:space="preserve">Clinical investigations of investigational drugs and biological products must be conducted according to FDA’s IND regulations, </w:t>
      </w:r>
      <w:hyperlink r:id="rId25" w:history="1">
        <w:r w:rsidRPr="00AA4677">
          <w:rPr>
            <w:rStyle w:val="Hyperlink"/>
            <w:color w:val="auto"/>
            <w:u w:val="none"/>
          </w:rPr>
          <w:t>21 CFR Part 312</w:t>
        </w:r>
      </w:hyperlink>
      <w:r w:rsidRPr="00AA4677">
        <w:t xml:space="preserve">, and other applicable FDA regulations. Evaluations of the safety or effectiveness of a medical device must be conducted according to FDA’s IDE regulations, </w:t>
      </w:r>
      <w:hyperlink r:id="rId26" w:history="1">
        <w:r w:rsidRPr="00AA4677">
          <w:rPr>
            <w:rStyle w:val="Hyperlink"/>
            <w:color w:val="auto"/>
            <w:u w:val="none"/>
          </w:rPr>
          <w:t>21 CFR Part 812</w:t>
        </w:r>
      </w:hyperlink>
      <w:r w:rsidRPr="00AA4677">
        <w:t xml:space="preserve">, and other applicable FDA regulations. </w:t>
      </w:r>
    </w:p>
    <w:p w14:paraId="30E0FFCF" w14:textId="77777777" w:rsidR="00CC2D64" w:rsidRPr="00AA4677" w:rsidRDefault="00CC2D64" w:rsidP="00CC2D64">
      <w:pPr>
        <w:spacing w:after="0" w:line="240" w:lineRule="auto"/>
      </w:pPr>
    </w:p>
    <w:p w14:paraId="3BA2A440" w14:textId="4385C51C" w:rsidR="00CC2D64" w:rsidRPr="00AA4677" w:rsidRDefault="00BC26C0" w:rsidP="003B6EAB">
      <w:pPr>
        <w:spacing w:after="0" w:line="240" w:lineRule="auto"/>
      </w:pPr>
      <w:r w:rsidRPr="00AA4677">
        <w:t xml:space="preserve">The following procedures describe the review of FDA-regulated research by the SBU IRB.  </w:t>
      </w:r>
      <w:bookmarkStart w:id="124" w:name="_Toc285836157"/>
      <w:bookmarkStart w:id="125" w:name="_Toc493413252"/>
      <w:bookmarkStart w:id="126" w:name="_Toc493418022"/>
      <w:bookmarkStart w:id="127" w:name="_Toc523233343"/>
    </w:p>
    <w:p w14:paraId="0CC5A1BD" w14:textId="77777777" w:rsidR="007D30FF" w:rsidRPr="00AA4677" w:rsidRDefault="007D30FF" w:rsidP="00696B35">
      <w:pPr>
        <w:pStyle w:val="Heading2"/>
      </w:pPr>
    </w:p>
    <w:p w14:paraId="0E4D81F9" w14:textId="77777777" w:rsidR="007D2E3C" w:rsidRPr="00AA4677" w:rsidRDefault="00083063" w:rsidP="00696B35">
      <w:pPr>
        <w:pStyle w:val="Heading2"/>
      </w:pPr>
      <w:bookmarkStart w:id="128" w:name="_Toc192678221"/>
      <w:proofErr w:type="gramStart"/>
      <w:r w:rsidRPr="00AA4677">
        <w:t xml:space="preserve">7.1  </w:t>
      </w:r>
      <w:r w:rsidR="00BC26C0" w:rsidRPr="00AA4677">
        <w:t>Definitions</w:t>
      </w:r>
      <w:bookmarkEnd w:id="124"/>
      <w:bookmarkEnd w:id="125"/>
      <w:bookmarkEnd w:id="126"/>
      <w:bookmarkEnd w:id="127"/>
      <w:bookmarkEnd w:id="128"/>
      <w:proofErr w:type="gramEnd"/>
    </w:p>
    <w:p w14:paraId="507B937B" w14:textId="00DF36FF" w:rsidR="00CC2D64" w:rsidRPr="00AA4677" w:rsidRDefault="00BC26C0" w:rsidP="00696B35">
      <w:pPr>
        <w:pStyle w:val="Heading2"/>
        <w:rPr>
          <w:i/>
          <w:sz w:val="22"/>
          <w:szCs w:val="22"/>
        </w:rPr>
      </w:pPr>
      <w:r w:rsidRPr="00AA4677">
        <w:t xml:space="preserve"> </w:t>
      </w:r>
      <w:r w:rsidRPr="00AA4677">
        <w:tab/>
      </w:r>
    </w:p>
    <w:p w14:paraId="2063A2F4" w14:textId="3311FBC9" w:rsidR="004E11CC" w:rsidRPr="00AA4677" w:rsidRDefault="00C82D07" w:rsidP="007C28A5">
      <w:pPr>
        <w:spacing w:after="0" w:line="240" w:lineRule="auto"/>
        <w:rPr>
          <w:szCs w:val="24"/>
        </w:rPr>
      </w:pPr>
      <w:r w:rsidRPr="00AA4677">
        <w:rPr>
          <w:b/>
          <w:bCs/>
        </w:rPr>
        <w:t>Biologic:</w:t>
      </w:r>
      <w:r w:rsidR="00BC26C0" w:rsidRPr="00AA4677">
        <w:rPr>
          <w:b/>
          <w:bCs/>
        </w:rPr>
        <w:t xml:space="preserve"> </w:t>
      </w:r>
      <w:r w:rsidRPr="00AA4677">
        <w:rPr>
          <w:szCs w:val="24"/>
        </w:rPr>
        <w:t>A</w:t>
      </w:r>
      <w:r w:rsidR="00BC26C0" w:rsidRPr="00AA4677">
        <w:rPr>
          <w:szCs w:val="24"/>
        </w:rPr>
        <w:t xml:space="preserve"> wide range of products such as vaccines, blood and blood components, allergenics, somatic cells, gene therapy, tissues, and recombinant therapeutic proteins. Biologics can be composed of sugars, </w:t>
      </w:r>
      <w:proofErr w:type="gramStart"/>
      <w:r w:rsidR="00BC26C0" w:rsidRPr="00AA4677">
        <w:rPr>
          <w:szCs w:val="24"/>
        </w:rPr>
        <w:t>proteins, or</w:t>
      </w:r>
      <w:proofErr w:type="gramEnd"/>
      <w:r w:rsidR="00BC26C0" w:rsidRPr="00AA4677">
        <w:rPr>
          <w:szCs w:val="24"/>
        </w:rPr>
        <w:t xml:space="preserve"> nucleic acids or complex combinations of these substances, or may be living entities such as cells and tissues. Biologics are isolated from a variety of natural sources — human, </w:t>
      </w:r>
      <w:proofErr w:type="gramStart"/>
      <w:r w:rsidR="00BC26C0" w:rsidRPr="00AA4677">
        <w:rPr>
          <w:szCs w:val="24"/>
        </w:rPr>
        <w:t>animal</w:t>
      </w:r>
      <w:proofErr w:type="gramEnd"/>
      <w:r w:rsidR="00BC26C0" w:rsidRPr="00AA4677">
        <w:rPr>
          <w:szCs w:val="24"/>
        </w:rPr>
        <w:t xml:space="preserve">, or </w:t>
      </w:r>
      <w:proofErr w:type="gramStart"/>
      <w:r w:rsidR="00BC26C0" w:rsidRPr="00AA4677">
        <w:rPr>
          <w:szCs w:val="24"/>
        </w:rPr>
        <w:t>microorganism —</w:t>
      </w:r>
      <w:proofErr w:type="gramEnd"/>
      <w:r w:rsidR="00BC26C0" w:rsidRPr="00AA4677">
        <w:rPr>
          <w:szCs w:val="24"/>
        </w:rPr>
        <w:t xml:space="preserve"> and may be produced by biotechnology methods and other technologies. In general, the term "drugs" includes therapeutic biological products.</w:t>
      </w:r>
    </w:p>
    <w:p w14:paraId="7D6BE715" w14:textId="77777777" w:rsidR="007C28A5" w:rsidRPr="00AA4677" w:rsidRDefault="007C28A5" w:rsidP="007C28A5">
      <w:pPr>
        <w:spacing w:after="0" w:line="240" w:lineRule="auto"/>
        <w:rPr>
          <w:szCs w:val="24"/>
        </w:rPr>
      </w:pPr>
    </w:p>
    <w:p w14:paraId="16349F7B" w14:textId="2D1882EE" w:rsidR="00BC26C0" w:rsidRPr="00AA4677" w:rsidRDefault="00C82D07" w:rsidP="00BC26C0">
      <w:r w:rsidRPr="00AA4677">
        <w:rPr>
          <w:b/>
        </w:rPr>
        <w:lastRenderedPageBreak/>
        <w:t>Clinical Investigation:</w:t>
      </w:r>
      <w:r w:rsidR="00BC26C0" w:rsidRPr="00AA4677">
        <w:rPr>
          <w:b/>
        </w:rPr>
        <w:t xml:space="preserve"> </w:t>
      </w:r>
      <w:r w:rsidRPr="00AA4677">
        <w:t>A</w:t>
      </w:r>
      <w:r w:rsidR="00BC26C0" w:rsidRPr="00AA4677">
        <w:t xml:space="preserve">ny experiment that involves a test article and one or more human subjects and that either is subject to requirements for prior submission to the Food and Drug Administration under section 505(i) or 520(g) of the act, or is not subject to requirements for prior submission to the Food and Drug Administration under these sections of the act, but the results of which are intended to be submitted later to, or held for inspection by, the Food and Drug Administration as part of an application for a research or marketing permit. The term does not include experiments that are subject to the provisions of part 58 of this chapter, regarding </w:t>
      </w:r>
      <w:proofErr w:type="gramStart"/>
      <w:r w:rsidR="00BC26C0" w:rsidRPr="00AA4677">
        <w:t>nonclinical</w:t>
      </w:r>
      <w:proofErr w:type="gramEnd"/>
      <w:r w:rsidR="00BC26C0" w:rsidRPr="00AA4677">
        <w:t xml:space="preserve"> laboratory studies. [</w:t>
      </w:r>
      <w:hyperlink r:id="rId27" w:history="1">
        <w:r w:rsidR="00BC26C0" w:rsidRPr="00AA4677">
          <w:rPr>
            <w:rStyle w:val="Hyperlink"/>
            <w:color w:val="auto"/>
            <w:u w:val="none"/>
          </w:rPr>
          <w:t>21 CFR 50.3(c)</w:t>
        </w:r>
      </w:hyperlink>
      <w:r w:rsidR="00BC26C0" w:rsidRPr="00AA4677">
        <w:t>]</w:t>
      </w:r>
    </w:p>
    <w:p w14:paraId="7BD6FD5C" w14:textId="489B8ED2" w:rsidR="00BC26C0" w:rsidRPr="00AA4677" w:rsidRDefault="00C82D07" w:rsidP="00BC26C0">
      <w:r w:rsidRPr="00AA4677">
        <w:rPr>
          <w:b/>
        </w:rPr>
        <w:t>Dietary Supplement:</w:t>
      </w:r>
      <w:r w:rsidR="00BC26C0" w:rsidRPr="00AA4677">
        <w:t xml:space="preserve"> A dietary supplement is a product taken by mouth that is intended to supplement the diet and that contains a dietary ingredient. The dietary ingredients in these products can include vitamins, minerals, herbs and other botanicals, amino acids, other dietary substances intended to supplement the diet, and concentrates, metabolites, constituents, extracts, or combinations of the preceding types of ingredients. [</w:t>
      </w:r>
      <w:hyperlink r:id="rId28" w:history="1">
        <w:r w:rsidR="00BC26C0" w:rsidRPr="00AA4677">
          <w:rPr>
            <w:rStyle w:val="Hyperlink"/>
            <w:color w:val="auto"/>
            <w:u w:val="none"/>
          </w:rPr>
          <w:t>21 U.S.C. 321(ff)</w:t>
        </w:r>
      </w:hyperlink>
      <w:r w:rsidR="00BC26C0" w:rsidRPr="00AA4677">
        <w:t xml:space="preserve">] </w:t>
      </w:r>
    </w:p>
    <w:p w14:paraId="01C29DCC" w14:textId="69819D2B" w:rsidR="00BC26C0" w:rsidRPr="00AA4677" w:rsidRDefault="00C82D07" w:rsidP="00BC26C0">
      <w:r w:rsidRPr="00AA4677">
        <w:rPr>
          <w:b/>
        </w:rPr>
        <w:t>Emergency Use:</w:t>
      </w:r>
      <w:r w:rsidR="00BC26C0" w:rsidRPr="00AA4677">
        <w:rPr>
          <w:b/>
        </w:rPr>
        <w:t xml:space="preserve"> </w:t>
      </w:r>
      <w:r w:rsidRPr="00AA4677">
        <w:t xml:space="preserve"> T</w:t>
      </w:r>
      <w:r w:rsidR="00BC26C0" w:rsidRPr="00AA4677">
        <w:t>he use of a test article on a human subject in a life-threatening situation in which no standard acceptable treatment is available, and in which there is not sufficient time to obtain IRB approval. [</w:t>
      </w:r>
      <w:hyperlink r:id="rId29" w:history="1">
        <w:r w:rsidR="00BC26C0" w:rsidRPr="00AA4677">
          <w:rPr>
            <w:rStyle w:val="Hyperlink"/>
            <w:color w:val="auto"/>
            <w:u w:val="none"/>
          </w:rPr>
          <w:t>21 CFR 56.102(d)</w:t>
        </w:r>
      </w:hyperlink>
      <w:r w:rsidR="00BC26C0" w:rsidRPr="00AA4677">
        <w:t>]</w:t>
      </w:r>
    </w:p>
    <w:p w14:paraId="222C59D4" w14:textId="382FB7D8" w:rsidR="00BC26C0" w:rsidRPr="00AA4677" w:rsidRDefault="00BC26C0" w:rsidP="00BC26C0">
      <w:pPr>
        <w:rPr>
          <w:b/>
        </w:rPr>
      </w:pPr>
      <w:r w:rsidRPr="00AA4677">
        <w:rPr>
          <w:b/>
        </w:rPr>
        <w:t>Humanitarian Use Device (HUD)</w:t>
      </w:r>
      <w:r w:rsidR="00C82D07" w:rsidRPr="00AA4677">
        <w:t>:  A</w:t>
      </w:r>
      <w:r w:rsidRPr="00AA4677">
        <w:t xml:space="preserve"> medical device intended to benefit patients in the treatment or diagnosis of a disease or condition that affects or is manifested in not more than 8,000 individuals in the United States per year.</w:t>
      </w:r>
      <w:r w:rsidRPr="00AA4677" w:rsidDel="00DC70DA">
        <w:t xml:space="preserve"> </w:t>
      </w:r>
    </w:p>
    <w:p w14:paraId="1A7ECEC5" w14:textId="55563D04" w:rsidR="00BC26C0" w:rsidRPr="00AA4677" w:rsidRDefault="00C82D07" w:rsidP="00BC26C0">
      <w:r w:rsidRPr="00AA4677">
        <w:rPr>
          <w:b/>
        </w:rPr>
        <w:t>Investigational Drug:</w:t>
      </w:r>
      <w:r w:rsidR="00BC26C0" w:rsidRPr="00AA4677">
        <w:rPr>
          <w:b/>
        </w:rPr>
        <w:t xml:space="preserve"> </w:t>
      </w:r>
      <w:r w:rsidRPr="00AA4677">
        <w:t>N</w:t>
      </w:r>
      <w:r w:rsidR="00BC26C0" w:rsidRPr="00AA4677">
        <w:t xml:space="preserve">ew drugs that have not yet been approved by the FDA or approved drugs that are being studied in a clinical investigation. </w:t>
      </w:r>
    </w:p>
    <w:p w14:paraId="0DCF2141" w14:textId="59EB2E5C" w:rsidR="00BC26C0" w:rsidRPr="00AA4677" w:rsidRDefault="00C82D07" w:rsidP="00BC26C0">
      <w:r w:rsidRPr="00AA4677">
        <w:rPr>
          <w:b/>
        </w:rPr>
        <w:t>Investigational Device:</w:t>
      </w:r>
      <w:r w:rsidR="00BC26C0" w:rsidRPr="00AA4677">
        <w:rPr>
          <w:b/>
        </w:rPr>
        <w:t xml:space="preserve"> </w:t>
      </w:r>
      <w:r w:rsidR="00BC26C0" w:rsidRPr="00AA4677">
        <w:rPr>
          <w:sz w:val="18"/>
          <w:szCs w:val="18"/>
        </w:rPr>
        <w:t xml:space="preserve"> </w:t>
      </w:r>
      <w:r w:rsidRPr="00AA4677">
        <w:rPr>
          <w:iCs/>
        </w:rPr>
        <w:t>A</w:t>
      </w:r>
      <w:r w:rsidR="00BC26C0" w:rsidRPr="00AA4677">
        <w:t xml:space="preserve"> device (including a transitional device) that is the object of an investigation.  </w:t>
      </w:r>
      <w:r w:rsidR="00BC26C0" w:rsidRPr="00AA4677">
        <w:rPr>
          <w:iCs/>
        </w:rPr>
        <w:t>Investigation</w:t>
      </w:r>
      <w:r w:rsidR="00BC26C0" w:rsidRPr="00AA4677">
        <w:t xml:space="preserve">, as it pertains to devices, means a clinical investigation or research involving one or more subjects to determine the safety or effectiveness of a device. </w:t>
      </w:r>
    </w:p>
    <w:p w14:paraId="5E3B6B3D" w14:textId="3C1119CF" w:rsidR="00BC26C0" w:rsidRPr="00AA4677" w:rsidRDefault="00C82D07" w:rsidP="00BC26C0">
      <w:r w:rsidRPr="00AA4677">
        <w:rPr>
          <w:b/>
          <w:iCs/>
        </w:rPr>
        <w:t>IND:</w:t>
      </w:r>
      <w:r w:rsidR="00BC26C0" w:rsidRPr="00AA4677">
        <w:rPr>
          <w:b/>
          <w:iCs/>
        </w:rPr>
        <w:t xml:space="preserve"> </w:t>
      </w:r>
      <w:r w:rsidRPr="00AA4677">
        <w:rPr>
          <w:iCs/>
        </w:rPr>
        <w:t>A</w:t>
      </w:r>
      <w:r w:rsidR="00BC26C0" w:rsidRPr="00AA4677">
        <w:t xml:space="preserve">n investigational new drug application in accordance with </w:t>
      </w:r>
      <w:hyperlink r:id="rId30" w:history="1">
        <w:r w:rsidR="00BC26C0" w:rsidRPr="00AA4677">
          <w:rPr>
            <w:rStyle w:val="Hyperlink"/>
            <w:color w:val="auto"/>
            <w:u w:val="none"/>
          </w:rPr>
          <w:t>21 CFR Part 312</w:t>
        </w:r>
      </w:hyperlink>
      <w:r w:rsidR="00BC26C0" w:rsidRPr="00AA4677">
        <w:t>.</w:t>
      </w:r>
    </w:p>
    <w:p w14:paraId="288DFEF2" w14:textId="1B90FC93" w:rsidR="00BC26C0" w:rsidRPr="00AA4677" w:rsidRDefault="00C82D07" w:rsidP="00BC26C0">
      <w:r w:rsidRPr="00AA4677">
        <w:rPr>
          <w:b/>
        </w:rPr>
        <w:t>IDE:</w:t>
      </w:r>
      <w:r w:rsidR="00BC26C0" w:rsidRPr="00AA4677">
        <w:rPr>
          <w:b/>
        </w:rPr>
        <w:t xml:space="preserve"> </w:t>
      </w:r>
      <w:r w:rsidRPr="00AA4677">
        <w:t xml:space="preserve"> A</w:t>
      </w:r>
      <w:r w:rsidR="00BC26C0" w:rsidRPr="00AA4677">
        <w:t xml:space="preserve">n investigational device exemption in accordance with </w:t>
      </w:r>
      <w:hyperlink r:id="rId31" w:history="1">
        <w:r w:rsidR="00BC26C0" w:rsidRPr="00AA4677">
          <w:rPr>
            <w:rStyle w:val="Hyperlink"/>
            <w:color w:val="auto"/>
            <w:u w:val="none"/>
          </w:rPr>
          <w:t>21 CFR 812</w:t>
        </w:r>
      </w:hyperlink>
      <w:r w:rsidR="00BC26C0" w:rsidRPr="00AA4677">
        <w:t>.</w:t>
      </w:r>
    </w:p>
    <w:p w14:paraId="6A7A4016" w14:textId="590D07C8" w:rsidR="00BC26C0" w:rsidRPr="00AA4677" w:rsidRDefault="00BC26C0" w:rsidP="00BC26C0">
      <w:pPr>
        <w:rPr>
          <w:b/>
        </w:rPr>
      </w:pPr>
      <w:r w:rsidRPr="00696B35">
        <w:rPr>
          <w:b/>
          <w:bCs/>
          <w:lang w:val="it-IT"/>
        </w:rPr>
        <w:t xml:space="preserve">In Vitro Diagnostic Product (IVD). </w:t>
      </w:r>
      <w:r w:rsidR="00C82D07" w:rsidRPr="00AA4677">
        <w:t>T</w:t>
      </w:r>
      <w:r w:rsidRPr="00AA4677">
        <w:t xml:space="preserve">hose reagents, instruments, and systems intended for use in the diagnosis of disease or other conditions, </w:t>
      </w:r>
      <w:proofErr w:type="gramStart"/>
      <w:r w:rsidRPr="00AA4677">
        <w:t>including</w:t>
      </w:r>
      <w:proofErr w:type="gramEnd"/>
      <w:r w:rsidRPr="00AA4677">
        <w:t xml:space="preserve"> a determination of the state of health, </w:t>
      </w:r>
      <w:proofErr w:type="gramStart"/>
      <w:r w:rsidRPr="00AA4677">
        <w:t>in order to</w:t>
      </w:r>
      <w:proofErr w:type="gramEnd"/>
      <w:r w:rsidRPr="00AA4677">
        <w:t xml:space="preserve"> cure, mitigate, treat, or prevent disease or its sequelae. Such products are intended for use in the collection, preparation, and examination of specimens taken from the human body. [</w:t>
      </w:r>
      <w:hyperlink r:id="rId32" w:history="1">
        <w:r w:rsidRPr="00AA4677">
          <w:rPr>
            <w:rStyle w:val="Hyperlink"/>
            <w:color w:val="auto"/>
            <w:u w:val="none"/>
          </w:rPr>
          <w:t>21 CFR 809.3(a)</w:t>
        </w:r>
      </w:hyperlink>
      <w:r w:rsidRPr="00AA4677">
        <w:t>]</w:t>
      </w:r>
    </w:p>
    <w:p w14:paraId="6EF97257" w14:textId="4FEC0AC4" w:rsidR="00BC26C0" w:rsidRPr="00AA4677" w:rsidRDefault="00BC26C0" w:rsidP="00BC26C0">
      <w:pPr>
        <w:rPr>
          <w:b/>
        </w:rPr>
      </w:pPr>
      <w:r w:rsidRPr="00AA4677">
        <w:rPr>
          <w:b/>
        </w:rPr>
        <w:lastRenderedPageBreak/>
        <w:t xml:space="preserve">Non-Significant Risk (NSR) Device.  </w:t>
      </w:r>
      <w:r w:rsidR="00C82D07" w:rsidRPr="00AA4677">
        <w:t>A</w:t>
      </w:r>
      <w:r w:rsidRPr="00AA4677">
        <w:t xml:space="preserve">n investigational device that does not meet the definition of a significant risk device. </w:t>
      </w:r>
    </w:p>
    <w:p w14:paraId="72A47873" w14:textId="6C2B3273" w:rsidR="00BC26C0" w:rsidRPr="00AA4677" w:rsidRDefault="00BC26C0" w:rsidP="00BC26C0">
      <w:r w:rsidRPr="00AA4677">
        <w:rPr>
          <w:b/>
        </w:rPr>
        <w:t xml:space="preserve">Significant Risk (SR) </w:t>
      </w:r>
      <w:r w:rsidRPr="00AA4677">
        <w:rPr>
          <w:b/>
          <w:iCs/>
        </w:rPr>
        <w:t>Device</w:t>
      </w:r>
      <w:r w:rsidRPr="00AA4677">
        <w:rPr>
          <w:b/>
        </w:rPr>
        <w:t xml:space="preserve">. </w:t>
      </w:r>
      <w:r w:rsidR="00C82D07" w:rsidRPr="00AA4677">
        <w:rPr>
          <w:iCs/>
        </w:rPr>
        <w:t>A</w:t>
      </w:r>
      <w:r w:rsidRPr="00AA4677">
        <w:t xml:space="preserve">n </w:t>
      </w:r>
      <w:proofErr w:type="gramStart"/>
      <w:r w:rsidRPr="00AA4677">
        <w:t>investigational</w:t>
      </w:r>
      <w:proofErr w:type="gramEnd"/>
      <w:r w:rsidRPr="00AA4677">
        <w:t xml:space="preserve"> device that:</w:t>
      </w:r>
    </w:p>
    <w:p w14:paraId="2AADD5EE" w14:textId="77777777" w:rsidR="00BC26C0" w:rsidRPr="00AA4677" w:rsidRDefault="00BC26C0">
      <w:pPr>
        <w:numPr>
          <w:ilvl w:val="0"/>
          <w:numId w:val="163"/>
        </w:numPr>
        <w:spacing w:after="120" w:line="240" w:lineRule="auto"/>
        <w:ind w:left="360"/>
      </w:pPr>
      <w:r w:rsidRPr="00AA4677">
        <w:t>Is intended as an implant and presents a potential for serious risk to the health, safety, or welfare of a subject; or</w:t>
      </w:r>
    </w:p>
    <w:p w14:paraId="69F4D291" w14:textId="77777777" w:rsidR="00BC26C0" w:rsidRPr="00AA4677" w:rsidRDefault="00BC26C0">
      <w:pPr>
        <w:numPr>
          <w:ilvl w:val="0"/>
          <w:numId w:val="163"/>
        </w:numPr>
        <w:spacing w:after="120" w:line="240" w:lineRule="auto"/>
        <w:ind w:left="360"/>
      </w:pPr>
      <w:r w:rsidRPr="00AA4677">
        <w:t xml:space="preserve">Is purported or represented to be </w:t>
      </w:r>
      <w:proofErr w:type="gramStart"/>
      <w:r w:rsidRPr="00AA4677">
        <w:t>for</w:t>
      </w:r>
      <w:proofErr w:type="gramEnd"/>
      <w:r w:rsidRPr="00AA4677">
        <w:t xml:space="preserve"> a use in supporting or sustaining human life and presents a potential for serious risk to the health, safety, or welfare of a subject; or</w:t>
      </w:r>
    </w:p>
    <w:p w14:paraId="703EECF9" w14:textId="77777777" w:rsidR="00BC26C0" w:rsidRPr="00AA4677" w:rsidRDefault="00BC26C0">
      <w:pPr>
        <w:numPr>
          <w:ilvl w:val="0"/>
          <w:numId w:val="163"/>
        </w:numPr>
        <w:spacing w:after="120" w:line="240" w:lineRule="auto"/>
        <w:ind w:left="360"/>
      </w:pPr>
      <w:r w:rsidRPr="00AA4677">
        <w:t>Is for a use of substantial importance in diagnosing, curing, mitigating, or treating disease, or otherwise preventing impairment of human health and presents a potential for serious risk to the health, safety, or welfare of a subject; or</w:t>
      </w:r>
    </w:p>
    <w:p w14:paraId="391606AA" w14:textId="77777777" w:rsidR="00BC26C0" w:rsidRPr="00AA4677" w:rsidRDefault="00BC26C0" w:rsidP="007C28A5">
      <w:pPr>
        <w:numPr>
          <w:ilvl w:val="0"/>
          <w:numId w:val="163"/>
        </w:numPr>
        <w:spacing w:after="0" w:line="240" w:lineRule="auto"/>
        <w:ind w:left="360"/>
      </w:pPr>
      <w:r w:rsidRPr="00AA4677">
        <w:t>Otherwise presents a potential for serious risk to the health, safety, or welfare of a subject. [</w:t>
      </w:r>
      <w:hyperlink r:id="rId33" w:history="1">
        <w:r w:rsidRPr="00AA4677">
          <w:rPr>
            <w:rStyle w:val="Hyperlink"/>
            <w:color w:val="auto"/>
            <w:u w:val="none"/>
          </w:rPr>
          <w:t>21 CFR 812.3(m)</w:t>
        </w:r>
      </w:hyperlink>
      <w:r w:rsidRPr="00AA4677">
        <w:t>]</w:t>
      </w:r>
    </w:p>
    <w:p w14:paraId="4208C4EC" w14:textId="77777777" w:rsidR="007C28A5" w:rsidRPr="00AA4677" w:rsidRDefault="007C28A5" w:rsidP="00696B35">
      <w:pPr>
        <w:pStyle w:val="Heading2"/>
      </w:pPr>
      <w:bookmarkStart w:id="129" w:name="_Toc493409695"/>
      <w:bookmarkStart w:id="130" w:name="_Toc493413253"/>
      <w:bookmarkStart w:id="131" w:name="_Toc493418023"/>
      <w:bookmarkStart w:id="132" w:name="_Toc493419217"/>
      <w:bookmarkStart w:id="133" w:name="_Toc285836158"/>
      <w:bookmarkStart w:id="134" w:name="_Toc493413255"/>
      <w:bookmarkStart w:id="135" w:name="_Toc493418025"/>
      <w:bookmarkStart w:id="136" w:name="_Toc523233344"/>
      <w:bookmarkEnd w:id="129"/>
      <w:bookmarkEnd w:id="130"/>
      <w:bookmarkEnd w:id="131"/>
      <w:bookmarkEnd w:id="132"/>
    </w:p>
    <w:p w14:paraId="1D0A8B7D" w14:textId="66AAD05F" w:rsidR="00BC26C0" w:rsidRPr="00AA4677" w:rsidRDefault="00083063" w:rsidP="00696B35">
      <w:pPr>
        <w:pStyle w:val="Heading2"/>
        <w:rPr>
          <w:i/>
        </w:rPr>
      </w:pPr>
      <w:bookmarkStart w:id="137" w:name="_Toc192678222"/>
      <w:proofErr w:type="gramStart"/>
      <w:r w:rsidRPr="00AA4677">
        <w:t xml:space="preserve">7.2  </w:t>
      </w:r>
      <w:r w:rsidR="00BC26C0" w:rsidRPr="00AA4677">
        <w:t>FDA</w:t>
      </w:r>
      <w:proofErr w:type="gramEnd"/>
      <w:r w:rsidR="00BC26C0" w:rsidRPr="00AA4677">
        <w:t xml:space="preserve"> Exemptions</w:t>
      </w:r>
      <w:bookmarkEnd w:id="133"/>
      <w:bookmarkEnd w:id="134"/>
      <w:bookmarkEnd w:id="135"/>
      <w:bookmarkEnd w:id="136"/>
      <w:bookmarkEnd w:id="137"/>
    </w:p>
    <w:p w14:paraId="38960B2F" w14:textId="77777777" w:rsidR="00BC26C0" w:rsidRPr="00AA4677" w:rsidRDefault="00BC26C0" w:rsidP="007C28A5">
      <w:pPr>
        <w:spacing w:after="0" w:line="240" w:lineRule="auto"/>
      </w:pPr>
      <w:r w:rsidRPr="00AA4677">
        <w:t>The following categories of clinical investigations are exempt from the requirements of FDA regulations for IRB review:</w:t>
      </w:r>
    </w:p>
    <w:p w14:paraId="6F37DC91" w14:textId="77777777" w:rsidR="00BC26C0" w:rsidRPr="00AA4677" w:rsidRDefault="00BC26C0">
      <w:pPr>
        <w:numPr>
          <w:ilvl w:val="0"/>
          <w:numId w:val="164"/>
        </w:numPr>
        <w:spacing w:after="120" w:line="240" w:lineRule="auto"/>
        <w:ind w:left="360"/>
      </w:pPr>
      <w:r w:rsidRPr="00AA4677">
        <w:t>Emergency use of a test article, provided that such emergency use is reported to the IRB within 5 working days. Any subsequent use of the test article at the institution is subject to IRB review. [</w:t>
      </w:r>
      <w:hyperlink r:id="rId34" w:history="1">
        <w:r w:rsidRPr="00AA4677">
          <w:rPr>
            <w:rStyle w:val="Hyperlink"/>
            <w:color w:val="auto"/>
            <w:u w:val="none"/>
          </w:rPr>
          <w:t>21 CFR §56.104(c)</w:t>
        </w:r>
      </w:hyperlink>
      <w:r w:rsidRPr="00AA4677">
        <w:t xml:space="preserve">] </w:t>
      </w:r>
    </w:p>
    <w:p w14:paraId="4D15A65A" w14:textId="77777777" w:rsidR="00BC26C0" w:rsidRPr="00AA4677" w:rsidRDefault="00BC26C0">
      <w:pPr>
        <w:numPr>
          <w:ilvl w:val="0"/>
          <w:numId w:val="164"/>
        </w:numPr>
        <w:spacing w:after="120" w:line="240" w:lineRule="auto"/>
        <w:ind w:left="360"/>
      </w:pPr>
      <w:r w:rsidRPr="00AA4677">
        <w:t>Taste and food quality evaluations and consumer acceptance studies, if wholesome foods without additives are consumed or if a food is consumed that contains a food ingredient at or below the level and for a use found to be safe, or agricultural, chemical, or environmental contaminant at or below the level found to be safe, by the FDA or approved by the Environmental Protection Agency or the Food Safety and Inspection Service of the U.S. Department of Agriculture. [</w:t>
      </w:r>
      <w:hyperlink r:id="rId35" w:history="1">
        <w:r w:rsidRPr="00AA4677">
          <w:rPr>
            <w:rStyle w:val="Hyperlink"/>
            <w:color w:val="auto"/>
            <w:u w:val="none"/>
          </w:rPr>
          <w:t>21 CFR §56.104(d)</w:t>
        </w:r>
      </w:hyperlink>
      <w:r w:rsidRPr="00AA4677">
        <w:t>]</w:t>
      </w:r>
    </w:p>
    <w:p w14:paraId="529BB851" w14:textId="00D7B030" w:rsidR="00BC26C0" w:rsidRPr="00AA4677" w:rsidRDefault="00083063" w:rsidP="00696B35">
      <w:pPr>
        <w:pStyle w:val="Heading2"/>
      </w:pPr>
      <w:bookmarkStart w:id="138" w:name="_Toc493413258"/>
      <w:bookmarkStart w:id="139" w:name="_Toc493418028"/>
      <w:bookmarkStart w:id="140" w:name="_Toc523233347"/>
      <w:bookmarkStart w:id="141" w:name="_Toc192678223"/>
      <w:bookmarkStart w:id="142" w:name="_Toc285836159"/>
      <w:bookmarkStart w:id="143" w:name="_Toc187226729"/>
      <w:bookmarkEnd w:id="122"/>
      <w:proofErr w:type="gramStart"/>
      <w:r w:rsidRPr="00AA4677">
        <w:t xml:space="preserve">7.3  </w:t>
      </w:r>
      <w:r w:rsidR="00BC26C0" w:rsidRPr="00AA4677">
        <w:t>Clinical</w:t>
      </w:r>
      <w:proofErr w:type="gramEnd"/>
      <w:r w:rsidR="00BC26C0" w:rsidRPr="00AA4677">
        <w:t xml:space="preserve"> Investigations of Articles Regulated as Drugs or Devices</w:t>
      </w:r>
      <w:bookmarkEnd w:id="138"/>
      <w:bookmarkEnd w:id="139"/>
      <w:bookmarkEnd w:id="140"/>
      <w:bookmarkEnd w:id="141"/>
    </w:p>
    <w:p w14:paraId="565897B9" w14:textId="440CA74A" w:rsidR="007D30FF" w:rsidRPr="00AA4677" w:rsidRDefault="007D30FF" w:rsidP="007D30FF">
      <w:pPr>
        <w:pStyle w:val="Heading3"/>
        <w:rPr>
          <w:b w:val="0"/>
          <w:bCs w:val="0"/>
        </w:rPr>
      </w:pPr>
      <w:bookmarkStart w:id="144" w:name="_Hlk192160855"/>
      <w:bookmarkStart w:id="145" w:name="_Toc493413259"/>
      <w:bookmarkStart w:id="146" w:name="_Toc493418029"/>
      <w:bookmarkStart w:id="147" w:name="_Toc523233348"/>
      <w:r w:rsidRPr="00AA4677">
        <w:rPr>
          <w:b w:val="0"/>
          <w:bCs w:val="0"/>
        </w:rPr>
        <w:t>Early Feasibility Studies</w:t>
      </w:r>
    </w:p>
    <w:p w14:paraId="198D66DF" w14:textId="26091FE5" w:rsidR="007D30FF" w:rsidRPr="00AA4677" w:rsidRDefault="007D30FF" w:rsidP="007D30FF">
      <w:pPr>
        <w:pStyle w:val="Heading3"/>
        <w:rPr>
          <w:b w:val="0"/>
          <w:bCs w:val="0"/>
        </w:rPr>
      </w:pPr>
      <w:r w:rsidRPr="00AA4677">
        <w:rPr>
          <w:b w:val="0"/>
          <w:bCs w:val="0"/>
        </w:rPr>
        <w:t xml:space="preserve">Early feasibility studies are designed to gain information about the development of the device (functionality and safety) and often include modifications during the conduct of the study. This </w:t>
      </w:r>
      <w:r w:rsidR="00F164A7" w:rsidRPr="00AA4677">
        <w:rPr>
          <w:b w:val="0"/>
          <w:bCs w:val="0"/>
        </w:rPr>
        <w:lastRenderedPageBreak/>
        <w:t xml:space="preserve">ongoing </w:t>
      </w:r>
      <w:r w:rsidRPr="00AA4677">
        <w:rPr>
          <w:b w:val="0"/>
          <w:bCs w:val="0"/>
        </w:rPr>
        <w:t>risk</w:t>
      </w:r>
      <w:r w:rsidR="00F164A7" w:rsidRPr="00AA4677">
        <w:rPr>
          <w:b w:val="0"/>
          <w:bCs w:val="0"/>
        </w:rPr>
        <w:t xml:space="preserve"> analysis and mitigation strategies are areas</w:t>
      </w:r>
      <w:r w:rsidRPr="00AA4677">
        <w:rPr>
          <w:b w:val="0"/>
          <w:bCs w:val="0"/>
        </w:rPr>
        <w:t xml:space="preserve"> of concern, and the reason why early feasibility</w:t>
      </w:r>
      <w:r w:rsidR="00160475">
        <w:rPr>
          <w:b w:val="0"/>
          <w:bCs w:val="0"/>
        </w:rPr>
        <w:t xml:space="preserve"> studies</w:t>
      </w:r>
      <w:r w:rsidRPr="00AA4677">
        <w:rPr>
          <w:b w:val="0"/>
          <w:bCs w:val="0"/>
        </w:rPr>
        <w:t xml:space="preserve"> are submitted to the local IRB. </w:t>
      </w:r>
    </w:p>
    <w:bookmarkEnd w:id="144"/>
    <w:p w14:paraId="3AFACB4D" w14:textId="48D7718E" w:rsidR="00BC26C0" w:rsidRPr="00AA4677" w:rsidRDefault="00BC26C0" w:rsidP="00C57C98">
      <w:pPr>
        <w:pStyle w:val="Heading3"/>
      </w:pPr>
      <w:r w:rsidRPr="00AA4677">
        <w:t>7.3.1 IND/IDE Requirements</w:t>
      </w:r>
      <w:bookmarkEnd w:id="145"/>
      <w:bookmarkEnd w:id="146"/>
      <w:bookmarkEnd w:id="147"/>
    </w:p>
    <w:p w14:paraId="42561493" w14:textId="77777777" w:rsidR="00BC26C0" w:rsidRPr="00AA4677" w:rsidRDefault="00BC26C0" w:rsidP="00BC26C0">
      <w:r w:rsidRPr="00AA4677">
        <w:t>For studies evaluating the safety or effectiveness of medical devices or experiments using drugs, biologics, dietary supplements, and other compounds that may be considered a drug or device under FDA regulations, the investigator must indicate on the IRB application whether an IDE or IND is in place, and, if not, the basis for why an IDE or IND is not needed.   Documentation must be provided by the sponsor or the sponsor-investigator.  Documentation of the IND/IDE could be a:</w:t>
      </w:r>
    </w:p>
    <w:p w14:paraId="7B602FCE" w14:textId="3EA834EA" w:rsidR="00BC26C0" w:rsidRPr="00AA4677" w:rsidRDefault="00BC26C0">
      <w:pPr>
        <w:numPr>
          <w:ilvl w:val="0"/>
          <w:numId w:val="165"/>
        </w:numPr>
        <w:spacing w:after="120" w:line="240" w:lineRule="auto"/>
        <w:ind w:left="360"/>
      </w:pPr>
      <w:r w:rsidRPr="00AA4677">
        <w:t>Industry sponsored study with</w:t>
      </w:r>
      <w:r w:rsidR="00267D66" w:rsidRPr="00AA4677">
        <w:t xml:space="preserve"> the</w:t>
      </w:r>
      <w:r w:rsidRPr="00AA4677">
        <w:t xml:space="preserve"> IND/IDE number indicated on the </w:t>
      </w:r>
      <w:proofErr w:type="gramStart"/>
      <w:r w:rsidRPr="00AA4677">
        <w:t>protocol;</w:t>
      </w:r>
      <w:proofErr w:type="gramEnd"/>
    </w:p>
    <w:p w14:paraId="3416DAF6" w14:textId="237D62DB" w:rsidR="00BC26C0" w:rsidRPr="00AA4677" w:rsidRDefault="00BC26C0">
      <w:pPr>
        <w:numPr>
          <w:ilvl w:val="0"/>
          <w:numId w:val="165"/>
        </w:numPr>
        <w:spacing w:after="120" w:line="240" w:lineRule="auto"/>
        <w:ind w:left="360"/>
      </w:pPr>
      <w:r w:rsidRPr="00AA4677">
        <w:t>Letter/communication from</w:t>
      </w:r>
      <w:r w:rsidR="00267D66" w:rsidRPr="00AA4677">
        <w:t xml:space="preserve"> the</w:t>
      </w:r>
      <w:r w:rsidRPr="00AA4677">
        <w:t xml:space="preserve"> </w:t>
      </w:r>
      <w:proofErr w:type="gramStart"/>
      <w:r w:rsidRPr="00AA4677">
        <w:t>FDA;</w:t>
      </w:r>
      <w:proofErr w:type="gramEnd"/>
    </w:p>
    <w:p w14:paraId="6BDAE336" w14:textId="4A84E882" w:rsidR="00BC26C0" w:rsidRPr="00AA4677" w:rsidRDefault="00BC26C0">
      <w:pPr>
        <w:numPr>
          <w:ilvl w:val="0"/>
          <w:numId w:val="165"/>
        </w:numPr>
        <w:spacing w:after="120" w:line="240" w:lineRule="auto"/>
        <w:ind w:left="360"/>
      </w:pPr>
      <w:r w:rsidRPr="00AA4677">
        <w:t xml:space="preserve">Letter/communication from </w:t>
      </w:r>
      <w:r w:rsidR="00267D66" w:rsidRPr="00AA4677">
        <w:t xml:space="preserve">the </w:t>
      </w:r>
      <w:r w:rsidRPr="00AA4677">
        <w:t>industry sponsor; or</w:t>
      </w:r>
    </w:p>
    <w:p w14:paraId="474B7246" w14:textId="77777777" w:rsidR="00BC26C0" w:rsidRPr="00AA4677" w:rsidRDefault="00BC26C0">
      <w:pPr>
        <w:numPr>
          <w:ilvl w:val="0"/>
          <w:numId w:val="165"/>
        </w:numPr>
        <w:spacing w:after="120" w:line="240" w:lineRule="auto"/>
        <w:ind w:left="360"/>
      </w:pPr>
      <w:r w:rsidRPr="00AA4677">
        <w:t>Other document and/or communication verifying the IND/IDE.</w:t>
      </w:r>
    </w:p>
    <w:p w14:paraId="6C403DA4" w14:textId="5DFE4240" w:rsidR="00E378EE" w:rsidRPr="00AA4677" w:rsidRDefault="00E378EE" w:rsidP="00BC26C0">
      <w:r w:rsidRPr="00AA4677">
        <w:t>The investigator’s brochure cannot be used to validate the IND or IDE.</w:t>
      </w:r>
      <w:r w:rsidR="004F410F" w:rsidRPr="00AA4677">
        <w:t xml:space="preserve"> The Office of Research Compliance staff confirm that the test article has an IND or IDE or meets an exemption</w:t>
      </w:r>
      <w:r w:rsidR="004C6E97" w:rsidRPr="00AA4677">
        <w:t>.</w:t>
      </w:r>
    </w:p>
    <w:p w14:paraId="346BB163" w14:textId="49BCD4E5" w:rsidR="00BC26C0" w:rsidRPr="00AA4677" w:rsidRDefault="00BC26C0" w:rsidP="00BC26C0">
      <w:r w:rsidRPr="00AA4677">
        <w:t xml:space="preserve">For investigational devices, the study may be exempt from IDE requirements (IDE-exempt) or, in the case of Non-significant Risk (NSR) device studies, follow abbreviated IDE requirements which do not require formal approval by the FDA. If a sponsor has identified a device study as IDE-exempt or NSR, then the investigator should include documentation with the submission providing the basis for IDE-exempt or NSR categorization for the IRB’s consideration.  If the FDA has determined that the study is IDE-exempt or NSR, documentation of that determination must be provided.  </w:t>
      </w:r>
    </w:p>
    <w:p w14:paraId="2280E128" w14:textId="77777777" w:rsidR="00BC26C0" w:rsidRPr="00AA4677" w:rsidRDefault="00BC26C0" w:rsidP="00BC26C0">
      <w:r w:rsidRPr="00AA4677">
        <w:t>The IRB will review the application and, based upon the documentation provided, determine:</w:t>
      </w:r>
    </w:p>
    <w:p w14:paraId="454A8C3B" w14:textId="77777777" w:rsidR="00BC26C0" w:rsidRPr="00AA4677" w:rsidRDefault="00BC26C0">
      <w:pPr>
        <w:numPr>
          <w:ilvl w:val="0"/>
          <w:numId w:val="166"/>
        </w:numPr>
        <w:spacing w:after="120" w:line="240" w:lineRule="auto"/>
        <w:ind w:left="360"/>
      </w:pPr>
      <w:r w:rsidRPr="00AA4677">
        <w:t xml:space="preserve">That there is an approved IND/IDE in </w:t>
      </w:r>
      <w:proofErr w:type="gramStart"/>
      <w:r w:rsidRPr="00AA4677">
        <w:t>place;</w:t>
      </w:r>
      <w:proofErr w:type="gramEnd"/>
      <w:r w:rsidRPr="00AA4677">
        <w:t xml:space="preserve"> </w:t>
      </w:r>
    </w:p>
    <w:p w14:paraId="57F27EF6" w14:textId="77777777" w:rsidR="00BC26C0" w:rsidRPr="00AA4677" w:rsidRDefault="00BC26C0">
      <w:pPr>
        <w:numPr>
          <w:ilvl w:val="0"/>
          <w:numId w:val="166"/>
        </w:numPr>
        <w:spacing w:after="120" w:line="240" w:lineRule="auto"/>
        <w:ind w:left="360"/>
      </w:pPr>
      <w:r w:rsidRPr="00AA4677">
        <w:t xml:space="preserve">That the FDA has determined that an IND is not required or that a device study is IDE-exempt or NSR; or, </w:t>
      </w:r>
    </w:p>
    <w:p w14:paraId="0CFD80CE" w14:textId="77777777" w:rsidR="00BC26C0" w:rsidRPr="00AA4677" w:rsidRDefault="00BC26C0">
      <w:pPr>
        <w:numPr>
          <w:ilvl w:val="0"/>
          <w:numId w:val="166"/>
        </w:numPr>
        <w:spacing w:after="120" w:line="240" w:lineRule="auto"/>
        <w:ind w:left="360"/>
      </w:pPr>
      <w:r w:rsidRPr="00AA4677">
        <w:t xml:space="preserve">If neither of the above, whether an IND is necessary, or </w:t>
      </w:r>
      <w:proofErr w:type="gramStart"/>
      <w:r w:rsidRPr="00AA4677">
        <w:t>that</w:t>
      </w:r>
      <w:proofErr w:type="gramEnd"/>
      <w:r w:rsidRPr="00AA4677">
        <w:t xml:space="preserve"> a device study is exempt or NSR, or must be submitted to the FDA for an IDE or for a determination, using the criteria below.  </w:t>
      </w:r>
    </w:p>
    <w:p w14:paraId="744325B7" w14:textId="38BD61BA" w:rsidR="00BC26C0" w:rsidRPr="00AA4677" w:rsidRDefault="00BC26C0" w:rsidP="00BC26C0">
      <w:r w:rsidRPr="00AA4677">
        <w:t>The IRB cannot grant approval to the research until the IND/IDE status is determined, and, if necessary, an approved IND or IDE is in place.</w:t>
      </w:r>
      <w:r w:rsidR="003F5D49" w:rsidRPr="00AA4677">
        <w:t xml:space="preserve"> An IND goes into effect 30 days after the FDA receives the IND, unless the sponsor receives earlier notice from the FDA.</w:t>
      </w:r>
    </w:p>
    <w:p w14:paraId="4F0AD73D" w14:textId="15B62D34" w:rsidR="00BC26C0" w:rsidRPr="00AA4677" w:rsidRDefault="006B628B" w:rsidP="00C57C98">
      <w:pPr>
        <w:pStyle w:val="Heading3"/>
      </w:pPr>
      <w:bookmarkStart w:id="148" w:name="_Toc493413260"/>
      <w:bookmarkStart w:id="149" w:name="_Toc493418030"/>
      <w:bookmarkStart w:id="150" w:name="_Toc523233349"/>
      <w:r w:rsidRPr="00AA4677">
        <w:lastRenderedPageBreak/>
        <w:t xml:space="preserve">7.3.2  </w:t>
      </w:r>
      <w:r w:rsidR="00BC26C0" w:rsidRPr="00AA4677">
        <w:t>IND Exemptions</w:t>
      </w:r>
      <w:bookmarkEnd w:id="148"/>
      <w:bookmarkEnd w:id="149"/>
      <w:bookmarkEnd w:id="150"/>
    </w:p>
    <w:p w14:paraId="6DF01F71" w14:textId="77777777" w:rsidR="00BC26C0" w:rsidRPr="00AA4677" w:rsidRDefault="00BC26C0" w:rsidP="00BC26C0">
      <w:r w:rsidRPr="00AA4677">
        <w:t>For drugs, an IND is not necessary if the research falls in one of the following seven (7) categories:</w:t>
      </w:r>
    </w:p>
    <w:p w14:paraId="2FF31B8D" w14:textId="77777777" w:rsidR="00BC26C0" w:rsidRPr="00AA4677" w:rsidRDefault="00BC26C0">
      <w:pPr>
        <w:numPr>
          <w:ilvl w:val="0"/>
          <w:numId w:val="152"/>
        </w:numPr>
        <w:spacing w:after="120" w:line="240" w:lineRule="auto"/>
        <w:ind w:left="360"/>
      </w:pPr>
      <w:hyperlink r:id="rId36" w:history="1">
        <w:r w:rsidRPr="00AA4677">
          <w:rPr>
            <w:rStyle w:val="Hyperlink"/>
            <w:color w:val="auto"/>
            <w:u w:val="none"/>
          </w:rPr>
          <w:t>21 CFR 312.2(b)(1)</w:t>
        </w:r>
      </w:hyperlink>
      <w:r w:rsidRPr="00AA4677">
        <w:t xml:space="preserve">: The drug being used in the research is lawfully marketed in the United States and </w:t>
      </w:r>
      <w:proofErr w:type="gramStart"/>
      <w:r w:rsidRPr="00AA4677">
        <w:t>all of</w:t>
      </w:r>
      <w:proofErr w:type="gramEnd"/>
      <w:r w:rsidRPr="00AA4677">
        <w:t xml:space="preserve"> the following requirements are met:</w:t>
      </w:r>
    </w:p>
    <w:p w14:paraId="1C74C079" w14:textId="77777777" w:rsidR="00BC26C0" w:rsidRPr="00AA4677" w:rsidRDefault="00BC26C0">
      <w:pPr>
        <w:numPr>
          <w:ilvl w:val="1"/>
          <w:numId w:val="152"/>
        </w:numPr>
        <w:spacing w:after="120" w:line="240" w:lineRule="auto"/>
        <w:ind w:left="720"/>
      </w:pPr>
      <w:r w:rsidRPr="00AA4677">
        <w:t xml:space="preserve">The research is not intended to be reported to FDA as a well-controlled study in support of a new indication and there is no intent to use it to support any other significant change in the labeling of the </w:t>
      </w:r>
      <w:proofErr w:type="gramStart"/>
      <w:r w:rsidRPr="00AA4677">
        <w:t>drug;</w:t>
      </w:r>
      <w:proofErr w:type="gramEnd"/>
    </w:p>
    <w:p w14:paraId="4608AA0A" w14:textId="77777777" w:rsidR="00BC26C0" w:rsidRPr="00AA4677" w:rsidRDefault="00BC26C0">
      <w:pPr>
        <w:numPr>
          <w:ilvl w:val="1"/>
          <w:numId w:val="152"/>
        </w:numPr>
        <w:spacing w:after="120" w:line="240" w:lineRule="auto"/>
        <w:ind w:left="720"/>
      </w:pPr>
      <w:r w:rsidRPr="00AA4677">
        <w:t xml:space="preserve">In the case of a prescription drug, the research is not intended to support a significant change in the advertising for the </w:t>
      </w:r>
      <w:proofErr w:type="gramStart"/>
      <w:r w:rsidRPr="00AA4677">
        <w:t>product;</w:t>
      </w:r>
      <w:proofErr w:type="gramEnd"/>
    </w:p>
    <w:p w14:paraId="5570116E" w14:textId="77777777" w:rsidR="00BC26C0" w:rsidRPr="00AA4677" w:rsidRDefault="00BC26C0">
      <w:pPr>
        <w:numPr>
          <w:ilvl w:val="1"/>
          <w:numId w:val="152"/>
        </w:numPr>
        <w:spacing w:after="120" w:line="240" w:lineRule="auto"/>
        <w:ind w:left="720"/>
      </w:pPr>
      <w:r w:rsidRPr="00AA4677">
        <w:t xml:space="preserve">The research does not involve a route of administration, dose, subject population, or other </w:t>
      </w:r>
      <w:proofErr w:type="gramStart"/>
      <w:r w:rsidRPr="00AA4677">
        <w:t>factor</w:t>
      </w:r>
      <w:proofErr w:type="gramEnd"/>
      <w:r w:rsidRPr="00AA4677">
        <w:t xml:space="preserve"> that significantly </w:t>
      </w:r>
      <w:proofErr w:type="gramStart"/>
      <w:r w:rsidRPr="00AA4677">
        <w:t>increases</w:t>
      </w:r>
      <w:proofErr w:type="gramEnd"/>
      <w:r w:rsidRPr="00AA4677">
        <w:t xml:space="preserve"> the risks (or decreases the acceptability of the risks) associated with the use of the drug </w:t>
      </w:r>
      <w:proofErr w:type="gramStart"/>
      <w:r w:rsidRPr="00AA4677">
        <w:t>product;</w:t>
      </w:r>
      <w:proofErr w:type="gramEnd"/>
    </w:p>
    <w:p w14:paraId="475993F5" w14:textId="77777777" w:rsidR="00BC26C0" w:rsidRPr="00AA4677" w:rsidRDefault="00BC26C0">
      <w:pPr>
        <w:numPr>
          <w:ilvl w:val="1"/>
          <w:numId w:val="152"/>
        </w:numPr>
        <w:spacing w:after="120" w:line="240" w:lineRule="auto"/>
        <w:ind w:left="720"/>
      </w:pPr>
      <w:r w:rsidRPr="00AA4677">
        <w:t xml:space="preserve">The research is conducted in compliance with the requirements for IRB review and informed consent [21 CFR parts </w:t>
      </w:r>
      <w:hyperlink r:id="rId37" w:history="1">
        <w:r w:rsidRPr="00AA4677">
          <w:rPr>
            <w:rStyle w:val="Hyperlink"/>
            <w:color w:val="auto"/>
            <w:u w:val="none"/>
          </w:rPr>
          <w:t>56</w:t>
        </w:r>
      </w:hyperlink>
      <w:r w:rsidRPr="00AA4677">
        <w:t xml:space="preserve"> and </w:t>
      </w:r>
      <w:hyperlink r:id="rId38" w:history="1">
        <w:r w:rsidRPr="00AA4677">
          <w:rPr>
            <w:rStyle w:val="Hyperlink"/>
            <w:color w:val="auto"/>
            <w:u w:val="none"/>
          </w:rPr>
          <w:t>50</w:t>
        </w:r>
      </w:hyperlink>
      <w:r w:rsidRPr="00AA4677">
        <w:t>, respectively];</w:t>
      </w:r>
    </w:p>
    <w:p w14:paraId="528E0687" w14:textId="77777777" w:rsidR="00BC26C0" w:rsidRPr="00AA4677" w:rsidRDefault="00BC26C0">
      <w:pPr>
        <w:numPr>
          <w:ilvl w:val="1"/>
          <w:numId w:val="152"/>
        </w:numPr>
        <w:spacing w:after="120" w:line="240" w:lineRule="auto"/>
        <w:ind w:left="720"/>
      </w:pPr>
      <w:r w:rsidRPr="00AA4677">
        <w:t xml:space="preserve">The research is conducted in compliance with the requirements of </w:t>
      </w:r>
      <w:hyperlink r:id="rId39" w:history="1">
        <w:r w:rsidRPr="00AA4677">
          <w:rPr>
            <w:rStyle w:val="Hyperlink"/>
            <w:color w:val="auto"/>
            <w:u w:val="none"/>
          </w:rPr>
          <w:t>21 CFR 312.7</w:t>
        </w:r>
      </w:hyperlink>
      <w:r w:rsidRPr="00AA4677">
        <w:t xml:space="preserve"> (i.e., the research is not intended to promote or commercialize the drug product); and</w:t>
      </w:r>
    </w:p>
    <w:p w14:paraId="2D9D51CB" w14:textId="77777777" w:rsidR="00BC26C0" w:rsidRPr="00AA4677" w:rsidRDefault="00BC26C0">
      <w:pPr>
        <w:numPr>
          <w:ilvl w:val="1"/>
          <w:numId w:val="152"/>
        </w:numPr>
        <w:spacing w:after="120" w:line="240" w:lineRule="auto"/>
        <w:ind w:left="720"/>
      </w:pPr>
      <w:r w:rsidRPr="00AA4677">
        <w:t>The research does not intend to invoke FDA regulations for planned emergency research [</w:t>
      </w:r>
      <w:hyperlink r:id="rId40" w:history="1">
        <w:r w:rsidRPr="00AA4677">
          <w:rPr>
            <w:rStyle w:val="Hyperlink"/>
            <w:color w:val="auto"/>
            <w:u w:val="none"/>
          </w:rPr>
          <w:t>21 CFR 50.24</w:t>
        </w:r>
      </w:hyperlink>
      <w:r w:rsidRPr="00AA4677">
        <w:t>].</w:t>
      </w:r>
    </w:p>
    <w:p w14:paraId="0757B00B" w14:textId="4442321E" w:rsidR="00BC26C0" w:rsidRPr="00AA4677" w:rsidRDefault="0081464F" w:rsidP="0081464F">
      <w:pPr>
        <w:ind w:left="360"/>
        <w:rPr>
          <w:b/>
        </w:rPr>
      </w:pPr>
      <w:r w:rsidRPr="00AA4677">
        <w:rPr>
          <w:b/>
        </w:rPr>
        <w:t>NOTE</w:t>
      </w:r>
      <w:r w:rsidR="00BC26C0" w:rsidRPr="00AA4677">
        <w:rPr>
          <w:b/>
        </w:rPr>
        <w:t xml:space="preserve">: FDA has provided specific </w:t>
      </w:r>
      <w:hyperlink r:id="rId41" w:history="1">
        <w:r w:rsidR="00BC26C0" w:rsidRPr="00AA4677">
          <w:rPr>
            <w:rStyle w:val="Hyperlink"/>
            <w:b/>
            <w:color w:val="auto"/>
            <w:u w:val="none"/>
          </w:rPr>
          <w:t>guidance</w:t>
        </w:r>
      </w:hyperlink>
      <w:r w:rsidR="00BC26C0" w:rsidRPr="00AA4677">
        <w:rPr>
          <w:b/>
        </w:rPr>
        <w:t xml:space="preserve"> for evaluating whether this exemption applies to studies of marketed drugs/biologics for the treatment of cancer.</w:t>
      </w:r>
    </w:p>
    <w:p w14:paraId="4A093A90" w14:textId="77777777" w:rsidR="00BC26C0" w:rsidRPr="00AA4677" w:rsidRDefault="00BC26C0">
      <w:pPr>
        <w:numPr>
          <w:ilvl w:val="0"/>
          <w:numId w:val="152"/>
        </w:numPr>
        <w:spacing w:after="120" w:line="240" w:lineRule="auto"/>
        <w:ind w:left="360"/>
      </w:pPr>
      <w:hyperlink r:id="rId42" w:history="1">
        <w:r w:rsidRPr="00AA4677">
          <w:rPr>
            <w:rStyle w:val="Hyperlink"/>
            <w:color w:val="auto"/>
            <w:u w:val="none"/>
          </w:rPr>
          <w:t>21 CFR 312.2(b)(2)</w:t>
        </w:r>
      </w:hyperlink>
      <w:r w:rsidRPr="00AA4677">
        <w:t xml:space="preserve">: For clinical investigations involving defined (blood grouping serum, reagent red blood cells, and anti-human globulin) in vitro diagnostic biological products, an IND is not necessary if a) it is intended to be used in a diagnostic procedure that confirms the diagnosis made by another, medically established, diagnostic product or procedure; and b) it is shipped in compliance with </w:t>
      </w:r>
      <w:hyperlink r:id="rId43" w:history="1">
        <w:r w:rsidRPr="00AA4677">
          <w:rPr>
            <w:rStyle w:val="Hyperlink"/>
            <w:color w:val="auto"/>
            <w:u w:val="none"/>
          </w:rPr>
          <w:t>312.160</w:t>
        </w:r>
      </w:hyperlink>
    </w:p>
    <w:p w14:paraId="5F18725D" w14:textId="77777777" w:rsidR="00BC26C0" w:rsidRPr="00AA4677" w:rsidRDefault="00BC26C0">
      <w:pPr>
        <w:numPr>
          <w:ilvl w:val="0"/>
          <w:numId w:val="152"/>
        </w:numPr>
        <w:spacing w:after="120" w:line="240" w:lineRule="auto"/>
        <w:ind w:left="360"/>
      </w:pPr>
      <w:hyperlink r:id="rId44" w:history="1">
        <w:r w:rsidRPr="00AA4677">
          <w:rPr>
            <w:rStyle w:val="Hyperlink"/>
            <w:color w:val="auto"/>
            <w:u w:val="none"/>
          </w:rPr>
          <w:t>21 CFR 312.2(b)(5)</w:t>
        </w:r>
      </w:hyperlink>
      <w:r w:rsidRPr="00AA4677">
        <w:t>: A clinical investigation involving use of a placebo is exempt from the requirements of part 312 if the investigation does not otherwise require submission of an IND.</w:t>
      </w:r>
    </w:p>
    <w:p w14:paraId="47E841A3" w14:textId="77777777" w:rsidR="00BC26C0" w:rsidRPr="00AA4677" w:rsidRDefault="00BC26C0">
      <w:pPr>
        <w:numPr>
          <w:ilvl w:val="0"/>
          <w:numId w:val="152"/>
        </w:numPr>
        <w:spacing w:after="120" w:line="240" w:lineRule="auto"/>
        <w:ind w:left="360"/>
      </w:pPr>
      <w:hyperlink r:id="rId45" w:history="1">
        <w:r w:rsidRPr="00AA4677">
          <w:rPr>
            <w:rStyle w:val="Hyperlink"/>
            <w:color w:val="auto"/>
            <w:u w:val="none"/>
          </w:rPr>
          <w:t>21 CFR 320.31(b) and (d)</w:t>
        </w:r>
      </w:hyperlink>
      <w:r w:rsidRPr="00AA4677">
        <w:t xml:space="preserve">: Bioavailability or Bioequivalence (BA/BE) studies if </w:t>
      </w:r>
      <w:proofErr w:type="gramStart"/>
      <w:r w:rsidRPr="00AA4677">
        <w:t>all of</w:t>
      </w:r>
      <w:proofErr w:type="gramEnd"/>
      <w:r w:rsidRPr="00AA4677">
        <w:t xml:space="preserve"> the following conditions are met:</w:t>
      </w:r>
    </w:p>
    <w:p w14:paraId="342ADA9D" w14:textId="77777777" w:rsidR="00BC26C0" w:rsidRPr="00AA4677" w:rsidRDefault="00BC26C0">
      <w:pPr>
        <w:numPr>
          <w:ilvl w:val="1"/>
          <w:numId w:val="152"/>
        </w:numPr>
        <w:spacing w:after="120" w:line="240" w:lineRule="auto"/>
        <w:ind w:left="720"/>
      </w:pPr>
      <w:r w:rsidRPr="00AA4677">
        <w:t>The drug product does not contain a new chemical entity [</w:t>
      </w:r>
      <w:hyperlink r:id="rId46" w:history="1">
        <w:r w:rsidRPr="00AA4677">
          <w:rPr>
            <w:rStyle w:val="Hyperlink"/>
            <w:color w:val="auto"/>
            <w:u w:val="none"/>
          </w:rPr>
          <w:t>21 CFR 314.108</w:t>
        </w:r>
      </w:hyperlink>
      <w:r w:rsidRPr="00AA4677">
        <w:t>], is not radioactively labeled, and is not cytotoxic;</w:t>
      </w:r>
    </w:p>
    <w:p w14:paraId="6B118F0D" w14:textId="77777777" w:rsidR="00BC26C0" w:rsidRPr="00AA4677" w:rsidRDefault="00BC26C0">
      <w:pPr>
        <w:numPr>
          <w:ilvl w:val="1"/>
          <w:numId w:val="152"/>
        </w:numPr>
        <w:spacing w:after="120" w:line="240" w:lineRule="auto"/>
        <w:ind w:left="720"/>
      </w:pPr>
      <w:r w:rsidRPr="00AA4677">
        <w:t xml:space="preserve">The dose (single dose or total daily dose) does not exceed the dose specified in the labeling of the approved version of the drug </w:t>
      </w:r>
      <w:proofErr w:type="gramStart"/>
      <w:r w:rsidRPr="00AA4677">
        <w:t>product;</w:t>
      </w:r>
      <w:proofErr w:type="gramEnd"/>
    </w:p>
    <w:p w14:paraId="1BA9D3A5" w14:textId="77777777" w:rsidR="00BC26C0" w:rsidRPr="00AA4677" w:rsidRDefault="00BC26C0">
      <w:pPr>
        <w:numPr>
          <w:ilvl w:val="1"/>
          <w:numId w:val="152"/>
        </w:numPr>
        <w:spacing w:after="120" w:line="240" w:lineRule="auto"/>
        <w:ind w:left="720"/>
      </w:pPr>
      <w:r w:rsidRPr="00AA4677">
        <w:lastRenderedPageBreak/>
        <w:t xml:space="preserve">The investigation is conducted in compliance with the requirements for IRB review and informed consent [21 CFR parts </w:t>
      </w:r>
      <w:hyperlink r:id="rId47" w:history="1">
        <w:r w:rsidRPr="00AA4677">
          <w:rPr>
            <w:rStyle w:val="Hyperlink"/>
            <w:color w:val="auto"/>
            <w:u w:val="none"/>
          </w:rPr>
          <w:t>56</w:t>
        </w:r>
      </w:hyperlink>
      <w:r w:rsidRPr="00AA4677">
        <w:t xml:space="preserve"> and </w:t>
      </w:r>
      <w:hyperlink r:id="rId48" w:history="1">
        <w:r w:rsidRPr="00AA4677">
          <w:rPr>
            <w:rStyle w:val="Hyperlink"/>
            <w:color w:val="auto"/>
            <w:u w:val="none"/>
          </w:rPr>
          <w:t>50</w:t>
        </w:r>
      </w:hyperlink>
      <w:r w:rsidRPr="00AA4677">
        <w:t>, respectively]; and</w:t>
      </w:r>
    </w:p>
    <w:p w14:paraId="5D292666" w14:textId="77777777" w:rsidR="00BC26C0" w:rsidRPr="00AA4677" w:rsidRDefault="00BC26C0">
      <w:pPr>
        <w:numPr>
          <w:ilvl w:val="1"/>
          <w:numId w:val="152"/>
        </w:numPr>
        <w:spacing w:after="120" w:line="240" w:lineRule="auto"/>
        <w:ind w:left="720"/>
      </w:pPr>
      <w:r w:rsidRPr="00AA4677">
        <w:t>The sponsor meets the requirements for retention of test article samples [</w:t>
      </w:r>
      <w:hyperlink r:id="rId49" w:history="1">
        <w:r w:rsidRPr="00AA4677">
          <w:rPr>
            <w:rStyle w:val="Hyperlink"/>
            <w:color w:val="auto"/>
            <w:u w:val="none"/>
          </w:rPr>
          <w:t>21 CFR 320.31(d)(1)</w:t>
        </w:r>
      </w:hyperlink>
      <w:r w:rsidRPr="00AA4677">
        <w:t>] and safety reporting [</w:t>
      </w:r>
      <w:hyperlink r:id="rId50" w:history="1">
        <w:r w:rsidRPr="00AA4677">
          <w:rPr>
            <w:rStyle w:val="Hyperlink"/>
            <w:color w:val="auto"/>
            <w:u w:val="none"/>
          </w:rPr>
          <w:t>21 CFR 320.31(d)(3)</w:t>
        </w:r>
      </w:hyperlink>
      <w:r w:rsidRPr="00AA4677">
        <w:t>].</w:t>
      </w:r>
    </w:p>
    <w:p w14:paraId="0EB2FF82" w14:textId="77777777" w:rsidR="00BC26C0" w:rsidRPr="00AA4677" w:rsidRDefault="00BC26C0">
      <w:pPr>
        <w:numPr>
          <w:ilvl w:val="0"/>
          <w:numId w:val="152"/>
        </w:numPr>
        <w:spacing w:after="120" w:line="240" w:lineRule="auto"/>
        <w:ind w:left="360"/>
      </w:pPr>
      <w:hyperlink r:id="rId51" w:history="1">
        <w:r w:rsidRPr="00AA4677">
          <w:rPr>
            <w:rStyle w:val="Hyperlink"/>
            <w:color w:val="auto"/>
            <w:u w:val="none"/>
          </w:rPr>
          <w:t>21 CFR 361.1</w:t>
        </w:r>
      </w:hyperlink>
      <w:r w:rsidRPr="00AA4677">
        <w:t xml:space="preserve">: </w:t>
      </w:r>
      <w:bookmarkStart w:id="151" w:name="_Hlk526082535"/>
      <w:r w:rsidRPr="00AA4677">
        <w:t xml:space="preserve">Research using a radioactive drug or biological product if </w:t>
      </w:r>
      <w:proofErr w:type="gramStart"/>
      <w:r w:rsidRPr="00AA4677">
        <w:t>all of</w:t>
      </w:r>
      <w:proofErr w:type="gramEnd"/>
      <w:r w:rsidRPr="00AA4677">
        <w:t xml:space="preserve"> the following conditions are met:</w:t>
      </w:r>
    </w:p>
    <w:p w14:paraId="0400D9A6" w14:textId="77777777" w:rsidR="00BC26C0" w:rsidRPr="00AA4677" w:rsidRDefault="00BC26C0">
      <w:pPr>
        <w:numPr>
          <w:ilvl w:val="1"/>
          <w:numId w:val="152"/>
        </w:numPr>
        <w:spacing w:after="120" w:line="240" w:lineRule="auto"/>
        <w:ind w:left="720"/>
      </w:pPr>
      <w:r w:rsidRPr="00AA4677">
        <w:t xml:space="preserve">It involves basic research not intended for immediate therapeutic, diagnostic, or similar purposes, or otherwise to determine the safety and efficacy of the </w:t>
      </w:r>
      <w:proofErr w:type="gramStart"/>
      <w:r w:rsidRPr="00AA4677">
        <w:t>product;</w:t>
      </w:r>
      <w:proofErr w:type="gramEnd"/>
    </w:p>
    <w:p w14:paraId="2FAA6A5B" w14:textId="77777777" w:rsidR="00BC26C0" w:rsidRPr="00AA4677" w:rsidRDefault="00BC26C0">
      <w:pPr>
        <w:numPr>
          <w:ilvl w:val="1"/>
          <w:numId w:val="152"/>
        </w:numPr>
        <w:spacing w:after="120" w:line="240" w:lineRule="auto"/>
        <w:ind w:left="720"/>
      </w:pPr>
      <w:r w:rsidRPr="00AA4677">
        <w:t xml:space="preserve">The use in humans is approved by a Radioactive Drug Research Committee (RDRC) that is composed and approved by </w:t>
      </w:r>
      <w:proofErr w:type="gramStart"/>
      <w:r w:rsidRPr="00AA4677">
        <w:t>FDA;</w:t>
      </w:r>
      <w:proofErr w:type="gramEnd"/>
    </w:p>
    <w:p w14:paraId="37BEEF9D" w14:textId="77777777" w:rsidR="00BC26C0" w:rsidRPr="00AA4677" w:rsidRDefault="00BC26C0">
      <w:pPr>
        <w:numPr>
          <w:ilvl w:val="1"/>
          <w:numId w:val="152"/>
        </w:numPr>
        <w:spacing w:after="120" w:line="240" w:lineRule="auto"/>
        <w:ind w:left="720"/>
      </w:pPr>
      <w:r w:rsidRPr="00AA4677">
        <w:t xml:space="preserve">The dose to be administered is known not to cause any clinically detectable pharmacological effect in humans, and </w:t>
      </w:r>
    </w:p>
    <w:p w14:paraId="32FB299C" w14:textId="77777777" w:rsidR="00BC26C0" w:rsidRPr="00AA4677" w:rsidRDefault="00BC26C0">
      <w:pPr>
        <w:numPr>
          <w:ilvl w:val="1"/>
          <w:numId w:val="152"/>
        </w:numPr>
        <w:spacing w:after="120" w:line="240" w:lineRule="auto"/>
        <w:ind w:left="720"/>
      </w:pPr>
      <w:r w:rsidRPr="00AA4677">
        <w:t>The total amount of radiation to be administered as part of the study is the smallest radiation dose practical to perform the study without jeopardizing the benefits of the study and is within specified limits.</w:t>
      </w:r>
    </w:p>
    <w:p w14:paraId="68781BC3" w14:textId="77777777" w:rsidR="00BC26C0" w:rsidRPr="00AA4677" w:rsidRDefault="00BC26C0">
      <w:pPr>
        <w:numPr>
          <w:ilvl w:val="0"/>
          <w:numId w:val="152"/>
        </w:numPr>
        <w:spacing w:after="120" w:line="240" w:lineRule="auto"/>
        <w:ind w:left="360"/>
      </w:pPr>
      <w:r w:rsidRPr="00AA4677">
        <w:t xml:space="preserve">FDA practices </w:t>
      </w:r>
      <w:hyperlink r:id="rId52" w:history="1">
        <w:r w:rsidRPr="00AA4677">
          <w:rPr>
            <w:rStyle w:val="Hyperlink"/>
            <w:color w:val="auto"/>
            <w:u w:val="none"/>
          </w:rPr>
          <w:t>enforcement discretion</w:t>
        </w:r>
      </w:hyperlink>
      <w:r w:rsidRPr="00AA4677">
        <w:t xml:space="preserve"> for research using cold isotopes of unapproved drugs if all of the following conditions are met:</w:t>
      </w:r>
    </w:p>
    <w:p w14:paraId="62CDFCBA" w14:textId="77777777" w:rsidR="00BC26C0" w:rsidRPr="00AA4677" w:rsidRDefault="00BC26C0">
      <w:pPr>
        <w:numPr>
          <w:ilvl w:val="1"/>
          <w:numId w:val="152"/>
        </w:numPr>
        <w:spacing w:after="120" w:line="240" w:lineRule="auto"/>
        <w:ind w:left="720"/>
      </w:pPr>
      <w:r w:rsidRPr="00AA4677">
        <w:t xml:space="preserve">The research is intended to obtain basic information regarding the metabolism (including kinetics, distribution, and localization) of a drug labeled with a cold isotope or regarding human physiology, pathophysiology, or </w:t>
      </w:r>
      <w:proofErr w:type="gramStart"/>
      <w:r w:rsidRPr="00AA4677">
        <w:t>biochemistry;</w:t>
      </w:r>
      <w:proofErr w:type="gramEnd"/>
    </w:p>
    <w:p w14:paraId="13655333" w14:textId="77777777" w:rsidR="00BC26C0" w:rsidRPr="00AA4677" w:rsidRDefault="00BC26C0">
      <w:pPr>
        <w:numPr>
          <w:ilvl w:val="1"/>
          <w:numId w:val="152"/>
        </w:numPr>
        <w:spacing w:after="120" w:line="240" w:lineRule="auto"/>
        <w:ind w:left="720"/>
      </w:pPr>
      <w:r w:rsidRPr="00AA4677">
        <w:t xml:space="preserve">The research is not intended for immediate therapeutic, diagnostic, or preventive benefit to the study </w:t>
      </w:r>
      <w:proofErr w:type="gramStart"/>
      <w:r w:rsidRPr="00AA4677">
        <w:t>subject;</w:t>
      </w:r>
      <w:proofErr w:type="gramEnd"/>
    </w:p>
    <w:p w14:paraId="31358706" w14:textId="77777777" w:rsidR="00BC26C0" w:rsidRPr="00AA4677" w:rsidRDefault="00BC26C0">
      <w:pPr>
        <w:numPr>
          <w:ilvl w:val="1"/>
          <w:numId w:val="152"/>
        </w:numPr>
        <w:spacing w:after="120" w:line="240" w:lineRule="auto"/>
        <w:ind w:left="720"/>
      </w:pPr>
      <w:r w:rsidRPr="00AA4677">
        <w:t xml:space="preserve">The dose to be administered is known not to cause any clinically detectable pharmacologic effect in humans based on clinical data from published literature or other valid human </w:t>
      </w:r>
      <w:proofErr w:type="gramStart"/>
      <w:r w:rsidRPr="00AA4677">
        <w:t>studies;</w:t>
      </w:r>
      <w:proofErr w:type="gramEnd"/>
    </w:p>
    <w:p w14:paraId="6D89AD32" w14:textId="77777777" w:rsidR="00BC26C0" w:rsidRPr="00AA4677" w:rsidRDefault="00BC26C0">
      <w:pPr>
        <w:numPr>
          <w:ilvl w:val="1"/>
          <w:numId w:val="152"/>
        </w:numPr>
        <w:spacing w:after="120" w:line="240" w:lineRule="auto"/>
        <w:ind w:left="720"/>
      </w:pPr>
      <w:r w:rsidRPr="00AA4677">
        <w:t>The quality of the cold isotope meets relevant quality standards; and</w:t>
      </w:r>
    </w:p>
    <w:p w14:paraId="55C643F5" w14:textId="77777777" w:rsidR="00BC26C0" w:rsidRPr="00AA4677" w:rsidRDefault="00BC26C0">
      <w:pPr>
        <w:numPr>
          <w:ilvl w:val="1"/>
          <w:numId w:val="152"/>
        </w:numPr>
        <w:spacing w:after="120" w:line="240" w:lineRule="auto"/>
        <w:ind w:left="720"/>
      </w:pPr>
      <w:r w:rsidRPr="00AA4677">
        <w:t xml:space="preserve">The investigation is conducted in compliance with the requirements for IRB review and informed consent. [21 CFR parts </w:t>
      </w:r>
      <w:hyperlink r:id="rId53" w:history="1">
        <w:r w:rsidRPr="00AA4677">
          <w:rPr>
            <w:rStyle w:val="Hyperlink"/>
            <w:color w:val="auto"/>
            <w:u w:val="none"/>
          </w:rPr>
          <w:t>56</w:t>
        </w:r>
      </w:hyperlink>
      <w:r w:rsidRPr="00AA4677">
        <w:t xml:space="preserve"> and </w:t>
      </w:r>
      <w:hyperlink r:id="rId54" w:history="1">
        <w:r w:rsidRPr="00AA4677">
          <w:rPr>
            <w:rStyle w:val="Hyperlink"/>
            <w:color w:val="auto"/>
            <w:u w:val="none"/>
          </w:rPr>
          <w:t>50</w:t>
        </w:r>
      </w:hyperlink>
      <w:r w:rsidRPr="00AA4677">
        <w:t>, respectively]</w:t>
      </w:r>
    </w:p>
    <w:p w14:paraId="322A0451" w14:textId="4DD6F3BC" w:rsidR="00BC26C0" w:rsidRPr="00AA4677" w:rsidRDefault="00BC26C0" w:rsidP="00C57C98">
      <w:pPr>
        <w:pStyle w:val="Heading3"/>
      </w:pPr>
      <w:bookmarkStart w:id="152" w:name="_Toc493413261"/>
      <w:bookmarkStart w:id="153" w:name="_Toc493418031"/>
      <w:bookmarkStart w:id="154" w:name="_Toc523233350"/>
      <w:bookmarkEnd w:id="151"/>
      <w:r w:rsidRPr="00AA4677">
        <w:t>7.3.3 IDE Exemptions</w:t>
      </w:r>
      <w:bookmarkEnd w:id="152"/>
      <w:bookmarkEnd w:id="153"/>
      <w:bookmarkEnd w:id="154"/>
    </w:p>
    <w:p w14:paraId="10F46A00" w14:textId="77777777" w:rsidR="00BC26C0" w:rsidRPr="00AA4677" w:rsidRDefault="00BC26C0" w:rsidP="00BC26C0">
      <w:r w:rsidRPr="00AA4677">
        <w:t>For clinical investigations of medical devices, an IDE is not necessary if:</w:t>
      </w:r>
    </w:p>
    <w:p w14:paraId="0B933BEC" w14:textId="77777777" w:rsidR="00BC26C0" w:rsidRPr="00AA4677" w:rsidRDefault="00BC26C0">
      <w:pPr>
        <w:numPr>
          <w:ilvl w:val="0"/>
          <w:numId w:val="167"/>
        </w:numPr>
        <w:spacing w:after="120" w:line="240" w:lineRule="auto"/>
        <w:ind w:left="360"/>
      </w:pPr>
      <w:r w:rsidRPr="00AA4677">
        <w:lastRenderedPageBreak/>
        <w:t xml:space="preserve">The research involves a device, other than a transitional device, in commercial distribution immediately before May 28, 1976, when used or investigated in accordance with the indications in labeling in effect at that </w:t>
      </w:r>
      <w:proofErr w:type="gramStart"/>
      <w:r w:rsidRPr="00AA4677">
        <w:t>time;</w:t>
      </w:r>
      <w:proofErr w:type="gramEnd"/>
    </w:p>
    <w:p w14:paraId="2A6E8FDF" w14:textId="77777777" w:rsidR="00BC26C0" w:rsidRPr="00AA4677" w:rsidRDefault="00BC26C0">
      <w:pPr>
        <w:numPr>
          <w:ilvl w:val="0"/>
          <w:numId w:val="167"/>
        </w:numPr>
        <w:spacing w:after="120" w:line="240" w:lineRule="auto"/>
        <w:ind w:left="360"/>
      </w:pPr>
      <w:r w:rsidRPr="00AA4677">
        <w:t xml:space="preserve">The research involves a device other than a transitional device, introduced into commercial distribution on or after May 28, 1976, that FDA has determined to be substantially equivalent to a device in commercial distribution immediately before May 28, 1976, and that is used or investigated in accordance with the indications in the labeling FDA reviewed under subpart E of </w:t>
      </w:r>
      <w:hyperlink r:id="rId55" w:history="1">
        <w:r w:rsidRPr="00AA4677">
          <w:rPr>
            <w:rStyle w:val="Hyperlink"/>
            <w:color w:val="auto"/>
            <w:u w:val="none"/>
          </w:rPr>
          <w:t>21 CFR 807</w:t>
        </w:r>
      </w:hyperlink>
      <w:r w:rsidRPr="00AA4677">
        <w:t xml:space="preserve"> in determining substantial equivalence (a “510k” device);</w:t>
      </w:r>
    </w:p>
    <w:p w14:paraId="6E922E42" w14:textId="77777777" w:rsidR="00BC26C0" w:rsidRPr="00AA4677" w:rsidRDefault="00BC26C0">
      <w:pPr>
        <w:numPr>
          <w:ilvl w:val="0"/>
          <w:numId w:val="167"/>
        </w:numPr>
        <w:spacing w:after="120" w:line="240" w:lineRule="auto"/>
        <w:ind w:left="360"/>
      </w:pPr>
      <w:r w:rsidRPr="00AA4677">
        <w:t xml:space="preserve">The research involves a diagnostic device, if the sponsor complies with applicable requirements in </w:t>
      </w:r>
      <w:hyperlink r:id="rId56" w:history="1">
        <w:r w:rsidRPr="00AA4677">
          <w:rPr>
            <w:rStyle w:val="Hyperlink"/>
            <w:color w:val="auto"/>
            <w:u w:val="none"/>
          </w:rPr>
          <w:t>21 CFR 809.10(c)</w:t>
        </w:r>
      </w:hyperlink>
      <w:r w:rsidRPr="00AA4677">
        <w:t xml:space="preserve"> and if the testing:</w:t>
      </w:r>
    </w:p>
    <w:p w14:paraId="7905886B" w14:textId="77777777" w:rsidR="00BC26C0" w:rsidRPr="00AA4677" w:rsidRDefault="00BC26C0">
      <w:pPr>
        <w:numPr>
          <w:ilvl w:val="1"/>
          <w:numId w:val="167"/>
        </w:numPr>
        <w:spacing w:after="0" w:line="240" w:lineRule="auto"/>
        <w:ind w:left="720"/>
      </w:pPr>
      <w:proofErr w:type="gramStart"/>
      <w:r w:rsidRPr="00AA4677">
        <w:t>Is</w:t>
      </w:r>
      <w:proofErr w:type="gramEnd"/>
      <w:r w:rsidRPr="00AA4677">
        <w:t xml:space="preserve"> noninvasive,</w:t>
      </w:r>
    </w:p>
    <w:p w14:paraId="644F672E" w14:textId="77777777" w:rsidR="00BC26C0" w:rsidRPr="00AA4677" w:rsidRDefault="00BC26C0">
      <w:pPr>
        <w:numPr>
          <w:ilvl w:val="1"/>
          <w:numId w:val="167"/>
        </w:numPr>
        <w:spacing w:after="0" w:line="240" w:lineRule="auto"/>
        <w:ind w:left="720"/>
      </w:pPr>
      <w:r w:rsidRPr="00AA4677">
        <w:t>Does not require an invasive sampling procedure that presents significant risk,</w:t>
      </w:r>
    </w:p>
    <w:p w14:paraId="553648B8" w14:textId="77777777" w:rsidR="00BC26C0" w:rsidRPr="00AA4677" w:rsidRDefault="00BC26C0">
      <w:pPr>
        <w:numPr>
          <w:ilvl w:val="1"/>
          <w:numId w:val="167"/>
        </w:numPr>
        <w:spacing w:after="0" w:line="240" w:lineRule="auto"/>
        <w:ind w:left="720"/>
      </w:pPr>
      <w:r w:rsidRPr="00AA4677">
        <w:t>Does not by design or intention introduce energy into a subject, and</w:t>
      </w:r>
    </w:p>
    <w:p w14:paraId="1E90A219" w14:textId="77777777" w:rsidR="00BC26C0" w:rsidRPr="00AA4677" w:rsidRDefault="00BC26C0">
      <w:pPr>
        <w:numPr>
          <w:ilvl w:val="1"/>
          <w:numId w:val="167"/>
        </w:numPr>
        <w:spacing w:after="0" w:line="240" w:lineRule="auto"/>
        <w:ind w:left="720"/>
      </w:pPr>
      <w:proofErr w:type="gramStart"/>
      <w:r w:rsidRPr="00AA4677">
        <w:t>Is</w:t>
      </w:r>
      <w:proofErr w:type="gramEnd"/>
      <w:r w:rsidRPr="00AA4677">
        <w:t xml:space="preserve"> not used as a diagnostic procedure without confirmation of the diagnosis by another, medically established diagnostic product or </w:t>
      </w:r>
      <w:proofErr w:type="gramStart"/>
      <w:r w:rsidRPr="00AA4677">
        <w:t>procedure;</w:t>
      </w:r>
      <w:proofErr w:type="gramEnd"/>
    </w:p>
    <w:p w14:paraId="2DA75819" w14:textId="77777777" w:rsidR="00BC26C0" w:rsidRPr="00AA4677" w:rsidRDefault="00BC26C0">
      <w:pPr>
        <w:numPr>
          <w:ilvl w:val="0"/>
          <w:numId w:val="167"/>
        </w:numPr>
        <w:spacing w:after="120" w:line="240" w:lineRule="auto"/>
        <w:ind w:left="360"/>
      </w:pPr>
      <w:r w:rsidRPr="00AA4677">
        <w:t xml:space="preserve">The research involves a device undergoing consumer preference testing, testing of a modification, or testing of a combination of two or more devices in commercial distribution, if the testing is not for the purpose of determining safety or effectiveness and does not put subjects at </w:t>
      </w:r>
      <w:proofErr w:type="gramStart"/>
      <w:r w:rsidRPr="00AA4677">
        <w:t>risk;</w:t>
      </w:r>
      <w:proofErr w:type="gramEnd"/>
    </w:p>
    <w:p w14:paraId="07EB87B5" w14:textId="77777777" w:rsidR="00BC26C0" w:rsidRPr="00AA4677" w:rsidRDefault="00BC26C0">
      <w:pPr>
        <w:numPr>
          <w:ilvl w:val="0"/>
          <w:numId w:val="167"/>
        </w:numPr>
        <w:spacing w:after="120" w:line="240" w:lineRule="auto"/>
        <w:ind w:left="360"/>
      </w:pPr>
      <w:r w:rsidRPr="00AA4677">
        <w:t xml:space="preserve">The research involves a device intended solely for veterinary </w:t>
      </w:r>
      <w:proofErr w:type="gramStart"/>
      <w:r w:rsidRPr="00AA4677">
        <w:t>use;</w:t>
      </w:r>
      <w:proofErr w:type="gramEnd"/>
    </w:p>
    <w:p w14:paraId="71C1EF50" w14:textId="77777777" w:rsidR="00BC26C0" w:rsidRPr="00AA4677" w:rsidRDefault="00BC26C0">
      <w:pPr>
        <w:numPr>
          <w:ilvl w:val="0"/>
          <w:numId w:val="167"/>
        </w:numPr>
        <w:spacing w:after="120" w:line="240" w:lineRule="auto"/>
        <w:ind w:left="360"/>
      </w:pPr>
      <w:r w:rsidRPr="00AA4677">
        <w:t xml:space="preserve">The research involves a device shipped solely for research on or with laboratory animals and labeled in accordance with </w:t>
      </w:r>
      <w:hyperlink r:id="rId57" w:history="1">
        <w:r w:rsidRPr="00AA4677">
          <w:rPr>
            <w:rStyle w:val="Hyperlink"/>
            <w:color w:val="auto"/>
            <w:u w:val="none"/>
          </w:rPr>
          <w:t>21 CFR 812.5(c)</w:t>
        </w:r>
      </w:hyperlink>
      <w:r w:rsidRPr="00AA4677">
        <w:t>;</w:t>
      </w:r>
    </w:p>
    <w:p w14:paraId="3806B19F" w14:textId="77777777" w:rsidR="00BC26C0" w:rsidRPr="00AA4677" w:rsidRDefault="00BC26C0">
      <w:pPr>
        <w:numPr>
          <w:ilvl w:val="0"/>
          <w:numId w:val="167"/>
        </w:numPr>
        <w:spacing w:after="120" w:line="240" w:lineRule="auto"/>
        <w:ind w:left="360"/>
      </w:pPr>
      <w:r w:rsidRPr="00AA4677">
        <w:t xml:space="preserve">The research involves a custom device as defined in </w:t>
      </w:r>
      <w:hyperlink r:id="rId58" w:history="1">
        <w:r w:rsidRPr="00AA4677">
          <w:rPr>
            <w:rStyle w:val="Hyperlink"/>
            <w:color w:val="auto"/>
            <w:u w:val="none"/>
          </w:rPr>
          <w:t>21 CFR 812.3(b)</w:t>
        </w:r>
      </w:hyperlink>
      <w:r w:rsidRPr="00AA4677">
        <w:t>, unless the device is being used to determine safety or effectiveness for commercial distribution.</w:t>
      </w:r>
    </w:p>
    <w:p w14:paraId="73D8E76B" w14:textId="0B6E160A" w:rsidR="00BC26C0" w:rsidRPr="00AA4677" w:rsidRDefault="0081464F" w:rsidP="00C57C98">
      <w:pPr>
        <w:pStyle w:val="Heading3"/>
      </w:pPr>
      <w:bookmarkStart w:id="155" w:name="_Toc493413262"/>
      <w:bookmarkStart w:id="156" w:name="_Toc493418032"/>
      <w:bookmarkStart w:id="157" w:name="_Toc523233351"/>
      <w:r w:rsidRPr="00AA4677">
        <w:t xml:space="preserve">7.3.4 </w:t>
      </w:r>
      <w:r w:rsidR="00BC26C0" w:rsidRPr="00AA4677">
        <w:t>Significant and Non-Significant Risk Device Studies</w:t>
      </w:r>
      <w:bookmarkEnd w:id="155"/>
      <w:bookmarkEnd w:id="156"/>
      <w:bookmarkEnd w:id="157"/>
    </w:p>
    <w:p w14:paraId="6332D8B9" w14:textId="77777777" w:rsidR="00BC26C0" w:rsidRPr="00AA4677" w:rsidRDefault="00BC26C0" w:rsidP="00BC26C0">
      <w:r w:rsidRPr="00AA4677">
        <w:t xml:space="preserve">A device study is a Non-Significant Risk (NSR) Device study if it is not IDE exempt and does not meet the definition of a Significant Risk (SR) Device study.  </w:t>
      </w:r>
    </w:p>
    <w:p w14:paraId="30B11DEE" w14:textId="77777777" w:rsidR="00BC26C0" w:rsidRPr="00AA4677" w:rsidRDefault="00BC26C0" w:rsidP="00BC26C0">
      <w:r w:rsidRPr="00AA4677">
        <w:t xml:space="preserve">Under </w:t>
      </w:r>
      <w:hyperlink r:id="rId59" w:history="1">
        <w:r w:rsidRPr="00AA4677">
          <w:rPr>
            <w:rStyle w:val="Hyperlink"/>
            <w:color w:val="auto"/>
            <w:u w:val="none"/>
          </w:rPr>
          <w:t>21 CFR 812.3(m)</w:t>
        </w:r>
      </w:hyperlink>
      <w:r w:rsidRPr="00AA4677">
        <w:t xml:space="preserve">, an SR device means an investigational device that: </w:t>
      </w:r>
    </w:p>
    <w:p w14:paraId="15D5FC72" w14:textId="77777777" w:rsidR="00BC26C0" w:rsidRPr="00AA4677" w:rsidRDefault="00BC26C0">
      <w:pPr>
        <w:numPr>
          <w:ilvl w:val="0"/>
          <w:numId w:val="168"/>
        </w:numPr>
        <w:spacing w:after="120" w:line="240" w:lineRule="auto"/>
        <w:ind w:left="360"/>
      </w:pPr>
      <w:proofErr w:type="gramStart"/>
      <w:r w:rsidRPr="00AA4677">
        <w:t>Is</w:t>
      </w:r>
      <w:proofErr w:type="gramEnd"/>
      <w:r w:rsidRPr="00AA4677">
        <w:t xml:space="preserve"> intended as an implant and presents a potential for serious risk to the health, safety, or welfare of a </w:t>
      </w:r>
      <w:proofErr w:type="gramStart"/>
      <w:r w:rsidRPr="00AA4677">
        <w:t>subject;</w:t>
      </w:r>
      <w:proofErr w:type="gramEnd"/>
      <w:r w:rsidRPr="00AA4677">
        <w:t xml:space="preserve"> </w:t>
      </w:r>
    </w:p>
    <w:p w14:paraId="4D4251BE" w14:textId="77777777" w:rsidR="00BC26C0" w:rsidRPr="00AA4677" w:rsidRDefault="00BC26C0">
      <w:pPr>
        <w:numPr>
          <w:ilvl w:val="0"/>
          <w:numId w:val="168"/>
        </w:numPr>
        <w:spacing w:after="120" w:line="240" w:lineRule="auto"/>
        <w:ind w:left="360"/>
      </w:pPr>
      <w:proofErr w:type="gramStart"/>
      <w:r w:rsidRPr="00AA4677">
        <w:t>Is</w:t>
      </w:r>
      <w:proofErr w:type="gramEnd"/>
      <w:r w:rsidRPr="00AA4677">
        <w:t xml:space="preserve"> purported or represented to be for use supporting or sustaining human life and presents a potential for serious risk to the health, safety, or welfare of a </w:t>
      </w:r>
      <w:proofErr w:type="gramStart"/>
      <w:r w:rsidRPr="00AA4677">
        <w:t>subject;</w:t>
      </w:r>
      <w:proofErr w:type="gramEnd"/>
      <w:r w:rsidRPr="00AA4677">
        <w:t xml:space="preserve"> </w:t>
      </w:r>
    </w:p>
    <w:p w14:paraId="0446C5F0" w14:textId="77777777" w:rsidR="00BC26C0" w:rsidRPr="00AA4677" w:rsidRDefault="00BC26C0">
      <w:pPr>
        <w:numPr>
          <w:ilvl w:val="0"/>
          <w:numId w:val="168"/>
        </w:numPr>
        <w:spacing w:after="120" w:line="240" w:lineRule="auto"/>
        <w:ind w:left="360"/>
      </w:pPr>
      <w:r w:rsidRPr="00AA4677">
        <w:lastRenderedPageBreak/>
        <w:t xml:space="preserve">Is for a use of substantial importance in diagnosing, curing, mitigating, or treating disease, or otherwise preventing impairment of human health and presents a potential for serious risk to the health, safety, or welfare of a subject; or </w:t>
      </w:r>
    </w:p>
    <w:p w14:paraId="2A24287C" w14:textId="77777777" w:rsidR="00BC26C0" w:rsidRPr="00AA4677" w:rsidRDefault="00BC26C0">
      <w:pPr>
        <w:numPr>
          <w:ilvl w:val="0"/>
          <w:numId w:val="168"/>
        </w:numPr>
        <w:spacing w:after="120" w:line="240" w:lineRule="auto"/>
        <w:ind w:left="360"/>
      </w:pPr>
      <w:r w:rsidRPr="00AA4677">
        <w:t xml:space="preserve">Otherwise presents a potential for serious risk to the health, safety, or welfare of a subject. </w:t>
      </w:r>
    </w:p>
    <w:p w14:paraId="4831DB89" w14:textId="68A5EA14" w:rsidR="00BC26C0" w:rsidRPr="00AA4677" w:rsidRDefault="00BC26C0" w:rsidP="00BC26C0">
      <w:r w:rsidRPr="00AA4677">
        <w:t xml:space="preserve">If the FDA has already determined a study to be SR or NSR, </w:t>
      </w:r>
      <w:r w:rsidR="003311A4" w:rsidRPr="00AA4677">
        <w:t>t</w:t>
      </w:r>
      <w:r w:rsidRPr="00AA4677">
        <w:t xml:space="preserve">he FDA’s determination is </w:t>
      </w:r>
      <w:proofErr w:type="gramStart"/>
      <w:r w:rsidRPr="00AA4677">
        <w:t>final</w:t>
      </w:r>
      <w:proofErr w:type="gramEnd"/>
      <w:r w:rsidRPr="00AA4677">
        <w:t xml:space="preserve"> and the IRB does not have to make the device risk determination.</w:t>
      </w:r>
    </w:p>
    <w:p w14:paraId="3BC00357" w14:textId="77777777" w:rsidR="00BC26C0" w:rsidRPr="00AA4677" w:rsidRDefault="00BC26C0" w:rsidP="00BC26C0">
      <w:r w:rsidRPr="00AA4677">
        <w:t xml:space="preserve">Unless the FDA has already made a device risk determination for the study, the IRB will review studies that the sponsor or investigator have put forth as NSR at a convened meeting to determine if the device represents SR or NSR. </w:t>
      </w:r>
    </w:p>
    <w:p w14:paraId="504D0203" w14:textId="77777777" w:rsidR="00BC26C0" w:rsidRPr="00AA4677" w:rsidRDefault="00BC26C0" w:rsidP="00BC26C0">
      <w:r w:rsidRPr="00AA4677">
        <w:t xml:space="preserve">The sponsor or sponsor-investigator is responsible for providing the IRB with an explanation describing the basis for their initial determination of NSR and any other information that may help the IRB in evaluating the risk of the study (e.g., reports of prior investigations of the device).  </w:t>
      </w:r>
    </w:p>
    <w:p w14:paraId="35530C06" w14:textId="77777777" w:rsidR="00BC26C0" w:rsidRPr="00AA4677" w:rsidRDefault="00BC26C0" w:rsidP="00BC26C0">
      <w:r w:rsidRPr="00AA4677">
        <w:t xml:space="preserve">The IRB will review the information provided by the sponsor and investigator </w:t>
      </w:r>
      <w:proofErr w:type="gramStart"/>
      <w:r w:rsidRPr="00AA4677">
        <w:t>including, but</w:t>
      </w:r>
      <w:proofErr w:type="gramEnd"/>
      <w:r w:rsidRPr="00AA4677">
        <w:t xml:space="preserve"> not limited </w:t>
      </w:r>
      <w:proofErr w:type="gramStart"/>
      <w:r w:rsidRPr="00AA4677">
        <w:t>to:</w:t>
      </w:r>
      <w:proofErr w:type="gramEnd"/>
      <w:r w:rsidRPr="00AA4677">
        <w:t xml:space="preserve"> the sponsor or investigator’s NSR assessment, the description of the device, reports of prior investigations of the device (if applicable), the proposed </w:t>
      </w:r>
      <w:proofErr w:type="gramStart"/>
      <w:r w:rsidRPr="00AA4677">
        <w:t>investigational</w:t>
      </w:r>
      <w:proofErr w:type="gramEnd"/>
      <w:r w:rsidRPr="00AA4677">
        <w:t xml:space="preserve"> plan, and subject selection criteria.  </w:t>
      </w:r>
    </w:p>
    <w:p w14:paraId="4E012157" w14:textId="447F1E9A" w:rsidR="00BC26C0" w:rsidRPr="00AA4677" w:rsidRDefault="00BC26C0" w:rsidP="00BC26C0">
      <w:r w:rsidRPr="00AA4677">
        <w:t xml:space="preserve">The NSR/SR determination made by the IRB will be based on the proposed use of the device in the investigation, not on the device alone.  The IRB will </w:t>
      </w:r>
      <w:r w:rsidR="006B628B" w:rsidRPr="00AA4677">
        <w:t>consider the nature of any harm</w:t>
      </w:r>
      <w:r w:rsidRPr="00AA4677">
        <w:t xml:space="preserve"> that may result from use of the d</w:t>
      </w:r>
      <w:r w:rsidR="006B628B" w:rsidRPr="00AA4677">
        <w:t>evice, including potential harm</w:t>
      </w:r>
      <w:r w:rsidRPr="00AA4677">
        <w:t xml:space="preserve"> from additional procedures subjects would need to undergo as part of the investigation (e.g., procedures for inserting, implanting, or deploying the device).  The IRB may consult with the FDA or require the sponsor or investigator to obtain a determination from the FDA.  The IRB will document the SR or NSR determination and the basis for it in the meeting minutes and provide the investigator, and sponsor when applicable, with the determination in writing.</w:t>
      </w:r>
    </w:p>
    <w:p w14:paraId="1C68D44F" w14:textId="3DCDCADD" w:rsidR="00BC26C0" w:rsidRPr="00AA4677" w:rsidRDefault="00BC26C0" w:rsidP="00BC26C0">
      <w:r w:rsidRPr="00AA4677">
        <w:t>Non-significant risk device studies do not require submission of an IDE application to the FDA but must be conducted in accordance with the abbreviated requirements of IDE regulations (</w:t>
      </w:r>
      <w:hyperlink r:id="rId60" w:history="1">
        <w:r w:rsidRPr="00AA4677">
          <w:rPr>
            <w:rStyle w:val="Hyperlink"/>
            <w:color w:val="auto"/>
            <w:u w:val="none"/>
          </w:rPr>
          <w:t>21 CFR 812.2(b)</w:t>
        </w:r>
      </w:hyperlink>
      <w:r w:rsidRPr="00AA4677">
        <w:t>).  Under the abbreviated requirements, the follow</w:t>
      </w:r>
      <w:r w:rsidR="006B628B" w:rsidRPr="00AA4677">
        <w:t>ing categories of investigation</w:t>
      </w:r>
      <w:r w:rsidRPr="00AA4677">
        <w:t xml:space="preserve"> are considered to have approved applications for IDE's, unless FDA has notified a sponsor under </w:t>
      </w:r>
      <w:hyperlink r:id="rId61" w:history="1">
        <w:r w:rsidRPr="00AA4677">
          <w:rPr>
            <w:rStyle w:val="Hyperlink"/>
            <w:color w:val="auto"/>
            <w:u w:val="none"/>
          </w:rPr>
          <w:t>812.20(a)</w:t>
        </w:r>
      </w:hyperlink>
      <w:r w:rsidRPr="00AA4677">
        <w:t xml:space="preserve"> that approval of an application is required:</w:t>
      </w:r>
    </w:p>
    <w:p w14:paraId="7CA59C09" w14:textId="77777777" w:rsidR="00BC26C0" w:rsidRPr="00AA4677" w:rsidRDefault="00BC26C0">
      <w:pPr>
        <w:numPr>
          <w:ilvl w:val="0"/>
          <w:numId w:val="169"/>
        </w:numPr>
        <w:spacing w:after="120" w:line="240" w:lineRule="auto"/>
        <w:ind w:left="360"/>
      </w:pPr>
      <w:r w:rsidRPr="00AA4677">
        <w:t>An investigation of a device other than a significant risk device, if the device is not a banned device and the sponsor (or sponsor-investigator):</w:t>
      </w:r>
    </w:p>
    <w:p w14:paraId="785FEE17" w14:textId="77777777" w:rsidR="00BC26C0" w:rsidRPr="00AA4677" w:rsidRDefault="00BC26C0">
      <w:pPr>
        <w:numPr>
          <w:ilvl w:val="1"/>
          <w:numId w:val="169"/>
        </w:numPr>
        <w:spacing w:after="0" w:line="240" w:lineRule="auto"/>
        <w:ind w:left="720"/>
      </w:pPr>
      <w:r w:rsidRPr="00AA4677">
        <w:t xml:space="preserve">Labels the device in accordance with </w:t>
      </w:r>
      <w:hyperlink r:id="rId62" w:history="1">
        <w:r w:rsidRPr="00AA4677">
          <w:rPr>
            <w:rStyle w:val="Hyperlink"/>
            <w:color w:val="auto"/>
            <w:u w:val="none"/>
          </w:rPr>
          <w:t>812.5</w:t>
        </w:r>
      </w:hyperlink>
      <w:r w:rsidRPr="00AA4677">
        <w:t>;</w:t>
      </w:r>
    </w:p>
    <w:p w14:paraId="133DED0E" w14:textId="77777777" w:rsidR="00BC26C0" w:rsidRPr="00AA4677" w:rsidRDefault="00BC26C0">
      <w:pPr>
        <w:numPr>
          <w:ilvl w:val="1"/>
          <w:numId w:val="169"/>
        </w:numPr>
        <w:spacing w:after="0" w:line="240" w:lineRule="auto"/>
        <w:ind w:left="720"/>
      </w:pPr>
      <w:r w:rsidRPr="00AA4677">
        <w:lastRenderedPageBreak/>
        <w:t xml:space="preserve">Obtains IRB approval of the investigation after presenting the reviewing IRB with an explanation of why the device is not a significant risk device, and maintains such </w:t>
      </w:r>
      <w:proofErr w:type="gramStart"/>
      <w:r w:rsidRPr="00AA4677">
        <w:t>approval;</w:t>
      </w:r>
      <w:proofErr w:type="gramEnd"/>
    </w:p>
    <w:p w14:paraId="49BBFFF0" w14:textId="77777777" w:rsidR="00BC26C0" w:rsidRPr="00AA4677" w:rsidRDefault="00BC26C0">
      <w:pPr>
        <w:numPr>
          <w:ilvl w:val="1"/>
          <w:numId w:val="169"/>
        </w:numPr>
        <w:spacing w:after="0" w:line="240" w:lineRule="auto"/>
        <w:ind w:left="720"/>
      </w:pPr>
      <w:r w:rsidRPr="00AA4677">
        <w:t xml:space="preserve">Ensures that each investigator participating in an investigation of the device obtains from each subject under the investigator's care, informed consent under part 50 and documents it, unless the requirement is waived by the </w:t>
      </w:r>
      <w:proofErr w:type="gramStart"/>
      <w:r w:rsidRPr="00AA4677">
        <w:t>IRB;</w:t>
      </w:r>
      <w:proofErr w:type="gramEnd"/>
    </w:p>
    <w:p w14:paraId="4C566976" w14:textId="77777777" w:rsidR="00BC26C0" w:rsidRPr="00AA4677" w:rsidRDefault="00BC26C0">
      <w:pPr>
        <w:numPr>
          <w:ilvl w:val="1"/>
          <w:numId w:val="169"/>
        </w:numPr>
        <w:spacing w:after="0" w:line="240" w:lineRule="auto"/>
        <w:ind w:left="720"/>
      </w:pPr>
      <w:r w:rsidRPr="00AA4677">
        <w:t xml:space="preserve">Complies with the requirements of </w:t>
      </w:r>
      <w:hyperlink r:id="rId63" w:history="1">
        <w:r w:rsidRPr="00AA4677">
          <w:rPr>
            <w:rStyle w:val="Hyperlink"/>
            <w:color w:val="auto"/>
            <w:u w:val="none"/>
          </w:rPr>
          <w:t>812.46</w:t>
        </w:r>
      </w:hyperlink>
      <w:r w:rsidRPr="00AA4677">
        <w:t xml:space="preserve"> with respect to monitoring investigations;</w:t>
      </w:r>
    </w:p>
    <w:p w14:paraId="2A18B474" w14:textId="77777777" w:rsidR="00BC26C0" w:rsidRPr="00AA4677" w:rsidRDefault="00BC26C0">
      <w:pPr>
        <w:numPr>
          <w:ilvl w:val="1"/>
          <w:numId w:val="169"/>
        </w:numPr>
        <w:spacing w:after="0" w:line="240" w:lineRule="auto"/>
        <w:ind w:left="720"/>
      </w:pPr>
      <w:r w:rsidRPr="00AA4677">
        <w:t xml:space="preserve">Maintains the records required under </w:t>
      </w:r>
      <w:hyperlink r:id="rId64" w:history="1">
        <w:r w:rsidRPr="00AA4677">
          <w:rPr>
            <w:rStyle w:val="Hyperlink"/>
            <w:color w:val="auto"/>
            <w:u w:val="none"/>
          </w:rPr>
          <w:t>812.140(b) (4) and (5)</w:t>
        </w:r>
      </w:hyperlink>
      <w:r w:rsidRPr="00AA4677">
        <w:t xml:space="preserve"> and makes the reports required under </w:t>
      </w:r>
      <w:hyperlink r:id="rId65" w:history="1">
        <w:r w:rsidRPr="00AA4677">
          <w:rPr>
            <w:rStyle w:val="Hyperlink"/>
            <w:color w:val="auto"/>
            <w:u w:val="none"/>
          </w:rPr>
          <w:t>812.150(b) (1) through (3) and (5) through (10)</w:t>
        </w:r>
      </w:hyperlink>
      <w:r w:rsidRPr="00AA4677">
        <w:t>;</w:t>
      </w:r>
    </w:p>
    <w:p w14:paraId="10CF7ECA" w14:textId="0F1D6882" w:rsidR="00BC26C0" w:rsidRPr="00AA4677" w:rsidRDefault="00BC26C0">
      <w:pPr>
        <w:numPr>
          <w:ilvl w:val="1"/>
          <w:numId w:val="169"/>
        </w:numPr>
        <w:spacing w:after="0" w:line="240" w:lineRule="auto"/>
        <w:ind w:left="720"/>
      </w:pPr>
      <w:r w:rsidRPr="00AA4677">
        <w:t xml:space="preserve">Ensures that participating investigators maintain the records required by </w:t>
      </w:r>
      <w:hyperlink r:id="rId66" w:history="1">
        <w:r w:rsidRPr="00AA4677">
          <w:rPr>
            <w:rStyle w:val="Hyperlink"/>
            <w:color w:val="auto"/>
            <w:u w:val="none"/>
          </w:rPr>
          <w:t>812.140(a)(3)(i)</w:t>
        </w:r>
      </w:hyperlink>
      <w:r w:rsidRPr="00AA4677">
        <w:t xml:space="preserve"> and make</w:t>
      </w:r>
      <w:r w:rsidR="006B628B" w:rsidRPr="00AA4677">
        <w:t>s</w:t>
      </w:r>
      <w:r w:rsidRPr="00AA4677">
        <w:t xml:space="preserve"> the reports required under </w:t>
      </w:r>
      <w:hyperlink r:id="rId67" w:history="1">
        <w:r w:rsidRPr="00AA4677">
          <w:rPr>
            <w:rStyle w:val="Hyperlink"/>
            <w:color w:val="auto"/>
            <w:u w:val="none"/>
          </w:rPr>
          <w:t>812.150(a) (1), (2), (5), and (7)</w:t>
        </w:r>
      </w:hyperlink>
      <w:r w:rsidRPr="00AA4677">
        <w:t>; and</w:t>
      </w:r>
    </w:p>
    <w:p w14:paraId="7636DD0B" w14:textId="199B042B" w:rsidR="001E22E4" w:rsidRPr="00AA4677" w:rsidRDefault="00BC26C0" w:rsidP="00BC26C0">
      <w:pPr>
        <w:numPr>
          <w:ilvl w:val="1"/>
          <w:numId w:val="169"/>
        </w:numPr>
        <w:spacing w:after="0" w:line="240" w:lineRule="auto"/>
        <w:ind w:left="720"/>
      </w:pPr>
      <w:r w:rsidRPr="00AA4677">
        <w:t xml:space="preserve">Complies with the prohibitions in </w:t>
      </w:r>
      <w:hyperlink r:id="rId68" w:history="1">
        <w:r w:rsidRPr="00AA4677">
          <w:rPr>
            <w:rStyle w:val="Hyperlink"/>
            <w:color w:val="auto"/>
            <w:u w:val="none"/>
          </w:rPr>
          <w:t>812.7</w:t>
        </w:r>
      </w:hyperlink>
      <w:r w:rsidRPr="00AA4677">
        <w:t xml:space="preserve"> against promotion and other practices.</w:t>
      </w:r>
    </w:p>
    <w:p w14:paraId="535DAC89" w14:textId="77777777" w:rsidR="007C28A5" w:rsidRPr="00AA4677" w:rsidRDefault="007C28A5" w:rsidP="007C28A5">
      <w:pPr>
        <w:spacing w:after="0" w:line="240" w:lineRule="auto"/>
        <w:ind w:left="720"/>
      </w:pPr>
    </w:p>
    <w:p w14:paraId="41613A62" w14:textId="006678D9" w:rsidR="00BC26C0" w:rsidRPr="00AA4677" w:rsidRDefault="00BC26C0" w:rsidP="00BC26C0">
      <w:r w:rsidRPr="00AA4677">
        <w:t xml:space="preserve">When the FDA or IRB determines that a study is SR, the IRB may approve the study, but the study cannot begin until an IDE is obtained.   </w:t>
      </w:r>
    </w:p>
    <w:p w14:paraId="1A46F51D" w14:textId="2F3617BA" w:rsidR="007D2E3C" w:rsidRPr="00AA4677" w:rsidRDefault="006B628B" w:rsidP="00696B35">
      <w:pPr>
        <w:pStyle w:val="Heading2"/>
      </w:pPr>
      <w:bookmarkStart w:id="158" w:name="_Toc493413263"/>
      <w:bookmarkStart w:id="159" w:name="_Toc493418033"/>
      <w:bookmarkStart w:id="160" w:name="_Toc523233352"/>
      <w:bookmarkStart w:id="161" w:name="_Toc192678224"/>
      <w:proofErr w:type="gramStart"/>
      <w:r w:rsidRPr="00AA4677">
        <w:t xml:space="preserve">7.4  </w:t>
      </w:r>
      <w:r w:rsidR="00BC26C0" w:rsidRPr="00AA4677">
        <w:t>Diagnostic</w:t>
      </w:r>
      <w:proofErr w:type="gramEnd"/>
      <w:r w:rsidR="00BC26C0" w:rsidRPr="00AA4677">
        <w:t xml:space="preserve"> or Treatment Use of Humanitarian Use Devices</w:t>
      </w:r>
      <w:bookmarkEnd w:id="142"/>
      <w:bookmarkEnd w:id="158"/>
      <w:bookmarkEnd w:id="159"/>
      <w:bookmarkEnd w:id="160"/>
      <w:bookmarkEnd w:id="161"/>
      <w:r w:rsidR="00BC26C0" w:rsidRPr="00AA4677">
        <w:t xml:space="preserve"> </w:t>
      </w:r>
    </w:p>
    <w:p w14:paraId="2C722198" w14:textId="77777777" w:rsidR="007D2E3C" w:rsidRPr="00AA4677" w:rsidRDefault="007D2E3C" w:rsidP="00696B35">
      <w:pPr>
        <w:pStyle w:val="Heading2"/>
      </w:pPr>
    </w:p>
    <w:p w14:paraId="6FBF4E27" w14:textId="4E7FDCD0" w:rsidR="00BC26C0" w:rsidRPr="00AA4677" w:rsidRDefault="00BC26C0" w:rsidP="00BC26C0">
      <w:r w:rsidRPr="00AA4677">
        <w:t>A Humanitarian Use Device (HUD) is an approved (marketed) medical device intended to benefit patients in the treatment or diagnosis of a disease or condition that affects or is manifested in fewer than 8,000 individuals in the United States per year [</w:t>
      </w:r>
      <w:hyperlink r:id="rId69" w:history="1">
        <w:r w:rsidRPr="00AA4677">
          <w:rPr>
            <w:rStyle w:val="Hyperlink"/>
            <w:color w:val="auto"/>
            <w:u w:val="none"/>
          </w:rPr>
          <w:t>21 CFR 814.3(n)</w:t>
        </w:r>
      </w:hyperlink>
      <w:r w:rsidRPr="00AA4677">
        <w:t xml:space="preserve">]. Federal law requires that an IRB </w:t>
      </w:r>
      <w:proofErr w:type="gramStart"/>
      <w:r w:rsidRPr="00AA4677">
        <w:t>approve</w:t>
      </w:r>
      <w:proofErr w:type="gramEnd"/>
      <w:r w:rsidRPr="00AA4677">
        <w:t xml:space="preserve"> the use of a HUD at a facility.  Once approved, the clinical use of the HUD may be considered as any other approved device, with the caution that effectiveness has not been shown in clinical trials. </w:t>
      </w:r>
    </w:p>
    <w:p w14:paraId="1926151F" w14:textId="5DD7CC00" w:rsidR="00BC26C0" w:rsidRPr="00AA4677" w:rsidRDefault="006B628B" w:rsidP="00C57C98">
      <w:pPr>
        <w:pStyle w:val="Heading3"/>
      </w:pPr>
      <w:bookmarkStart w:id="162" w:name="_Toc493413264"/>
      <w:bookmarkStart w:id="163" w:name="_Toc493418034"/>
      <w:bookmarkStart w:id="164" w:name="_Toc522017736"/>
      <w:bookmarkStart w:id="165" w:name="_Toc523233353"/>
      <w:r w:rsidRPr="00AA4677">
        <w:t xml:space="preserve">7.4.1  </w:t>
      </w:r>
      <w:r w:rsidR="00BC26C0" w:rsidRPr="00AA4677">
        <w:t>Definitions</w:t>
      </w:r>
      <w:bookmarkEnd w:id="162"/>
      <w:bookmarkEnd w:id="163"/>
      <w:bookmarkEnd w:id="164"/>
      <w:bookmarkEnd w:id="165"/>
    </w:p>
    <w:p w14:paraId="65050FEA" w14:textId="4D1037FE" w:rsidR="00BC26C0" w:rsidRPr="00AA4677" w:rsidRDefault="00C82D07" w:rsidP="00BC26C0">
      <w:r w:rsidRPr="00AA4677">
        <w:rPr>
          <w:b/>
        </w:rPr>
        <w:t>Humanitarian Device Exemption:</w:t>
      </w:r>
      <w:r w:rsidR="00BC26C0" w:rsidRPr="00AA4677">
        <w:t xml:space="preserve">  A “premarket approval application” submitted to FDA pursuant to Subpart A, </w:t>
      </w:r>
      <w:hyperlink r:id="rId70" w:history="1">
        <w:r w:rsidR="00BC26C0" w:rsidRPr="00AA4677">
          <w:rPr>
            <w:rStyle w:val="Hyperlink"/>
            <w:color w:val="auto"/>
            <w:u w:val="none"/>
          </w:rPr>
          <w:t>21 CFR Part 814</w:t>
        </w:r>
      </w:hyperlink>
      <w:r w:rsidR="00BC26C0" w:rsidRPr="00AA4677">
        <w:t xml:space="preserve"> “seeking a humanitarian device exemption from the effectiveness requirements of sections 514 and 515 of the [FD&amp;C Act] as authorized by section 520(m)(2) of the [FD&amp;C Act].” HDE approval is based upon, among other criteria, a determination by </w:t>
      </w:r>
      <w:r w:rsidR="00785F92" w:rsidRPr="00AA4677">
        <w:t xml:space="preserve">the </w:t>
      </w:r>
      <w:r w:rsidR="00BC26C0" w:rsidRPr="00AA4677">
        <w:t>FDA that the HUD will not expose patients to an unreasonable or significant risk of illness or injury and the probable benefit to health from use of the device outweighs the risk of injury or illness from its use while taking into account the probable risks and benefits of currently available devices or alternative forms of treatment.</w:t>
      </w:r>
    </w:p>
    <w:p w14:paraId="0E40730E" w14:textId="03421323" w:rsidR="00BC26C0" w:rsidRPr="00AA4677" w:rsidRDefault="00C82D07" w:rsidP="00BC26C0">
      <w:r w:rsidRPr="00AA4677">
        <w:rPr>
          <w:b/>
        </w:rPr>
        <w:t>HDE Holder:</w:t>
      </w:r>
      <w:r w:rsidR="00BC26C0" w:rsidRPr="00AA4677">
        <w:rPr>
          <w:b/>
        </w:rPr>
        <w:t xml:space="preserve"> </w:t>
      </w:r>
      <w:r w:rsidRPr="00AA4677">
        <w:t xml:space="preserve"> A</w:t>
      </w:r>
      <w:r w:rsidR="00BC26C0" w:rsidRPr="00AA4677">
        <w:t xml:space="preserve"> person or entity that obtains approval of an HDE from the FDA.</w:t>
      </w:r>
    </w:p>
    <w:p w14:paraId="598A9AE7" w14:textId="1B745AA4" w:rsidR="00BC26C0" w:rsidRPr="00AA4677" w:rsidRDefault="006B628B" w:rsidP="00C57C98">
      <w:pPr>
        <w:pStyle w:val="Heading3"/>
      </w:pPr>
      <w:bookmarkStart w:id="166" w:name="_Toc493413265"/>
      <w:bookmarkStart w:id="167" w:name="_Toc493418035"/>
      <w:bookmarkStart w:id="168" w:name="_Toc522017737"/>
      <w:bookmarkStart w:id="169" w:name="_Toc523233354"/>
      <w:r w:rsidRPr="00AA4677">
        <w:lastRenderedPageBreak/>
        <w:t xml:space="preserve">7.4.2  </w:t>
      </w:r>
      <w:r w:rsidR="00BC26C0" w:rsidRPr="00AA4677">
        <w:t>IRB Review Requirements</w:t>
      </w:r>
      <w:bookmarkEnd w:id="166"/>
      <w:bookmarkEnd w:id="167"/>
      <w:bookmarkEnd w:id="168"/>
      <w:bookmarkEnd w:id="169"/>
    </w:p>
    <w:p w14:paraId="35658050" w14:textId="77777777" w:rsidR="00BC26C0" w:rsidRPr="00AA4677" w:rsidRDefault="00BC26C0" w:rsidP="00BC26C0">
      <w:pPr>
        <w:rPr>
          <w:i/>
        </w:rPr>
      </w:pPr>
      <w:r w:rsidRPr="00AA4677">
        <w:t>A Humanitarian Use Device (HUD) may only be used in a facility after an IRB has approved its use, except in certain emergencies. The HDE holder is responsible for ensuring that a HUD is provided only to facilities having an IRB constituted and acting in accordance with the FDA’s regulations governing IRBs (</w:t>
      </w:r>
      <w:hyperlink r:id="rId71" w:history="1">
        <w:r w:rsidRPr="00AA4677">
          <w:rPr>
            <w:rStyle w:val="Hyperlink"/>
            <w:color w:val="auto"/>
            <w:u w:val="none"/>
          </w:rPr>
          <w:t>21 CFR Part 56</w:t>
        </w:r>
      </w:hyperlink>
      <w:r w:rsidRPr="00AA4677">
        <w:t xml:space="preserve">), including continuing review of use of the device. </w:t>
      </w:r>
    </w:p>
    <w:p w14:paraId="11F84239" w14:textId="77777777" w:rsidR="00BC26C0" w:rsidRPr="00AA4677" w:rsidRDefault="00BC26C0" w:rsidP="00BC26C0">
      <w:r w:rsidRPr="00AA4677">
        <w:t xml:space="preserve">When a HUD is used in a </w:t>
      </w:r>
      <w:r w:rsidRPr="00AA4677">
        <w:rPr>
          <w:b/>
        </w:rPr>
        <w:t>clinical investigation</w:t>
      </w:r>
      <w:r w:rsidRPr="00AA4677">
        <w:t xml:space="preserve"> (i.e., research involving one or more subjects to determine the safety or effectiveness of the HUD), the full requirements for IRB review and informed consent apply (21 CFR </w:t>
      </w:r>
      <w:hyperlink r:id="rId72" w:history="1">
        <w:r w:rsidRPr="00AA4677">
          <w:rPr>
            <w:rStyle w:val="Hyperlink"/>
            <w:color w:val="auto"/>
            <w:u w:val="none"/>
          </w:rPr>
          <w:t>50</w:t>
        </w:r>
      </w:hyperlink>
      <w:r w:rsidRPr="00AA4677">
        <w:t xml:space="preserve"> and </w:t>
      </w:r>
      <w:hyperlink r:id="rId73" w:history="1">
        <w:r w:rsidRPr="00AA4677">
          <w:rPr>
            <w:rStyle w:val="Hyperlink"/>
            <w:color w:val="auto"/>
            <w:u w:val="none"/>
          </w:rPr>
          <w:t>56</w:t>
        </w:r>
      </w:hyperlink>
      <w:r w:rsidRPr="00AA4677">
        <w:t xml:space="preserve">) as well as other applicable regulations.  It is essential to differentiate whether the HUD is being studied for the indication(s) in its approved labeling or for different </w:t>
      </w:r>
      <w:proofErr w:type="gramStart"/>
      <w:r w:rsidRPr="00AA4677">
        <w:t>indication</w:t>
      </w:r>
      <w:proofErr w:type="gramEnd"/>
      <w:r w:rsidRPr="00AA4677">
        <w:t xml:space="preserve">(s).  When the HUD is being studied for the indication(s) in its approved labeling, the IDE regulations at </w:t>
      </w:r>
      <w:hyperlink r:id="rId74" w:history="1">
        <w:r w:rsidRPr="00AA4677">
          <w:rPr>
            <w:rStyle w:val="Hyperlink"/>
            <w:color w:val="auto"/>
            <w:u w:val="none"/>
          </w:rPr>
          <w:t>21 CFR 812</w:t>
        </w:r>
      </w:hyperlink>
      <w:r w:rsidRPr="00AA4677">
        <w:t xml:space="preserve"> do not apply.  However, when the HUD is being studied for a different indication(s), </w:t>
      </w:r>
      <w:hyperlink r:id="rId75" w:history="1">
        <w:r w:rsidRPr="00AA4677">
          <w:rPr>
            <w:rStyle w:val="Hyperlink"/>
            <w:color w:val="auto"/>
            <w:u w:val="none"/>
          </w:rPr>
          <w:t>21 CFR 812</w:t>
        </w:r>
      </w:hyperlink>
      <w:r w:rsidRPr="00AA4677">
        <w:t xml:space="preserve"> does apply, including the requirement for a FDA-approved IDE before starting the clinical investigation of a Significant Risk device.  </w:t>
      </w:r>
    </w:p>
    <w:p w14:paraId="7C115148" w14:textId="49E1386A" w:rsidR="00BC26C0" w:rsidRPr="00AA4677" w:rsidRDefault="006B628B" w:rsidP="00C57C98">
      <w:pPr>
        <w:pStyle w:val="Heading3"/>
      </w:pPr>
      <w:bookmarkStart w:id="170" w:name="_Toc493413266"/>
      <w:bookmarkStart w:id="171" w:name="_Toc493418036"/>
      <w:bookmarkStart w:id="172" w:name="_Toc522017738"/>
      <w:bookmarkStart w:id="173" w:name="_Toc523233355"/>
      <w:r w:rsidRPr="00AA4677">
        <w:t xml:space="preserve">7.4.3  </w:t>
      </w:r>
      <w:r w:rsidR="00BC26C0" w:rsidRPr="00AA4677">
        <w:t>Procedures</w:t>
      </w:r>
      <w:bookmarkEnd w:id="170"/>
      <w:bookmarkEnd w:id="171"/>
      <w:bookmarkEnd w:id="172"/>
      <w:bookmarkEnd w:id="173"/>
    </w:p>
    <w:p w14:paraId="3F68296C" w14:textId="77777777" w:rsidR="00BC26C0" w:rsidRPr="00AA4677" w:rsidRDefault="00BC26C0" w:rsidP="00BC26C0">
      <w:r w:rsidRPr="00AA4677">
        <w:t>The relevant requirements and procedures for research described elsewhere in this manual apply to clinical investigations of HUDs.  The material within this section applies to diagnostic or treatment uses of HUDs.</w:t>
      </w:r>
    </w:p>
    <w:p w14:paraId="1A09EE3A" w14:textId="77777777" w:rsidR="00BC26C0" w:rsidRPr="00AA4677" w:rsidRDefault="00BC26C0" w:rsidP="00BC26C0">
      <w:r w:rsidRPr="00AA4677">
        <w:t>The health care provider seeking approval for diagnostic or treatment use of a HUD at SBU facilities is responsible for obtaining IRB approval prior to use of the HUD at the facility and for complying with the applicable regulations, including those for medical device reporting, organizational policies, and the requirements of the IRB.</w:t>
      </w:r>
    </w:p>
    <w:p w14:paraId="0A04E052" w14:textId="77777777" w:rsidR="00BC26C0" w:rsidRPr="00AA4677" w:rsidRDefault="00BC26C0" w:rsidP="00BC26C0">
      <w:r w:rsidRPr="00AA4677">
        <w:t>Health care providers seeking initial IRB approval for diagnostic or treatment use of a HUD for the indication(s) in the HUDs approved labeling should submit the following materials to the IRB:</w:t>
      </w:r>
    </w:p>
    <w:p w14:paraId="781E5492" w14:textId="60012038" w:rsidR="00BC26C0" w:rsidRPr="00AA4677" w:rsidRDefault="006B628B">
      <w:pPr>
        <w:numPr>
          <w:ilvl w:val="0"/>
          <w:numId w:val="170"/>
        </w:numPr>
        <w:spacing w:after="0" w:line="240" w:lineRule="auto"/>
        <w:ind w:left="360"/>
      </w:pPr>
      <w:r w:rsidRPr="00AA4677">
        <w:t>IRB</w:t>
      </w:r>
      <w:r w:rsidR="00BC26C0" w:rsidRPr="00AA4677">
        <w:t xml:space="preserve"> Application </w:t>
      </w:r>
      <w:proofErr w:type="gramStart"/>
      <w:r w:rsidR="00BC26C0" w:rsidRPr="00AA4677">
        <w:t>Form;</w:t>
      </w:r>
      <w:proofErr w:type="gramEnd"/>
    </w:p>
    <w:p w14:paraId="3E9F5A61" w14:textId="77777777" w:rsidR="00BC26C0" w:rsidRPr="00AA4677" w:rsidRDefault="00BC26C0">
      <w:pPr>
        <w:numPr>
          <w:ilvl w:val="0"/>
          <w:numId w:val="170"/>
        </w:numPr>
        <w:spacing w:after="0" w:line="240" w:lineRule="auto"/>
        <w:ind w:left="360"/>
      </w:pPr>
      <w:r w:rsidRPr="00AA4677">
        <w:t xml:space="preserve">A copy of the HDE approval letter from the </w:t>
      </w:r>
      <w:proofErr w:type="gramStart"/>
      <w:r w:rsidRPr="00AA4677">
        <w:t>FDA;</w:t>
      </w:r>
      <w:proofErr w:type="gramEnd"/>
    </w:p>
    <w:p w14:paraId="025B001A" w14:textId="77777777" w:rsidR="00BC26C0" w:rsidRPr="00AA4677" w:rsidRDefault="00BC26C0">
      <w:pPr>
        <w:numPr>
          <w:ilvl w:val="0"/>
          <w:numId w:val="170"/>
        </w:numPr>
        <w:spacing w:after="0" w:line="240" w:lineRule="auto"/>
        <w:ind w:left="360"/>
      </w:pPr>
      <w:r w:rsidRPr="00AA4677">
        <w:t xml:space="preserve">A description of the device, such as a device </w:t>
      </w:r>
      <w:proofErr w:type="gramStart"/>
      <w:r w:rsidRPr="00AA4677">
        <w:t>brochure;</w:t>
      </w:r>
      <w:proofErr w:type="gramEnd"/>
    </w:p>
    <w:p w14:paraId="781F9625" w14:textId="77777777" w:rsidR="00BC26C0" w:rsidRPr="00AA4677" w:rsidRDefault="00BC26C0">
      <w:pPr>
        <w:numPr>
          <w:ilvl w:val="0"/>
          <w:numId w:val="170"/>
        </w:numPr>
        <w:spacing w:after="0" w:line="240" w:lineRule="auto"/>
        <w:ind w:left="360"/>
      </w:pPr>
      <w:r w:rsidRPr="00AA4677">
        <w:t>The patient information packet for the HUD; and</w:t>
      </w:r>
    </w:p>
    <w:p w14:paraId="6ED00C31" w14:textId="45A8C53D" w:rsidR="00BC26C0" w:rsidRPr="00AA4677" w:rsidRDefault="00BC26C0">
      <w:pPr>
        <w:numPr>
          <w:ilvl w:val="0"/>
          <w:numId w:val="170"/>
        </w:numPr>
        <w:spacing w:after="0" w:line="240" w:lineRule="auto"/>
        <w:ind w:left="360"/>
      </w:pPr>
      <w:r w:rsidRPr="00AA4677">
        <w:t>The proposed clinical consent</w:t>
      </w:r>
      <w:r w:rsidR="00B71B33" w:rsidRPr="00AA4677">
        <w:t xml:space="preserve"> </w:t>
      </w:r>
      <w:r w:rsidRPr="00AA4677">
        <w:t>process</w:t>
      </w:r>
    </w:p>
    <w:p w14:paraId="76A380AF" w14:textId="45D36B30" w:rsidR="007602F6" w:rsidRPr="00AA4677" w:rsidRDefault="007602F6">
      <w:pPr>
        <w:numPr>
          <w:ilvl w:val="0"/>
          <w:numId w:val="170"/>
        </w:numPr>
        <w:spacing w:after="0" w:line="240" w:lineRule="auto"/>
        <w:ind w:left="360"/>
      </w:pPr>
      <w:r w:rsidRPr="00AA4677">
        <w:t>The HUD consent form</w:t>
      </w:r>
    </w:p>
    <w:p w14:paraId="0B9864AB" w14:textId="77777777" w:rsidR="001E22E4" w:rsidRPr="00AA4677" w:rsidRDefault="001E22E4" w:rsidP="001E22E4">
      <w:pPr>
        <w:spacing w:after="0" w:line="240" w:lineRule="auto"/>
      </w:pPr>
    </w:p>
    <w:p w14:paraId="3E70A338" w14:textId="0DDECE79" w:rsidR="00BC26C0" w:rsidRPr="00AA4677" w:rsidRDefault="00BC26C0" w:rsidP="00CF06EE">
      <w:pPr>
        <w:spacing w:after="0" w:line="240" w:lineRule="auto"/>
      </w:pPr>
      <w:r w:rsidRPr="00AA4677">
        <w:t xml:space="preserve">The IRB will review the proposal at a convened meeting ensuring that appropriate expertise is available either within the membership in attendance or via the use of consultants.  The IRB will review the risks to patients that are described in the product labeling and other materials, the </w:t>
      </w:r>
      <w:r w:rsidRPr="00AA4677">
        <w:lastRenderedPageBreak/>
        <w:t xml:space="preserve">proposed procedures to ensure that risks are minimized, and will evaluate whether the risks are reasonable in relation to the potential benefits to patients at the facility.  The IRB will evaluate the patient information packet and </w:t>
      </w:r>
      <w:r w:rsidR="00785F92" w:rsidRPr="00AA4677">
        <w:t xml:space="preserve">the </w:t>
      </w:r>
      <w:r w:rsidRPr="00AA4677">
        <w:t xml:space="preserve">proposed consent process and </w:t>
      </w:r>
      <w:proofErr w:type="gramStart"/>
      <w:r w:rsidRPr="00AA4677">
        <w:t>will determine</w:t>
      </w:r>
      <w:proofErr w:type="gramEnd"/>
      <w:r w:rsidRPr="00AA4677">
        <w:t xml:space="preserve"> if the materials are adequate and appropriate for the patient population.  </w:t>
      </w:r>
    </w:p>
    <w:p w14:paraId="5F851344" w14:textId="77777777" w:rsidR="00CF06EE" w:rsidRPr="00AA4677" w:rsidRDefault="00CF06EE" w:rsidP="00CF06EE">
      <w:pPr>
        <w:spacing w:after="0" w:line="240" w:lineRule="auto"/>
      </w:pPr>
    </w:p>
    <w:p w14:paraId="02327915" w14:textId="133B2848" w:rsidR="00BC26C0" w:rsidRPr="00AA4677" w:rsidRDefault="00BC26C0" w:rsidP="00CF06EE">
      <w:pPr>
        <w:spacing w:after="0" w:line="240" w:lineRule="auto"/>
      </w:pPr>
      <w:r w:rsidRPr="00AA4677">
        <w:t xml:space="preserve">The IRB may specify limitations on the use of the device, require additional screening and follow up procedures, require interim reports to the IRB, require continuing review more often than annually, or set other conditions or requirements as appropriate to minimize risks to patients and ensure the safe use of the device in the facility. </w:t>
      </w:r>
    </w:p>
    <w:p w14:paraId="13B3525B" w14:textId="77777777" w:rsidR="00CF06EE" w:rsidRPr="00AA4677" w:rsidRDefault="00CF06EE" w:rsidP="00CF06EE">
      <w:pPr>
        <w:spacing w:after="0" w:line="240" w:lineRule="auto"/>
      </w:pPr>
    </w:p>
    <w:p w14:paraId="655BD705" w14:textId="0A590221" w:rsidR="00BC26C0" w:rsidRPr="00AA4677" w:rsidRDefault="00BC26C0" w:rsidP="00CF06EE">
      <w:pPr>
        <w:spacing w:after="0" w:line="240" w:lineRule="auto"/>
      </w:pPr>
      <w:r w:rsidRPr="00AA4677">
        <w:t xml:space="preserve">Once use of the HUD is approved, the health care provider is responsible for submitting any proposed changes to the IRB-approved plan or patient materials and obtaining approval for those changes prior to implementation, unless the change is necessary to avoid or mediate an apparent immediate risk to a patient.  Proposed changes should be accompanied by any revised materials or supporting documentation.  The IRB may review these changes using expedited review procedures or </w:t>
      </w:r>
      <w:proofErr w:type="gramStart"/>
      <w:r w:rsidRPr="00AA4677">
        <w:t>refer</w:t>
      </w:r>
      <w:proofErr w:type="gramEnd"/>
      <w:r w:rsidRPr="00AA4677">
        <w:t xml:space="preserve"> the changes for review by the convened IRB. </w:t>
      </w:r>
    </w:p>
    <w:p w14:paraId="6EC7224B" w14:textId="77777777" w:rsidR="00FD5E9B" w:rsidRPr="00AA4677" w:rsidRDefault="00FD5E9B" w:rsidP="00BC26C0"/>
    <w:p w14:paraId="0F54C419" w14:textId="045C94DA" w:rsidR="00BC26C0" w:rsidRPr="00AA4677" w:rsidRDefault="00BC26C0" w:rsidP="00BC26C0">
      <w:r w:rsidRPr="00AA4677">
        <w:t>The health care provider is responsible for submitting reports to the FDA, the IRB, and the manufacturer/HDE Holder whenever a HUD may have caused or contributed to a death, and must submit reports to the manufacturer (or to FDA and the IRB if the manufacturer is unknown) whenever a HUD may have caused or contributed to a serious injury (</w:t>
      </w:r>
      <w:hyperlink r:id="rId76" w:history="1">
        <w:r w:rsidRPr="00AA4677">
          <w:rPr>
            <w:rStyle w:val="Hyperlink"/>
            <w:color w:val="auto"/>
            <w:u w:val="none"/>
          </w:rPr>
          <w:t>21 CFR 803.30</w:t>
        </w:r>
      </w:hyperlink>
      <w:r w:rsidRPr="00AA4677">
        <w:t xml:space="preserve"> and </w:t>
      </w:r>
      <w:hyperlink r:id="rId77" w:history="1">
        <w:r w:rsidRPr="00AA4677">
          <w:rPr>
            <w:rStyle w:val="Hyperlink"/>
            <w:color w:val="auto"/>
            <w:u w:val="none"/>
          </w:rPr>
          <w:t>814.126(a)</w:t>
        </w:r>
      </w:hyperlink>
      <w:r w:rsidRPr="00AA4677">
        <w:t>). Serious injury means an injury or illness that (1) is life-threatening, (2) results in permanent impairment of a bodily function or permanent damage to a body structure, or (3) necessitates medical or surgical intervention to preclude permanent impairment of a bodily function or permanent damage to a body structure (</w:t>
      </w:r>
      <w:hyperlink r:id="rId78" w:history="1">
        <w:r w:rsidRPr="00AA4677">
          <w:rPr>
            <w:rStyle w:val="Hyperlink"/>
            <w:color w:val="auto"/>
            <w:u w:val="none"/>
          </w:rPr>
          <w:t>21 CFR 803.3</w:t>
        </w:r>
      </w:hyperlink>
      <w:r w:rsidRPr="00AA4677">
        <w:t xml:space="preserve">). The specific requirements for this reporting are in the Medical Device Reporting (MDR) Regulation, at </w:t>
      </w:r>
      <w:hyperlink r:id="rId79" w:history="1">
        <w:r w:rsidRPr="00AA4677">
          <w:rPr>
            <w:rStyle w:val="Hyperlink"/>
            <w:color w:val="auto"/>
            <w:u w:val="none"/>
          </w:rPr>
          <w:t>21 CFR Part 803</w:t>
        </w:r>
      </w:hyperlink>
      <w:r w:rsidRPr="00AA4677">
        <w:t>. The IRB will review these reports via either expedited or convened review, as appropriate, and will consider whether any changes are needed to the IRB-approved plan or patient materials.</w:t>
      </w:r>
    </w:p>
    <w:p w14:paraId="41F39F11" w14:textId="77777777" w:rsidR="00BC26C0" w:rsidRPr="00AA4677" w:rsidRDefault="00BC26C0" w:rsidP="00BC26C0">
      <w:r w:rsidRPr="00AA4677">
        <w:t>The health care provider is responsible for submitting continuing review materials to the IRB sufficiently in advance of the expiration date to ensure IRB review and re-approval prior to expiration.  Materials to be submitted include:</w:t>
      </w:r>
    </w:p>
    <w:p w14:paraId="3A2A1A8E" w14:textId="2E133E2C" w:rsidR="00BC26C0" w:rsidRPr="00AA4677" w:rsidRDefault="0081464F" w:rsidP="001E22E4">
      <w:pPr>
        <w:spacing w:after="0" w:line="240" w:lineRule="auto"/>
        <w:ind w:left="360" w:hanging="360"/>
      </w:pPr>
      <w:r w:rsidRPr="00AA4677">
        <w:t xml:space="preserve">1.  </w:t>
      </w:r>
      <w:r w:rsidR="00BC26C0" w:rsidRPr="00AA4677">
        <w:t xml:space="preserve">The Continuing Review Application </w:t>
      </w:r>
      <w:r w:rsidR="00B71B33" w:rsidRPr="00AA4677">
        <w:t xml:space="preserve">including information about each patient </w:t>
      </w:r>
      <w:proofErr w:type="gramStart"/>
      <w:r w:rsidR="00B71B33" w:rsidRPr="00AA4677">
        <w:t>in</w:t>
      </w:r>
      <w:proofErr w:type="gramEnd"/>
      <w:r w:rsidR="00B71B33" w:rsidRPr="00AA4677">
        <w:t xml:space="preserve"> which the device has been </w:t>
      </w:r>
      <w:proofErr w:type="gramStart"/>
      <w:r w:rsidR="00B71B33" w:rsidRPr="00AA4677">
        <w:t>used;</w:t>
      </w:r>
      <w:proofErr w:type="gramEnd"/>
    </w:p>
    <w:p w14:paraId="7C498915" w14:textId="7B65442D" w:rsidR="00BC26C0" w:rsidRPr="00AA4677" w:rsidRDefault="0081464F" w:rsidP="001E22E4">
      <w:pPr>
        <w:spacing w:after="0" w:line="240" w:lineRule="auto"/>
        <w:ind w:left="360" w:hanging="360"/>
      </w:pPr>
      <w:r w:rsidRPr="00AA4677">
        <w:t xml:space="preserve">2.  </w:t>
      </w:r>
      <w:r w:rsidR="00BC26C0" w:rsidRPr="00AA4677">
        <w:t>The most recent periodic report to the FDA by the HDE holder</w:t>
      </w:r>
      <w:r w:rsidR="00B71B33" w:rsidRPr="00AA4677">
        <w:t xml:space="preserve"> and copies of safety information sent to the FDA, serious advers events or medical device </w:t>
      </w:r>
      <w:proofErr w:type="gramStart"/>
      <w:r w:rsidR="00B71B33" w:rsidRPr="00AA4677">
        <w:t>reports</w:t>
      </w:r>
      <w:r w:rsidR="00BC26C0" w:rsidRPr="00AA4677">
        <w:t>;</w:t>
      </w:r>
      <w:proofErr w:type="gramEnd"/>
    </w:p>
    <w:p w14:paraId="2C1CE01E" w14:textId="2590196A" w:rsidR="00BC26C0" w:rsidRPr="00AA4677" w:rsidRDefault="0081464F" w:rsidP="001E22E4">
      <w:pPr>
        <w:spacing w:after="0" w:line="240" w:lineRule="auto"/>
      </w:pPr>
      <w:r w:rsidRPr="00AA4677">
        <w:t xml:space="preserve">3.  </w:t>
      </w:r>
      <w:r w:rsidR="00BC26C0" w:rsidRPr="00AA4677">
        <w:t xml:space="preserve">The current patient information packet, if </w:t>
      </w:r>
      <w:proofErr w:type="gramStart"/>
      <w:r w:rsidR="00BC26C0" w:rsidRPr="00AA4677">
        <w:t>applicable;</w:t>
      </w:r>
      <w:proofErr w:type="gramEnd"/>
    </w:p>
    <w:p w14:paraId="6ACEB18B" w14:textId="46930DCF" w:rsidR="00BC26C0" w:rsidRPr="00AA4677" w:rsidRDefault="0081464F" w:rsidP="001E22E4">
      <w:pPr>
        <w:spacing w:after="0" w:line="240" w:lineRule="auto"/>
      </w:pPr>
      <w:r w:rsidRPr="00AA4677">
        <w:lastRenderedPageBreak/>
        <w:t xml:space="preserve">4.  </w:t>
      </w:r>
      <w:r w:rsidR="00BC26C0" w:rsidRPr="00AA4677">
        <w:t>Th</w:t>
      </w:r>
      <w:r w:rsidR="00536A61" w:rsidRPr="00AA4677">
        <w:t>e current consent</w:t>
      </w:r>
    </w:p>
    <w:p w14:paraId="1D77EC32" w14:textId="20AC9452" w:rsidR="001E22E4" w:rsidRPr="00AA4677" w:rsidRDefault="0081464F" w:rsidP="00785F92">
      <w:pPr>
        <w:spacing w:after="0" w:line="240" w:lineRule="auto"/>
      </w:pPr>
      <w:r w:rsidRPr="00AA4677">
        <w:t xml:space="preserve">5.  </w:t>
      </w:r>
      <w:r w:rsidR="00BC26C0" w:rsidRPr="00AA4677">
        <w:t>Any other new relevant information or materials</w:t>
      </w:r>
      <w:r w:rsidR="00B71B33" w:rsidRPr="00AA4677">
        <w:t xml:space="preserve"> or change in product labeling</w:t>
      </w:r>
    </w:p>
    <w:p w14:paraId="17C2BEA5" w14:textId="77777777" w:rsidR="00785F92" w:rsidRPr="00AA4677" w:rsidRDefault="00785F92" w:rsidP="00785F92">
      <w:pPr>
        <w:spacing w:after="0" w:line="240" w:lineRule="auto"/>
      </w:pPr>
    </w:p>
    <w:p w14:paraId="7C226CE9" w14:textId="60D9C56E" w:rsidR="00BC26C0" w:rsidRPr="00AA4677" w:rsidRDefault="00BC26C0" w:rsidP="00BC26C0">
      <w:r w:rsidRPr="00AA4677">
        <w:t>The IRB may conduct continuing review using expedited review procedures or review by the convened IRB.</w:t>
      </w:r>
    </w:p>
    <w:p w14:paraId="4FB92B91" w14:textId="1004DE8C" w:rsidR="00BC26C0" w:rsidRPr="00AA4677" w:rsidRDefault="00845BCA" w:rsidP="00C57C98">
      <w:pPr>
        <w:pStyle w:val="Heading3"/>
      </w:pPr>
      <w:bookmarkStart w:id="174" w:name="_Toc493409709"/>
      <w:bookmarkStart w:id="175" w:name="_Toc493413267"/>
      <w:bookmarkStart w:id="176" w:name="_Toc493418037"/>
      <w:bookmarkStart w:id="177" w:name="_Toc493419231"/>
      <w:bookmarkStart w:id="178" w:name="_Toc493409710"/>
      <w:bookmarkStart w:id="179" w:name="_Toc493413268"/>
      <w:bookmarkStart w:id="180" w:name="_Toc493418038"/>
      <w:bookmarkStart w:id="181" w:name="_Toc493419232"/>
      <w:bookmarkStart w:id="182" w:name="_Toc493409711"/>
      <w:bookmarkStart w:id="183" w:name="_Toc493413269"/>
      <w:bookmarkStart w:id="184" w:name="_Toc493418039"/>
      <w:bookmarkStart w:id="185" w:name="_Toc493419233"/>
      <w:bookmarkStart w:id="186" w:name="_Toc493409715"/>
      <w:bookmarkStart w:id="187" w:name="_Toc493413273"/>
      <w:bookmarkStart w:id="188" w:name="_Toc493418043"/>
      <w:bookmarkStart w:id="189" w:name="_Toc493419237"/>
      <w:bookmarkStart w:id="190" w:name="_Toc493409716"/>
      <w:bookmarkStart w:id="191" w:name="_Toc493413274"/>
      <w:bookmarkStart w:id="192" w:name="_Toc493418044"/>
      <w:bookmarkStart w:id="193" w:name="_Toc493419238"/>
      <w:bookmarkStart w:id="194" w:name="_Toc493409719"/>
      <w:bookmarkStart w:id="195" w:name="_Toc493413277"/>
      <w:bookmarkStart w:id="196" w:name="_Toc493418047"/>
      <w:bookmarkStart w:id="197" w:name="_Toc493419241"/>
      <w:bookmarkStart w:id="198" w:name="_Toc493409720"/>
      <w:bookmarkStart w:id="199" w:name="_Toc493413278"/>
      <w:bookmarkStart w:id="200" w:name="_Toc493418048"/>
      <w:bookmarkStart w:id="201" w:name="_Toc493419242"/>
      <w:bookmarkStart w:id="202" w:name="_Toc493409721"/>
      <w:bookmarkStart w:id="203" w:name="_Toc493413279"/>
      <w:bookmarkStart w:id="204" w:name="_Toc493418049"/>
      <w:bookmarkStart w:id="205" w:name="_Toc493419243"/>
      <w:bookmarkStart w:id="206" w:name="_Toc493409723"/>
      <w:bookmarkStart w:id="207" w:name="_Toc493413281"/>
      <w:bookmarkStart w:id="208" w:name="_Toc493418051"/>
      <w:bookmarkStart w:id="209" w:name="_Toc493419245"/>
      <w:bookmarkStart w:id="210" w:name="_Toc493409727"/>
      <w:bookmarkStart w:id="211" w:name="_Toc493413285"/>
      <w:bookmarkStart w:id="212" w:name="_Toc493418055"/>
      <w:bookmarkStart w:id="213" w:name="_Toc493419249"/>
      <w:bookmarkStart w:id="214" w:name="_Toc493409729"/>
      <w:bookmarkStart w:id="215" w:name="_Toc493413287"/>
      <w:bookmarkStart w:id="216" w:name="_Toc493418057"/>
      <w:bookmarkStart w:id="217" w:name="_Toc493419251"/>
      <w:bookmarkStart w:id="218" w:name="_Toc493409730"/>
      <w:bookmarkStart w:id="219" w:name="_Toc493413288"/>
      <w:bookmarkStart w:id="220" w:name="_Toc493418058"/>
      <w:bookmarkStart w:id="221" w:name="_Toc493419252"/>
      <w:bookmarkStart w:id="222" w:name="_Toc493409731"/>
      <w:bookmarkStart w:id="223" w:name="_Toc493413289"/>
      <w:bookmarkStart w:id="224" w:name="_Toc493418059"/>
      <w:bookmarkStart w:id="225" w:name="_Toc493419253"/>
      <w:bookmarkStart w:id="226" w:name="_Toc493409733"/>
      <w:bookmarkStart w:id="227" w:name="_Toc493413291"/>
      <w:bookmarkStart w:id="228" w:name="_Toc493418061"/>
      <w:bookmarkStart w:id="229" w:name="_Toc493419255"/>
      <w:bookmarkStart w:id="230" w:name="_Toc493409736"/>
      <w:bookmarkStart w:id="231" w:name="_Toc493413294"/>
      <w:bookmarkStart w:id="232" w:name="_Toc493418064"/>
      <w:bookmarkStart w:id="233" w:name="_Toc493419258"/>
      <w:bookmarkStart w:id="234" w:name="_Toc493409740"/>
      <w:bookmarkStart w:id="235" w:name="_Toc493413298"/>
      <w:bookmarkStart w:id="236" w:name="_Toc493418068"/>
      <w:bookmarkStart w:id="237" w:name="_Toc493419262"/>
      <w:bookmarkStart w:id="238" w:name="_Toc285836171"/>
      <w:bookmarkStart w:id="239" w:name="_Toc493413299"/>
      <w:bookmarkStart w:id="240" w:name="_Toc493418069"/>
      <w:bookmarkStart w:id="241" w:name="_Toc522017739"/>
      <w:bookmarkStart w:id="242" w:name="_Toc523233356"/>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AA4677">
        <w:t>7.4.4</w:t>
      </w:r>
      <w:r w:rsidRPr="00AA4677">
        <w:tab/>
      </w:r>
      <w:r w:rsidR="00824AD0" w:rsidRPr="00AA4677">
        <w:t>Emergency Use</w:t>
      </w:r>
      <w:r w:rsidR="00BC26C0" w:rsidRPr="00AA4677">
        <w:t xml:space="preserve"> of HUDs</w:t>
      </w:r>
      <w:bookmarkEnd w:id="238"/>
      <w:bookmarkEnd w:id="239"/>
      <w:bookmarkEnd w:id="240"/>
      <w:bookmarkEnd w:id="241"/>
      <w:bookmarkEnd w:id="242"/>
    </w:p>
    <w:p w14:paraId="0DC93C82" w14:textId="77777777" w:rsidR="00BC26C0" w:rsidRPr="00AA4677" w:rsidRDefault="00BC26C0" w:rsidP="00BC26C0">
      <w:r w:rsidRPr="00AA4677">
        <w:t xml:space="preserve">If an appropriately trained and licensed health care provider in </w:t>
      </w:r>
      <w:proofErr w:type="gramStart"/>
      <w:r w:rsidRPr="00AA4677">
        <w:t>an emergency situation</w:t>
      </w:r>
      <w:proofErr w:type="gramEnd"/>
      <w:r w:rsidRPr="00AA4677">
        <w:t xml:space="preserve"> determines that IRB approval for the use of the HUD at the facility cannot be obtained in time to prevent serious harm or death to a patient, a HUD may be used without prior IRB approval. The health care provider must, within 5 days after the emergency use of the device, provide written notification of the use to the ORC including the identification of the patient involved, the date of the use, and the reason for the use. [</w:t>
      </w:r>
      <w:hyperlink r:id="rId80" w:history="1">
        <w:r w:rsidRPr="00AA4677">
          <w:rPr>
            <w:rStyle w:val="Hyperlink"/>
            <w:color w:val="auto"/>
            <w:u w:val="none"/>
          </w:rPr>
          <w:t>21 CFR 812.124</w:t>
        </w:r>
      </w:hyperlink>
      <w:r w:rsidRPr="00AA4677">
        <w:t>]</w:t>
      </w:r>
    </w:p>
    <w:p w14:paraId="7C23111A" w14:textId="77777777" w:rsidR="00BC26C0" w:rsidRPr="00AA4677" w:rsidRDefault="00BC26C0" w:rsidP="00BC26C0">
      <w:r w:rsidRPr="00AA4677">
        <w:t xml:space="preserve">If a HUD is approved for use in a facility, but an appropriately trained and licensed health care provider wants to use the HUD outside its approved indication(s) in an emergency or determines that there is no alternative device for a patient’s condition, the physician should consult with the HDE holder and IRB in advance if possible, obtain informed consent if possible, and ensure that reasonable measures are taken to protect the well-being of the patient such as a schedule and plan for follow up examinations and procedures to monitor the patient, taking into consideration the patient’s specific needs and what is known about the risks and benefits of the device.  The provider should submit a </w:t>
      </w:r>
      <w:proofErr w:type="gramStart"/>
      <w:r w:rsidRPr="00AA4677">
        <w:t>follow up</w:t>
      </w:r>
      <w:proofErr w:type="gramEnd"/>
      <w:r w:rsidRPr="00AA4677">
        <w:t xml:space="preserve"> report to the HDE holder and the IRB and must comply with medical device reporting requirements.</w:t>
      </w:r>
    </w:p>
    <w:p w14:paraId="7CEBF595" w14:textId="2E32DB7B" w:rsidR="00BC26C0" w:rsidRPr="00AA4677" w:rsidRDefault="00BC26C0" w:rsidP="00BC26C0">
      <w:r w:rsidRPr="00AA4677">
        <w:t>The IRB may require additional reports, patient protection measures, or other requirement</w:t>
      </w:r>
      <w:r w:rsidR="00785F92" w:rsidRPr="00AA4677">
        <w:t>s</w:t>
      </w:r>
      <w:r w:rsidRPr="00AA4677">
        <w:t>, as appropriate given the specifics of the situation.</w:t>
      </w:r>
    </w:p>
    <w:bookmarkEnd w:id="143"/>
    <w:p w14:paraId="086970EB" w14:textId="501D9467" w:rsidR="007D2E3C" w:rsidRPr="00AA4677" w:rsidRDefault="006B628B" w:rsidP="00696B35">
      <w:pPr>
        <w:pStyle w:val="Heading2"/>
      </w:pPr>
      <w:proofErr w:type="gramStart"/>
      <w:r w:rsidRPr="00AA4677">
        <w:t xml:space="preserve">7.5  </w:t>
      </w:r>
      <w:bookmarkStart w:id="243" w:name="_Toc285836172"/>
      <w:bookmarkStart w:id="244" w:name="_Toc493413300"/>
      <w:bookmarkStart w:id="245" w:name="_Toc493418070"/>
      <w:bookmarkStart w:id="246" w:name="_Toc523233357"/>
      <w:bookmarkStart w:id="247" w:name="_Toc192678225"/>
      <w:r w:rsidR="00BC26C0" w:rsidRPr="00AA4677">
        <w:t>Expanded</w:t>
      </w:r>
      <w:proofErr w:type="gramEnd"/>
      <w:r w:rsidR="00BC26C0" w:rsidRPr="00AA4677">
        <w:t xml:space="preserve"> Access to Investigational Drugs, Biologics, and Devices</w:t>
      </w:r>
      <w:bookmarkStart w:id="248" w:name="_Hlk526083093"/>
      <w:bookmarkEnd w:id="243"/>
      <w:bookmarkEnd w:id="244"/>
      <w:bookmarkEnd w:id="245"/>
      <w:bookmarkEnd w:id="246"/>
      <w:bookmarkEnd w:id="247"/>
    </w:p>
    <w:p w14:paraId="51A4C3A8" w14:textId="77777777" w:rsidR="007D2E3C" w:rsidRPr="00AA4677" w:rsidRDefault="007D2E3C" w:rsidP="00696B35">
      <w:pPr>
        <w:pStyle w:val="Heading2"/>
      </w:pPr>
    </w:p>
    <w:p w14:paraId="48635CDF" w14:textId="317FA1A8" w:rsidR="00BC26C0" w:rsidRPr="00AA4677" w:rsidRDefault="00BC26C0" w:rsidP="00BC26C0">
      <w:r w:rsidRPr="00AA4677">
        <w:t>E</w:t>
      </w:r>
      <w:r w:rsidR="006B628B" w:rsidRPr="00AA4677">
        <w:t xml:space="preserve">xpanded access </w:t>
      </w:r>
      <w:proofErr w:type="gramStart"/>
      <w:r w:rsidR="006B628B" w:rsidRPr="00AA4677">
        <w:t>pathways</w:t>
      </w:r>
      <w:r w:rsidRPr="00AA4677">
        <w:t>,</w:t>
      </w:r>
      <w:proofErr w:type="gramEnd"/>
      <w:r w:rsidRPr="00AA4677">
        <w:t xml:space="preserve"> are designed to make investigational medical products available as early in the drug and device evaluation process as possible to patients without therapeutic options, because they have exhausted or are not a good candidate for approved therapies and cannot enter a clinical trial.  Expanded access refers to the </w:t>
      </w:r>
      <w:r w:rsidRPr="00AA4677">
        <w:rPr>
          <w:noProof/>
        </w:rPr>
        <w:t>use</w:t>
      </w:r>
      <w:r w:rsidRPr="00AA4677">
        <w:t xml:space="preserve"> of investigational or unapproved/uncleared medical products (all referred to as “investigational” throughout this section) outside of a clinical trial, where the primary intent is treatment, rather than research.  Because the products have not yet been approved by FDA as safe and effective, it is important to remember that the product may not be effective and there may be unexpected serious adverse </w:t>
      </w:r>
      <w:r w:rsidRPr="00AA4677">
        <w:lastRenderedPageBreak/>
        <w:t>effects and to take appropriate measures to ensure that this is understood by the patient or their LAR and to monitor for safety.</w:t>
      </w:r>
    </w:p>
    <w:p w14:paraId="26EEB2E1" w14:textId="1A63BEB9" w:rsidR="00BC26C0" w:rsidRPr="00AA4677" w:rsidRDefault="00BC26C0" w:rsidP="00BC26C0">
      <w:r w:rsidRPr="00AA4677">
        <w:t xml:space="preserve">Charging for expanded access use of investigational products is discussed in </w:t>
      </w:r>
      <w:r w:rsidR="003311A4" w:rsidRPr="00AA4677">
        <w:t>Section 7.6</w:t>
      </w:r>
      <w:r w:rsidRPr="00AA4677">
        <w:t>.</w:t>
      </w:r>
    </w:p>
    <w:p w14:paraId="2E512061" w14:textId="4A7AF1F3" w:rsidR="00BC26C0" w:rsidRPr="00AA4677" w:rsidRDefault="006B628B" w:rsidP="00C57C98">
      <w:pPr>
        <w:pStyle w:val="Heading3"/>
      </w:pPr>
      <w:bookmarkStart w:id="249" w:name="_Toc285836173"/>
      <w:bookmarkStart w:id="250" w:name="_Toc493413301"/>
      <w:bookmarkStart w:id="251" w:name="_Toc493418071"/>
      <w:bookmarkStart w:id="252" w:name="_Toc522017741"/>
      <w:bookmarkStart w:id="253" w:name="_Toc523233358"/>
      <w:bookmarkEnd w:id="248"/>
      <w:r w:rsidRPr="00AA4677">
        <w:t xml:space="preserve">7.5.1  </w:t>
      </w:r>
      <w:r w:rsidR="00BC26C0" w:rsidRPr="00AA4677">
        <w:t>Expanded Access to Investigational Drugs and Biologics</w:t>
      </w:r>
      <w:bookmarkEnd w:id="249"/>
      <w:bookmarkEnd w:id="250"/>
      <w:bookmarkEnd w:id="251"/>
      <w:bookmarkEnd w:id="252"/>
      <w:bookmarkEnd w:id="253"/>
    </w:p>
    <w:p w14:paraId="7953FD61" w14:textId="77777777" w:rsidR="00BC26C0" w:rsidRPr="00AA4677" w:rsidRDefault="00BC26C0" w:rsidP="00BC26C0">
      <w:bookmarkStart w:id="254" w:name="_Hlk526083180"/>
      <w:r w:rsidRPr="00AA4677">
        <w:t xml:space="preserve">The FDA’s expanded access rule for investigational drugs, including biologics classified as drugs, is intended to improve access to investigational drugs for patients with serious or immediately life-threatening diseases or conditions who lack other therapeutic options and may benefit from the investigational agent.  Expanded access is sometimes referred to as compassionate </w:t>
      </w:r>
      <w:r w:rsidRPr="00AA4677">
        <w:rPr>
          <w:noProof/>
        </w:rPr>
        <w:t>use</w:t>
      </w:r>
      <w:r w:rsidRPr="00AA4677">
        <w:t xml:space="preserve"> or treatment use.</w:t>
      </w:r>
    </w:p>
    <w:p w14:paraId="262C71C5" w14:textId="77777777" w:rsidR="00BC26C0" w:rsidRPr="00AA4677" w:rsidRDefault="00BC26C0" w:rsidP="00BC26C0">
      <w:r w:rsidRPr="00AA4677">
        <w:t xml:space="preserve">For the purposes of expanded access to investigational drugs, </w:t>
      </w:r>
      <w:r w:rsidRPr="00AA4677">
        <w:rPr>
          <w:b/>
        </w:rPr>
        <w:t>immediately life-threatening disease or condition</w:t>
      </w:r>
      <w:r w:rsidRPr="00AA4677">
        <w:t xml:space="preserve"> means a stage of disease in which there is reasonable likelihood that death will occur within a matter of months or in which premature death is likely without early treatment. </w:t>
      </w:r>
      <w:r w:rsidRPr="00AA4677">
        <w:rPr>
          <w:b/>
        </w:rPr>
        <w:t>Serious disease or condition</w:t>
      </w:r>
      <w:r w:rsidRPr="00AA4677">
        <w:t xml:space="preserve"> means a disease or condition associated with morbidity that has </w:t>
      </w:r>
      <w:r w:rsidRPr="00AA4677">
        <w:rPr>
          <w:noProof/>
        </w:rPr>
        <w:t>substantial</w:t>
      </w:r>
      <w:r w:rsidRPr="00AA4677">
        <w:t xml:space="preserve"> impact on day-to-day functioning. Short-lived and self-limiting morbidity will usually not be sufficient, but the morbidity need not be irreversible, provided it is persistent or recurrent. Whether a disease or condition is serious is a matter of clinical judgment, based on its impact on such factors as survival, day-to-day functioning, or the likelihood that the disease, if left untreated, will progress from a less severe condition to a more serious one. [</w:t>
      </w:r>
      <w:hyperlink r:id="rId81" w:history="1">
        <w:r w:rsidRPr="00AA4677">
          <w:rPr>
            <w:rStyle w:val="Hyperlink"/>
            <w:color w:val="auto"/>
            <w:u w:val="none"/>
          </w:rPr>
          <w:t>21 CFR 312.300(b)</w:t>
        </w:r>
      </w:hyperlink>
      <w:r w:rsidRPr="00AA4677">
        <w:t>]</w:t>
      </w:r>
    </w:p>
    <w:p w14:paraId="12154C0A" w14:textId="77777777" w:rsidR="00BC26C0" w:rsidRPr="00AA4677" w:rsidRDefault="00BC26C0" w:rsidP="00BC26C0">
      <w:r w:rsidRPr="00AA4677">
        <w:t>Expanded access may also apply to (1) situations when a drug has been withdrawn for safety reasons, but there exists a patient population for whom the benefits of the withdrawn drug continue to outweigh the risks; (2) use of a similar, but unapproved drug (e.g., foreign-approved drug product) to provide treatment during a drug shortage; (3) use of an approved drug where availability is limited by a risk evaluation and mitigation strategy (REMS); and (4) use for other reasons.  All are referred to as “investigational” for the purposes of these SOPs.</w:t>
      </w:r>
    </w:p>
    <w:p w14:paraId="5612DB52" w14:textId="77777777" w:rsidR="00BC26C0" w:rsidRPr="00AA4677" w:rsidRDefault="00BC26C0" w:rsidP="00BC26C0">
      <w:r w:rsidRPr="00AA4677">
        <w:t>Under the FDA’s expanded access rule, access to investigational drugs for treatment purposes is available to:</w:t>
      </w:r>
    </w:p>
    <w:p w14:paraId="2C74C1C4" w14:textId="2B4C29EE" w:rsidR="00BC26C0" w:rsidRPr="00AA4677" w:rsidRDefault="00BC26C0">
      <w:pPr>
        <w:numPr>
          <w:ilvl w:val="0"/>
          <w:numId w:val="153"/>
        </w:numPr>
        <w:spacing w:after="0" w:line="240" w:lineRule="auto"/>
        <w:ind w:left="360"/>
      </w:pPr>
      <w:r w:rsidRPr="00AA4677">
        <w:t>Individual patients, including</w:t>
      </w:r>
      <w:r w:rsidR="006B628B" w:rsidRPr="00AA4677">
        <w:t xml:space="preserve"> an emergency</w:t>
      </w:r>
      <w:r w:rsidRPr="00AA4677">
        <w:t xml:space="preserve"> [</w:t>
      </w:r>
      <w:hyperlink r:id="rId82" w:history="1">
        <w:r w:rsidRPr="00AA4677">
          <w:rPr>
            <w:rStyle w:val="Hyperlink"/>
            <w:color w:val="auto"/>
            <w:u w:val="none"/>
          </w:rPr>
          <w:t>21 CFR 312.310</w:t>
        </w:r>
      </w:hyperlink>
      <w:r w:rsidRPr="00AA4677">
        <w:t>]</w:t>
      </w:r>
    </w:p>
    <w:p w14:paraId="163A420A" w14:textId="77777777" w:rsidR="00BC26C0" w:rsidRPr="00AA4677" w:rsidRDefault="00BC26C0">
      <w:pPr>
        <w:numPr>
          <w:ilvl w:val="0"/>
          <w:numId w:val="153"/>
        </w:numPr>
        <w:spacing w:after="0" w:line="240" w:lineRule="auto"/>
        <w:ind w:left="360"/>
      </w:pPr>
      <w:r w:rsidRPr="00AA4677">
        <w:t>Intermediate-size patient populations [</w:t>
      </w:r>
      <w:hyperlink r:id="rId83" w:history="1">
        <w:r w:rsidRPr="00AA4677">
          <w:rPr>
            <w:rStyle w:val="Hyperlink"/>
            <w:color w:val="auto"/>
            <w:u w:val="none"/>
          </w:rPr>
          <w:t>21 CFR 312.315</w:t>
        </w:r>
      </w:hyperlink>
      <w:r w:rsidRPr="00AA4677">
        <w:t>]</w:t>
      </w:r>
    </w:p>
    <w:p w14:paraId="68AB36D6" w14:textId="569F485C" w:rsidR="001D3801" w:rsidRPr="00AA4677" w:rsidRDefault="00BC26C0">
      <w:pPr>
        <w:numPr>
          <w:ilvl w:val="0"/>
          <w:numId w:val="153"/>
        </w:numPr>
        <w:spacing w:after="0" w:line="240" w:lineRule="auto"/>
        <w:ind w:left="360"/>
      </w:pPr>
      <w:r w:rsidRPr="00AA4677">
        <w:t>Widespread use under a treatment protocol or treatment IND [</w:t>
      </w:r>
      <w:hyperlink r:id="rId84" w:history="1">
        <w:r w:rsidRPr="00AA4677">
          <w:rPr>
            <w:rStyle w:val="Hyperlink"/>
            <w:color w:val="auto"/>
            <w:u w:val="none"/>
          </w:rPr>
          <w:t>21 CFR 312.320</w:t>
        </w:r>
      </w:hyperlink>
      <w:r w:rsidRPr="00AA4677">
        <w:t>]</w:t>
      </w:r>
    </w:p>
    <w:p w14:paraId="3B363AA0" w14:textId="77777777" w:rsidR="001D3801" w:rsidRPr="00AA4677" w:rsidRDefault="001D3801" w:rsidP="001D3801">
      <w:pPr>
        <w:spacing w:after="0" w:line="240" w:lineRule="auto"/>
      </w:pPr>
    </w:p>
    <w:p w14:paraId="40ECC9B4" w14:textId="37A7CB7D" w:rsidR="00BC26C0" w:rsidRPr="00AA4677" w:rsidRDefault="00BC26C0" w:rsidP="001D3801">
      <w:pPr>
        <w:spacing w:after="0" w:line="240" w:lineRule="auto"/>
        <w:rPr>
          <w:rFonts w:cs="Calibri"/>
        </w:rPr>
      </w:pPr>
      <w:r w:rsidRPr="00AA4677">
        <w:t xml:space="preserve">The following section addresses expanded access for individual patients.  Investigators seeking </w:t>
      </w:r>
      <w:r w:rsidRPr="00AA4677">
        <w:rPr>
          <w:noProof/>
        </w:rPr>
        <w:t>expanded access for</w:t>
      </w:r>
      <w:r w:rsidRPr="00AA4677">
        <w:t xml:space="preserve"> intermediate-size populations or widespread use should consult with</w:t>
      </w:r>
      <w:r w:rsidR="006B628B" w:rsidRPr="00AA4677">
        <w:t xml:space="preserve"> the</w:t>
      </w:r>
      <w:r w:rsidRPr="00AA4677">
        <w:t xml:space="preserve"> </w:t>
      </w:r>
      <w:r w:rsidRPr="00AA4677">
        <w:lastRenderedPageBreak/>
        <w:t xml:space="preserve">ORC.  Convened IRB review is generally required for intermediate or widespread expanded access unless the FDA has issued a waiver. </w:t>
      </w:r>
    </w:p>
    <w:p w14:paraId="5702DBAD" w14:textId="7B6D2AF8" w:rsidR="00BC26C0" w:rsidRPr="00AA4677" w:rsidRDefault="00BC26C0" w:rsidP="00BC26C0">
      <w:r w:rsidRPr="00AA4677">
        <w:t xml:space="preserve">Physicians seeking access to investigational drugs under expanded </w:t>
      </w:r>
      <w:r w:rsidRPr="00AA4677">
        <w:rPr>
          <w:noProof/>
        </w:rPr>
        <w:t>access</w:t>
      </w:r>
      <w:r w:rsidRPr="00AA4677">
        <w:t xml:space="preserve"> should work closely with the sponsor or manufacturer, the FDA, and the ORC, to determine the appropriate access mechanism and ensure that proper regulatory procedures are followed.  The FDA provides information about the procedures and requirements for expanded access on </w:t>
      </w:r>
      <w:r w:rsidR="006B628B" w:rsidRPr="00AA4677">
        <w:rPr>
          <w:noProof/>
        </w:rPr>
        <w:t>their</w:t>
      </w:r>
      <w:r w:rsidRPr="00AA4677">
        <w:rPr>
          <w:noProof/>
        </w:rPr>
        <w:t xml:space="preserve"> </w:t>
      </w:r>
      <w:hyperlink r:id="rId85" w:history="1">
        <w:r w:rsidRPr="00AA4677">
          <w:rPr>
            <w:rStyle w:val="Hyperlink"/>
            <w:color w:val="auto"/>
            <w:u w:val="none"/>
          </w:rPr>
          <w:t>website</w:t>
        </w:r>
      </w:hyperlink>
      <w:r w:rsidRPr="00AA4677">
        <w:t>, including a link to</w:t>
      </w:r>
      <w:r w:rsidR="006B628B" w:rsidRPr="00AA4677">
        <w:t xml:space="preserve"> the</w:t>
      </w:r>
      <w:r w:rsidRPr="00AA4677">
        <w:t xml:space="preserve"> FDA’s </w:t>
      </w:r>
      <w:hyperlink r:id="rId86" w:history="1">
        <w:r w:rsidRPr="00AA4677">
          <w:rPr>
            <w:rStyle w:val="Hyperlink"/>
            <w:color w:val="auto"/>
            <w:u w:val="none"/>
          </w:rPr>
          <w:t>contact information</w:t>
        </w:r>
      </w:hyperlink>
      <w:r w:rsidRPr="00AA4677">
        <w:t>.</w:t>
      </w:r>
    </w:p>
    <w:p w14:paraId="23B25B29" w14:textId="02C1DD77" w:rsidR="00BC26C0" w:rsidRPr="00AA4677" w:rsidRDefault="00845BCA" w:rsidP="001D3801">
      <w:pPr>
        <w:pStyle w:val="Heading4"/>
      </w:pPr>
      <w:r w:rsidRPr="00AA4677">
        <w:t>7.5.1.1</w:t>
      </w:r>
      <w:r w:rsidRPr="00AA4677">
        <w:tab/>
      </w:r>
      <w:r w:rsidR="00BC26C0" w:rsidRPr="00AA4677">
        <w:t>Expanded Access to Investigational Drugs for Individual Patients</w:t>
      </w:r>
    </w:p>
    <w:p w14:paraId="0C5FE92C" w14:textId="77777777" w:rsidR="00BC26C0" w:rsidRPr="00AA4677" w:rsidRDefault="00BC26C0" w:rsidP="00BC26C0">
      <w:r w:rsidRPr="00AA4677">
        <w:t xml:space="preserve">Expanded access to investigational drugs may be sought under an “Access Protocol” or an “Access IND”.  FDA generally encourages Access Protocols, which are managed and submitted by the sponsor of an existing IND, because it facilitates the review of safety and other information.  However, Access INDs for the treatment of individual patients are also available and commonly used when: (1) a sponsor holding an existing IND declines to be the sponsor for the individual patient use (e.g., because they prefer that the physician take on the role of sponsor-investigator); or (2) there is no existing IND.  </w:t>
      </w:r>
    </w:p>
    <w:p w14:paraId="5680F614" w14:textId="77777777" w:rsidR="00BC26C0" w:rsidRPr="00AA4677" w:rsidRDefault="00BC26C0" w:rsidP="00BC26C0">
      <w:pPr>
        <w:rPr>
          <w:b/>
        </w:rPr>
      </w:pPr>
      <w:r w:rsidRPr="00AA4677">
        <w:rPr>
          <w:b/>
        </w:rPr>
        <w:t>Sponsor or Manufacturer Approval:</w:t>
      </w:r>
    </w:p>
    <w:p w14:paraId="2C6D46D7" w14:textId="77777777" w:rsidR="00BC26C0" w:rsidRPr="00AA4677" w:rsidRDefault="00BC26C0" w:rsidP="00BC26C0">
      <w:r w:rsidRPr="00AA4677">
        <w:t>Prior to submitting to the FDA or IRB, physicians seeking expanded access to an investigational drug should contact the sponsor (e.g., for investigational drugs under a commercial IND) or manufacturer (e.g., for approved drugs under a REMS) to: (1) ensure that the investigational drug can be obtained; (2) determine whether the patient may be treated under an existing IND study, sponsor-held Access Protocol, or if the physician should seek an Access IND; and (3) determine if the drug will be provided free or if there will be a charge.  A Letter of Authorization (LOA) from the sponsor or manufacturer should be obtained.</w:t>
      </w:r>
    </w:p>
    <w:p w14:paraId="77437D52" w14:textId="77777777" w:rsidR="00BC26C0" w:rsidRPr="00AA4677" w:rsidRDefault="00BC26C0" w:rsidP="00BC26C0">
      <w:pPr>
        <w:rPr>
          <w:b/>
        </w:rPr>
      </w:pPr>
      <w:r w:rsidRPr="00AA4677">
        <w:rPr>
          <w:b/>
        </w:rPr>
        <w:t>FDA Approval:</w:t>
      </w:r>
    </w:p>
    <w:p w14:paraId="732B9D1C" w14:textId="77777777" w:rsidR="00BC26C0" w:rsidRPr="00AA4677" w:rsidRDefault="00BC26C0" w:rsidP="00BC26C0">
      <w:r w:rsidRPr="00AA4677">
        <w:t xml:space="preserve">When a commercial sponsor agrees to provide access under an Access Protocol, the sponsor is responsible for managing and obtaining FDA approval and all other sponsor responsibilities.  A licensed physician under whose immediate direction an investigational drug is administered or dispensed for expanded access is considered an “investigator” under FDA regulations and is responsible for all investigator responsibilities under </w:t>
      </w:r>
      <w:hyperlink r:id="rId87" w:history="1">
        <w:r w:rsidRPr="00AA4677">
          <w:rPr>
            <w:rStyle w:val="Hyperlink"/>
            <w:color w:val="auto"/>
            <w:u w:val="none"/>
          </w:rPr>
          <w:t>21 CFR 312</w:t>
        </w:r>
      </w:hyperlink>
      <w:r w:rsidRPr="00AA4677">
        <w:t>, to the extent they are applicable to expanded access.</w:t>
      </w:r>
    </w:p>
    <w:p w14:paraId="45FEC79F" w14:textId="77777777" w:rsidR="007D2E3C" w:rsidRPr="00AA4677" w:rsidRDefault="00BC26C0" w:rsidP="00BC26C0">
      <w:r w:rsidRPr="00AA4677">
        <w:t xml:space="preserve">If the sponsor or manufacturer declines treatment of the patient under an existing IND study or Access Protocol but agrees to make the investigational drug available for the patient, physicians </w:t>
      </w:r>
      <w:r w:rsidRPr="00AA4677">
        <w:lastRenderedPageBreak/>
        <w:t xml:space="preserve">may apply to the FDA for an individual patient Access IND using Form FDA 3926, a streamlined </w:t>
      </w:r>
      <w:bookmarkStart w:id="255" w:name="_Hlk494879824"/>
      <w:bookmarkStart w:id="256" w:name="_Hlk494880056"/>
      <w:r w:rsidRPr="00AA4677">
        <w:t xml:space="preserve">IND application specifically designed for such requests.  Form FDA 3926, and </w:t>
      </w:r>
      <w:hyperlink r:id="rId88" w:history="1">
        <w:r w:rsidRPr="00AA4677">
          <w:rPr>
            <w:rStyle w:val="Hyperlink"/>
            <w:color w:val="auto"/>
            <w:u w:val="none"/>
          </w:rPr>
          <w:t xml:space="preserve">related </w:t>
        </w:r>
        <w:r w:rsidRPr="00AA4677">
          <w:rPr>
            <w:rStyle w:val="Hyperlink"/>
            <w:noProof/>
            <w:color w:val="auto"/>
            <w:u w:val="none"/>
          </w:rPr>
          <w:t>guidance</w:t>
        </w:r>
      </w:hyperlink>
      <w:r w:rsidRPr="00AA4677">
        <w:rPr>
          <w:noProof/>
        </w:rPr>
        <w:t>,</w:t>
      </w:r>
      <w:r w:rsidRPr="00AA4677">
        <w:t xml:space="preserve"> is available on a FDA </w:t>
      </w:r>
      <w:hyperlink r:id="rId89" w:history="1">
        <w:r w:rsidRPr="00AA4677">
          <w:rPr>
            <w:rStyle w:val="Hyperlink"/>
            <w:color w:val="auto"/>
            <w:u w:val="none"/>
          </w:rPr>
          <w:t>website</w:t>
        </w:r>
      </w:hyperlink>
      <w:r w:rsidRPr="00AA4677">
        <w:t xml:space="preserve">.   </w:t>
      </w:r>
      <w:proofErr w:type="gramStart"/>
      <w:r w:rsidRPr="00AA4677">
        <w:t>Form</w:t>
      </w:r>
      <w:proofErr w:type="gramEnd"/>
      <w:r w:rsidRPr="00AA4677">
        <w:t xml:space="preserve"> FDA 3926 includes a section where an investigator can request approval from the FDA for alternative IRB review procedures; these alternative procedures enable review by the IRB Chair (or a Chair-designated IRB member) in lieu of </w:t>
      </w:r>
      <w:r w:rsidRPr="00AA4677">
        <w:rPr>
          <w:noProof/>
        </w:rPr>
        <w:t>review</w:t>
      </w:r>
      <w:r w:rsidRPr="00AA4677">
        <w:t xml:space="preserve"> by the convened IRB.  </w:t>
      </w:r>
    </w:p>
    <w:p w14:paraId="6B3731C8" w14:textId="42E428D2" w:rsidR="00BC26C0" w:rsidRPr="00AA4677" w:rsidRDefault="00BC26C0" w:rsidP="00BC26C0">
      <w:r w:rsidRPr="00AA4677">
        <w:t xml:space="preserve">This alternative review procedure is referred to as a “concurrence review” in FDA guidance; however, the IRB Chair must review the same materials and make the same determinations as the convened board would. </w:t>
      </w:r>
      <w:r w:rsidR="006B628B" w:rsidRPr="00AA4677">
        <w:t xml:space="preserve"> The</w:t>
      </w:r>
      <w:r w:rsidRPr="00AA4677">
        <w:t xml:space="preserve"> IRB Chair review can also be used for any post-approval reviews (e.g., unanticipated problems, continuing </w:t>
      </w:r>
      <w:r w:rsidRPr="00AA4677">
        <w:rPr>
          <w:noProof/>
        </w:rPr>
        <w:t>review</w:t>
      </w:r>
      <w:r w:rsidRPr="00AA4677">
        <w:t xml:space="preserve">, closure, etc.). </w:t>
      </w:r>
    </w:p>
    <w:p w14:paraId="3F7DB42D" w14:textId="2FAB5B4C" w:rsidR="00BC26C0" w:rsidRPr="00AA4677" w:rsidRDefault="00BC26C0" w:rsidP="00BC26C0">
      <w:r w:rsidRPr="00AA4677">
        <w:t xml:space="preserve">When there </w:t>
      </w:r>
      <w:proofErr w:type="gramStart"/>
      <w:r w:rsidRPr="00AA4677">
        <w:t>is</w:t>
      </w:r>
      <w:proofErr w:type="gramEnd"/>
      <w:r w:rsidRPr="00AA4677">
        <w:t xml:space="preserve"> </w:t>
      </w:r>
      <w:proofErr w:type="gramStart"/>
      <w:r w:rsidRPr="00AA4677">
        <w:t>an emergency situation</w:t>
      </w:r>
      <w:proofErr w:type="gramEnd"/>
      <w:r w:rsidRPr="00AA4677">
        <w:t xml:space="preserve"> and insufficient time to submit a written application to the FDA prior to treatment, a request to FDA for emergency use may be made by telephone (or other rapid means).  A written expanded access application must be submitted within 15 days of the FDA’s authorization. </w:t>
      </w:r>
    </w:p>
    <w:p w14:paraId="5475F930" w14:textId="77777777" w:rsidR="00BC26C0" w:rsidRPr="00AA4677" w:rsidRDefault="00BC26C0" w:rsidP="00BC26C0">
      <w:r w:rsidRPr="00AA4677">
        <w:t xml:space="preserve">A physician who obtains an Access IND is considered a “sponsor-investigator” and is responsible for the responsibilities of both sponsors and investigators under </w:t>
      </w:r>
      <w:hyperlink r:id="rId90" w:history="1">
        <w:r w:rsidRPr="00AA4677">
          <w:rPr>
            <w:rStyle w:val="Hyperlink"/>
            <w:color w:val="auto"/>
            <w:u w:val="none"/>
          </w:rPr>
          <w:t>21 CFR 312</w:t>
        </w:r>
      </w:hyperlink>
      <w:r w:rsidRPr="00AA4677">
        <w:t>, as applicable, including IND safety reports, annual reports, and maintenance of adequate drug accountability records.</w:t>
      </w:r>
    </w:p>
    <w:p w14:paraId="4CE59448" w14:textId="77777777" w:rsidR="00BC26C0" w:rsidRPr="00AA4677" w:rsidRDefault="00BC26C0" w:rsidP="00BC26C0">
      <w:pPr>
        <w:rPr>
          <w:b/>
        </w:rPr>
      </w:pPr>
      <w:r w:rsidRPr="00AA4677">
        <w:rPr>
          <w:b/>
        </w:rPr>
        <w:t>IRB Review:</w:t>
      </w:r>
    </w:p>
    <w:p w14:paraId="1E7672F0" w14:textId="6694DB69" w:rsidR="00BC26C0" w:rsidRPr="00AA4677" w:rsidRDefault="00BC26C0" w:rsidP="00BC26C0">
      <w:r w:rsidRPr="00AA4677">
        <w:rPr>
          <w:rFonts w:cs="Calibri"/>
        </w:rPr>
        <w:t xml:space="preserve">Unless the conditions that permit an </w:t>
      </w:r>
      <w:proofErr w:type="gramStart"/>
      <w:r w:rsidRPr="00AA4677">
        <w:rPr>
          <w:rFonts w:cs="Calibri"/>
        </w:rPr>
        <w:t>emergency</w:t>
      </w:r>
      <w:proofErr w:type="gramEnd"/>
      <w:r w:rsidRPr="00AA4677">
        <w:rPr>
          <w:rFonts w:cs="Calibri"/>
        </w:rPr>
        <w:t xml:space="preserve"> use exemption are satisfied</w:t>
      </w:r>
      <w:r w:rsidRPr="00AA4677">
        <w:t xml:space="preserve">, IRB approval must be obtained prior to initiating treatment with the investigational drug.  When the FDA has authorized the use of alternative IRB review procedures (which can be presumed when the request is made on Form FDA 3926 unless the FDA specifically states that the request is denied), the review may be conducted by the IRB Chair (or designee).  Otherwise, the review must be conducted by the convened IRB.  </w:t>
      </w:r>
    </w:p>
    <w:p w14:paraId="4124206D" w14:textId="77777777" w:rsidR="00BC26C0" w:rsidRPr="00AA4677" w:rsidRDefault="00BC26C0" w:rsidP="00BC26C0">
      <w:pPr>
        <w:rPr>
          <w:rFonts w:cs="Calibri"/>
        </w:rPr>
      </w:pPr>
      <w:r w:rsidRPr="00AA4677">
        <w:rPr>
          <w:rFonts w:cs="Calibri"/>
        </w:rPr>
        <w:t xml:space="preserve">Physicians using investigational drugs under compassionate use should develop and submit an appropriate plan and schedule for treating and monitoring the patient, taking into consideration the nature of the drug and the needs of the patient.  The plan should include monitoring to detect any possible problems arising from the use of the drug.  </w:t>
      </w:r>
    </w:p>
    <w:p w14:paraId="21FCDB21" w14:textId="77777777" w:rsidR="00BC26C0" w:rsidRPr="00AA4677" w:rsidRDefault="00BC26C0" w:rsidP="00BC26C0">
      <w:pPr>
        <w:rPr>
          <w:rFonts w:cs="Calibri"/>
        </w:rPr>
      </w:pPr>
      <w:r w:rsidRPr="00AA4677">
        <w:rPr>
          <w:rFonts w:cs="Calibri"/>
        </w:rPr>
        <w:t>To request IRB approval for single patient expanded access, investigators should contact the ORC and submit the following via the IRB electronic management system:</w:t>
      </w:r>
    </w:p>
    <w:p w14:paraId="7C6F392E" w14:textId="77777777" w:rsidR="00BC26C0" w:rsidRPr="00AA4677" w:rsidRDefault="00BC26C0">
      <w:pPr>
        <w:numPr>
          <w:ilvl w:val="0"/>
          <w:numId w:val="154"/>
        </w:numPr>
        <w:spacing w:after="120" w:line="240" w:lineRule="auto"/>
        <w:ind w:left="360"/>
        <w:rPr>
          <w:rFonts w:cs="Calibri"/>
        </w:rPr>
      </w:pPr>
      <w:r w:rsidRPr="00AA4677">
        <w:rPr>
          <w:rFonts w:cs="Calibri"/>
        </w:rPr>
        <w:t xml:space="preserve">A complete patient history justifying the use, and details concerning the plan for treating and monitoring the </w:t>
      </w:r>
      <w:proofErr w:type="gramStart"/>
      <w:r w:rsidRPr="00AA4677">
        <w:rPr>
          <w:rFonts w:cs="Calibri"/>
        </w:rPr>
        <w:t>patient;</w:t>
      </w:r>
      <w:proofErr w:type="gramEnd"/>
    </w:p>
    <w:p w14:paraId="51F1A2C1" w14:textId="77777777" w:rsidR="00BC26C0" w:rsidRPr="00AA4677" w:rsidRDefault="00BC26C0">
      <w:pPr>
        <w:numPr>
          <w:ilvl w:val="0"/>
          <w:numId w:val="154"/>
        </w:numPr>
        <w:spacing w:after="120" w:line="240" w:lineRule="auto"/>
        <w:ind w:left="360"/>
        <w:rPr>
          <w:rFonts w:cs="Calibri"/>
        </w:rPr>
      </w:pPr>
      <w:r w:rsidRPr="00AA4677">
        <w:rPr>
          <w:rFonts w:cs="Calibri"/>
        </w:rPr>
        <w:lastRenderedPageBreak/>
        <w:t xml:space="preserve">A copy of the letter of authorization (LOA) from the Commercial Sponsor or Manufacturer or other documentation supporting sponsor/manufacturer </w:t>
      </w:r>
      <w:proofErr w:type="gramStart"/>
      <w:r w:rsidRPr="00AA4677">
        <w:rPr>
          <w:rFonts w:cs="Calibri"/>
        </w:rPr>
        <w:t>approval;</w:t>
      </w:r>
      <w:proofErr w:type="gramEnd"/>
    </w:p>
    <w:p w14:paraId="3DFDA87F" w14:textId="77777777" w:rsidR="00BC26C0" w:rsidRPr="00AA4677" w:rsidRDefault="00BC26C0">
      <w:pPr>
        <w:numPr>
          <w:ilvl w:val="0"/>
          <w:numId w:val="154"/>
        </w:numPr>
        <w:spacing w:after="120" w:line="240" w:lineRule="auto"/>
        <w:ind w:left="360"/>
        <w:rPr>
          <w:rFonts w:cs="Calibri"/>
        </w:rPr>
      </w:pPr>
      <w:r w:rsidRPr="00AA4677">
        <w:rPr>
          <w:rFonts w:cs="Calibri"/>
        </w:rPr>
        <w:t>A copy of the information submitted to the FDA (and FDA approval, if available</w:t>
      </w:r>
      <w:proofErr w:type="gramStart"/>
      <w:r w:rsidRPr="00AA4677">
        <w:rPr>
          <w:rFonts w:cs="Calibri"/>
        </w:rPr>
        <w:t>);</w:t>
      </w:r>
      <w:proofErr w:type="gramEnd"/>
    </w:p>
    <w:p w14:paraId="4735D692" w14:textId="77777777" w:rsidR="00BC26C0" w:rsidRPr="00AA4677" w:rsidRDefault="00BC26C0">
      <w:pPr>
        <w:numPr>
          <w:ilvl w:val="0"/>
          <w:numId w:val="154"/>
        </w:numPr>
        <w:spacing w:after="120" w:line="240" w:lineRule="auto"/>
        <w:ind w:left="360"/>
        <w:rPr>
          <w:rFonts w:cs="Calibri"/>
        </w:rPr>
      </w:pPr>
      <w:r w:rsidRPr="00AA4677">
        <w:rPr>
          <w:rFonts w:cs="Calibri"/>
        </w:rPr>
        <w:t xml:space="preserve">A copy of the Investigator’s Brochure or similar documentation that provides information regarding the potential risks and benefits of the investigational </w:t>
      </w:r>
      <w:proofErr w:type="gramStart"/>
      <w:r w:rsidRPr="00AA4677">
        <w:rPr>
          <w:rFonts w:cs="Calibri"/>
        </w:rPr>
        <w:t>drug;</w:t>
      </w:r>
      <w:proofErr w:type="gramEnd"/>
    </w:p>
    <w:p w14:paraId="77756EFC" w14:textId="77777777" w:rsidR="00BC26C0" w:rsidRPr="00AA4677" w:rsidRDefault="00BC26C0">
      <w:pPr>
        <w:numPr>
          <w:ilvl w:val="0"/>
          <w:numId w:val="154"/>
        </w:numPr>
        <w:spacing w:after="120" w:line="240" w:lineRule="auto"/>
        <w:ind w:left="360"/>
        <w:rPr>
          <w:rFonts w:cs="Calibri"/>
        </w:rPr>
      </w:pPr>
      <w:r w:rsidRPr="00AA4677">
        <w:rPr>
          <w:rFonts w:cs="Calibri"/>
        </w:rPr>
        <w:t>A copy of the draft informed consent document.</w:t>
      </w:r>
    </w:p>
    <w:p w14:paraId="6F2FB27B" w14:textId="77777777" w:rsidR="00BC26C0" w:rsidRPr="00AA4677" w:rsidRDefault="00BC26C0" w:rsidP="00BC26C0">
      <w:pPr>
        <w:rPr>
          <w:rFonts w:cs="Calibri"/>
        </w:rPr>
      </w:pPr>
      <w:r w:rsidRPr="00AA4677">
        <w:rPr>
          <w:rFonts w:cs="Calibri"/>
        </w:rPr>
        <w:t>The IRB may review the expanded access application prior to FDA approval being received but cannot finalize approval until documentation of FDA approval is provided.</w:t>
      </w:r>
      <w:bookmarkEnd w:id="255"/>
      <w:bookmarkEnd w:id="256"/>
      <w:r w:rsidRPr="00AA4677">
        <w:rPr>
          <w:rFonts w:cs="Calibri"/>
        </w:rPr>
        <w:t xml:space="preserve">  The IRB will provide the investigator with written documentation of its review.</w:t>
      </w:r>
    </w:p>
    <w:p w14:paraId="13DEF91F" w14:textId="77777777" w:rsidR="00BC26C0" w:rsidRPr="00AA4677" w:rsidRDefault="00BC26C0" w:rsidP="00BC26C0">
      <w:pPr>
        <w:rPr>
          <w:b/>
        </w:rPr>
      </w:pPr>
      <w:r w:rsidRPr="00AA4677">
        <w:rPr>
          <w:b/>
        </w:rPr>
        <w:t>Post-Approval Requirements</w:t>
      </w:r>
    </w:p>
    <w:p w14:paraId="5E5C42EB" w14:textId="078949BF" w:rsidR="00B6044C" w:rsidRPr="00AA4677" w:rsidRDefault="00BC26C0" w:rsidP="00BC26C0">
      <w:r w:rsidRPr="00AA4677">
        <w:t xml:space="preserve">Investigators are responsible for complying with any sponsor or FDA reporting requirements.  The post-approval requirements for research described throughout this manual apply, including, but not limited to, prospective IRB approval of any proposed modifications to the plan or materials approved by the IRB unless the change is necessary to eliminate apparent immediate hazard to the subject (in which case it must be promptly reported), reporting of unanticipated problems, noncompliance, complaints, and other reportable information, and for continuing review and study closure, as applicable.  </w:t>
      </w:r>
      <w:r w:rsidRPr="00AA4677">
        <w:rPr>
          <w:b/>
        </w:rPr>
        <w:t>Additionally</w:t>
      </w:r>
      <w:r w:rsidRPr="00AA4677">
        <w:t xml:space="preserve">, copies of any </w:t>
      </w:r>
      <w:hyperlink r:id="rId91" w:history="1">
        <w:r w:rsidRPr="00AA4677">
          <w:rPr>
            <w:rStyle w:val="Hyperlink"/>
            <w:color w:val="auto"/>
            <w:u w:val="none"/>
          </w:rPr>
          <w:t>follow-up submissions</w:t>
        </w:r>
      </w:hyperlink>
      <w:r w:rsidRPr="00AA4677">
        <w:t xml:space="preserve"> to the FDA related to the expanded access use must be submitted to the IRB within 7 business days of the date of submission to the FDA. </w:t>
      </w:r>
    </w:p>
    <w:p w14:paraId="39939047" w14:textId="6B94F2D2" w:rsidR="00B6044C" w:rsidRPr="00AA4677" w:rsidRDefault="00B6044C" w:rsidP="00BC26C0">
      <w:r w:rsidRPr="00AA4677">
        <w:t>Other reportable Information:</w:t>
      </w:r>
    </w:p>
    <w:p w14:paraId="292C6FFB" w14:textId="77777777" w:rsidR="00B6044C" w:rsidRPr="00AA4677" w:rsidRDefault="00B6044C">
      <w:pPr>
        <w:numPr>
          <w:ilvl w:val="0"/>
          <w:numId w:val="191"/>
        </w:numPr>
        <w:shd w:val="clear" w:color="auto" w:fill="FFFFFF"/>
        <w:spacing w:after="0" w:line="240" w:lineRule="auto"/>
        <w:ind w:left="360"/>
        <w:rPr>
          <w:rFonts w:ascii="Calibri" w:eastAsia="Times New Roman" w:hAnsi="Calibri" w:cs="Calibri"/>
          <w:szCs w:val="24"/>
        </w:rPr>
      </w:pPr>
      <w:r w:rsidRPr="00AA4677">
        <w:rPr>
          <w:rFonts w:ascii="Calibri" w:eastAsia="Times New Roman" w:hAnsi="Calibri" w:cs="Calibri"/>
          <w:szCs w:val="24"/>
        </w:rPr>
        <w:t>Notice of:</w:t>
      </w:r>
    </w:p>
    <w:p w14:paraId="28D0C335" w14:textId="77777777" w:rsidR="00B6044C" w:rsidRPr="00AA4677" w:rsidRDefault="00B6044C">
      <w:pPr>
        <w:numPr>
          <w:ilvl w:val="1"/>
          <w:numId w:val="191"/>
        </w:numPr>
        <w:shd w:val="clear" w:color="auto" w:fill="FFFFFF"/>
        <w:spacing w:after="0" w:line="240" w:lineRule="auto"/>
        <w:ind w:left="720"/>
        <w:rPr>
          <w:rFonts w:ascii="Calibri" w:eastAsia="Times New Roman" w:hAnsi="Calibri" w:cs="Calibri"/>
          <w:szCs w:val="24"/>
        </w:rPr>
      </w:pPr>
      <w:r w:rsidRPr="00AA4677">
        <w:rPr>
          <w:rFonts w:ascii="Calibri" w:eastAsia="Times New Roman" w:hAnsi="Calibri" w:cs="Calibri"/>
          <w:szCs w:val="24"/>
        </w:rPr>
        <w:t>Any negative actions by a government oversight office, including, but not limited to, OHRP Determination Letters, FDA Warning Letters, FDA 483 Inspection Reports with official action indicated (classification as “OAI” is typically made after FDA has had the opportunity to review the responses to a 483), FDA Restrictions Placed on IRBs or Investigators, and any corresponding compliance actions taken under non-US authorities related to human research protections.</w:t>
      </w:r>
    </w:p>
    <w:p w14:paraId="6BDD859E" w14:textId="77777777" w:rsidR="00B6044C" w:rsidRPr="00AA4677" w:rsidRDefault="00B6044C">
      <w:pPr>
        <w:numPr>
          <w:ilvl w:val="1"/>
          <w:numId w:val="191"/>
        </w:numPr>
        <w:shd w:val="clear" w:color="auto" w:fill="FFFFFF"/>
        <w:spacing w:after="0" w:line="240" w:lineRule="auto"/>
        <w:ind w:left="720"/>
        <w:rPr>
          <w:rFonts w:ascii="Calibri" w:eastAsia="Times New Roman" w:hAnsi="Calibri" w:cs="Calibri"/>
          <w:szCs w:val="24"/>
        </w:rPr>
      </w:pPr>
      <w:r w:rsidRPr="00AA4677">
        <w:rPr>
          <w:rFonts w:ascii="Calibri" w:eastAsia="Times New Roman" w:hAnsi="Calibri" w:cs="Calibri"/>
          <w:szCs w:val="24"/>
        </w:rPr>
        <w:t>Any litigation, arbitration, or settlements initiated related to human research protections.</w:t>
      </w:r>
    </w:p>
    <w:p w14:paraId="2C5BF589" w14:textId="27682C2C" w:rsidR="00B6044C" w:rsidRPr="00AA4677" w:rsidRDefault="00B6044C">
      <w:pPr>
        <w:numPr>
          <w:ilvl w:val="1"/>
          <w:numId w:val="191"/>
        </w:numPr>
        <w:shd w:val="clear" w:color="auto" w:fill="FFFFFF"/>
        <w:spacing w:after="0" w:line="240" w:lineRule="auto"/>
        <w:ind w:left="720"/>
        <w:rPr>
          <w:rFonts w:ascii="Calibri" w:eastAsia="Times New Roman" w:hAnsi="Calibri" w:cs="Calibri"/>
          <w:szCs w:val="24"/>
        </w:rPr>
      </w:pPr>
      <w:r w:rsidRPr="00AA4677">
        <w:rPr>
          <w:rFonts w:ascii="Calibri" w:eastAsia="Times New Roman" w:hAnsi="Calibri" w:cs="Calibri"/>
          <w:szCs w:val="24"/>
        </w:rPr>
        <w:t>Any press coverage (including but not limited to radio, TV, newspaper, online publications) of a negative nature regarding human subject research conducted at or by SBU or SBU’s program for the protection of human research participants.</w:t>
      </w:r>
    </w:p>
    <w:p w14:paraId="45B6FC80" w14:textId="77777777" w:rsidR="0085368F" w:rsidRPr="00AA4677" w:rsidRDefault="00B6044C" w:rsidP="001D3801">
      <w:pPr>
        <w:pStyle w:val="Heading4"/>
      </w:pPr>
      <w:r w:rsidRPr="00AA4677">
        <w:lastRenderedPageBreak/>
        <w:t>NOTE: The above events (4.a, b, and/or c) must be reported to the ORC</w:t>
      </w:r>
      <w:r w:rsidR="00D50B04" w:rsidRPr="00AA4677">
        <w:t xml:space="preserve"> by phone and email</w:t>
      </w:r>
      <w:r w:rsidRPr="00AA4677">
        <w:t> as soon as anyone becomes aware, with the formal submission within the 7-day timeline as noted above</w:t>
      </w:r>
      <w:bookmarkEnd w:id="254"/>
    </w:p>
    <w:p w14:paraId="011F2C57" w14:textId="39E5F363" w:rsidR="00BC26C0" w:rsidRPr="00AA4677" w:rsidRDefault="00BC26C0" w:rsidP="001D3801">
      <w:pPr>
        <w:pStyle w:val="Heading4"/>
      </w:pPr>
      <w:r w:rsidRPr="00AA4677">
        <w:t>Emergency Use of Investigational Drugs</w:t>
      </w:r>
    </w:p>
    <w:p w14:paraId="23F4A41A" w14:textId="27892927" w:rsidR="00BC26C0" w:rsidRPr="00AA4677" w:rsidRDefault="00BC26C0" w:rsidP="00BC26C0">
      <w:r w:rsidRPr="00AA4677">
        <w:t xml:space="preserve">FDA regulations permit the use of an investigational drug without IRB approval when an appropriately trained and licensed health care provider determines that IRB approval for the use of the drug cannot be obtained in time to prevent serious harm or death to a patient.  </w:t>
      </w:r>
      <w:r w:rsidRPr="00AA4677">
        <w:rPr>
          <w:rFonts w:eastAsia="Arial Unicode MS"/>
        </w:rPr>
        <w:t>The provider is expected to assess the potential for benefit from the use of the drug and to have substantial reason to bel</w:t>
      </w:r>
      <w:r w:rsidR="00601A02" w:rsidRPr="00AA4677">
        <w:rPr>
          <w:rFonts w:eastAsia="Arial Unicode MS"/>
        </w:rPr>
        <w:t>ieve that benefits will exist</w:t>
      </w:r>
      <w:r w:rsidRPr="00AA4677">
        <w:t xml:space="preserve">. </w:t>
      </w:r>
    </w:p>
    <w:p w14:paraId="7B485083" w14:textId="77777777" w:rsidR="00BC26C0" w:rsidRPr="00AA4677" w:rsidRDefault="00BC26C0" w:rsidP="00BC26C0">
      <w:r w:rsidRPr="00AA4677">
        <w:t xml:space="preserve">Approval from the FDA and the Sponsor/Manufacturer must be obtained prior to initiating treatment with the drug.  </w:t>
      </w:r>
    </w:p>
    <w:p w14:paraId="2045997B" w14:textId="77777777" w:rsidR="00BC26C0" w:rsidRPr="00AA4677" w:rsidRDefault="00BC26C0" w:rsidP="00C94FA5">
      <w:pPr>
        <w:spacing w:after="0" w:line="240" w:lineRule="auto"/>
        <w:rPr>
          <w:rFonts w:cs="Calibri"/>
        </w:rPr>
      </w:pPr>
      <w:r w:rsidRPr="00AA4677">
        <w:rPr>
          <w:rFonts w:cs="Calibri"/>
        </w:rPr>
        <w:t xml:space="preserve">Providers invoking the emergency use exemption must comply with any applicable FDA follow-up requirements including submission of safety reports, amendments, a summary following completion of treatment, and annual reports.  </w:t>
      </w:r>
    </w:p>
    <w:p w14:paraId="430106BB" w14:textId="77777777" w:rsidR="004C6E97" w:rsidRPr="00AA4677" w:rsidRDefault="004C6E97" w:rsidP="00C94FA5">
      <w:pPr>
        <w:spacing w:after="0" w:line="240" w:lineRule="auto"/>
      </w:pPr>
    </w:p>
    <w:p w14:paraId="291DC480" w14:textId="4CCBD6EC" w:rsidR="00BC26C0" w:rsidRPr="00AA4677" w:rsidRDefault="00BC26C0" w:rsidP="00C94FA5">
      <w:pPr>
        <w:spacing w:after="0" w:line="240" w:lineRule="auto"/>
        <w:rPr>
          <w:rFonts w:cstheme="minorHAnsi"/>
          <w:szCs w:val="24"/>
        </w:rPr>
      </w:pPr>
      <w:r w:rsidRPr="00AA4677">
        <w:t xml:space="preserve">A </w:t>
      </w:r>
      <w:r w:rsidRPr="00AA4677">
        <w:rPr>
          <w:rFonts w:cstheme="minorHAnsi"/>
          <w:szCs w:val="24"/>
        </w:rPr>
        <w:t>copy of reports or amendments submitted to the FDA and any related correspondence must be submitted to the ORC.</w:t>
      </w:r>
    </w:p>
    <w:p w14:paraId="11ABB781" w14:textId="77777777" w:rsidR="004C6E97" w:rsidRPr="00AA4677" w:rsidRDefault="004C6E97" w:rsidP="00C94FA5">
      <w:pPr>
        <w:pStyle w:val="Bullet2FDA"/>
        <w:tabs>
          <w:tab w:val="clear" w:pos="1080"/>
        </w:tabs>
        <w:ind w:left="0" w:firstLine="0"/>
        <w:rPr>
          <w:rFonts w:asciiTheme="minorHAnsi" w:hAnsiTheme="minorHAnsi" w:cstheme="minorHAnsi"/>
          <w:color w:val="auto"/>
          <w:sz w:val="24"/>
          <w:szCs w:val="24"/>
        </w:rPr>
      </w:pPr>
    </w:p>
    <w:p w14:paraId="0102F0DF" w14:textId="77777777" w:rsidR="004C6E97" w:rsidRPr="00AA4677" w:rsidRDefault="00BC26C0" w:rsidP="00C94FA5">
      <w:pPr>
        <w:pStyle w:val="Bullet2FDA"/>
        <w:tabs>
          <w:tab w:val="clear" w:pos="1080"/>
        </w:tabs>
        <w:ind w:left="0" w:firstLine="0"/>
        <w:rPr>
          <w:rFonts w:asciiTheme="minorHAnsi" w:hAnsiTheme="minorHAnsi" w:cstheme="minorHAnsi"/>
          <w:sz w:val="24"/>
          <w:szCs w:val="24"/>
        </w:rPr>
      </w:pPr>
      <w:r w:rsidRPr="00AA4677">
        <w:rPr>
          <w:rFonts w:asciiTheme="minorHAnsi" w:hAnsiTheme="minorHAnsi" w:cstheme="minorHAnsi"/>
          <w:color w:val="auto"/>
          <w:sz w:val="24"/>
          <w:szCs w:val="24"/>
        </w:rPr>
        <w:t xml:space="preserve">Note: DHHS regulations do not permit research activities to be started, even in an emergency, without prior IRB approval. When emergency medical care is initiated without prior IRB review and approval, the patient </w:t>
      </w:r>
      <w:hyperlink r:id="rId92" w:history="1">
        <w:r w:rsidRPr="00AA4677">
          <w:rPr>
            <w:rStyle w:val="Hyperlink"/>
            <w:rFonts w:asciiTheme="minorHAnsi" w:hAnsiTheme="minorHAnsi" w:cstheme="minorHAnsi"/>
            <w:color w:val="auto"/>
            <w:sz w:val="24"/>
            <w:szCs w:val="24"/>
            <w:u w:val="none"/>
          </w:rPr>
          <w:t>may not be considered a research subject</w:t>
        </w:r>
      </w:hyperlink>
      <w:r w:rsidRPr="00AA4677">
        <w:rPr>
          <w:rFonts w:asciiTheme="minorHAnsi" w:hAnsiTheme="minorHAnsi" w:cstheme="minorHAnsi"/>
          <w:color w:val="auto"/>
          <w:sz w:val="24"/>
          <w:szCs w:val="24"/>
        </w:rPr>
        <w:t xml:space="preserve"> under </w:t>
      </w:r>
      <w:hyperlink r:id="rId93" w:history="1">
        <w:r w:rsidRPr="00AA4677">
          <w:rPr>
            <w:rStyle w:val="Hyperlink"/>
            <w:rFonts w:asciiTheme="minorHAnsi" w:hAnsiTheme="minorHAnsi" w:cstheme="minorHAnsi"/>
            <w:color w:val="auto"/>
            <w:sz w:val="24"/>
            <w:szCs w:val="24"/>
            <w:u w:val="none"/>
          </w:rPr>
          <w:t>45 CFR Part 46</w:t>
        </w:r>
      </w:hyperlink>
      <w:r w:rsidRPr="00AA4677">
        <w:rPr>
          <w:rFonts w:asciiTheme="minorHAnsi" w:hAnsiTheme="minorHAnsi" w:cstheme="minorHAnsi"/>
          <w:sz w:val="24"/>
          <w:szCs w:val="24"/>
        </w:rPr>
        <w:t>.</w:t>
      </w:r>
      <w:r w:rsidR="00F255FF" w:rsidRPr="00AA4677">
        <w:rPr>
          <w:rFonts w:asciiTheme="minorHAnsi" w:hAnsiTheme="minorHAnsi" w:cstheme="minorHAnsi"/>
          <w:sz w:val="24"/>
          <w:szCs w:val="24"/>
        </w:rPr>
        <w:t xml:space="preserve"> </w:t>
      </w:r>
    </w:p>
    <w:p w14:paraId="5BBA8C4E" w14:textId="77777777" w:rsidR="004C6E97" w:rsidRPr="00AA4677" w:rsidRDefault="004C6E97" w:rsidP="00C94FA5">
      <w:pPr>
        <w:pStyle w:val="Bullet2FDA"/>
        <w:tabs>
          <w:tab w:val="clear" w:pos="1080"/>
        </w:tabs>
        <w:ind w:left="0" w:firstLine="0"/>
        <w:rPr>
          <w:rFonts w:asciiTheme="minorHAnsi" w:hAnsiTheme="minorHAnsi" w:cstheme="minorHAnsi"/>
          <w:sz w:val="24"/>
          <w:szCs w:val="24"/>
        </w:rPr>
      </w:pPr>
    </w:p>
    <w:p w14:paraId="7589644C" w14:textId="3203ED7C" w:rsidR="00F255FF" w:rsidRPr="00AA4677" w:rsidRDefault="00F255FF" w:rsidP="00C94FA5">
      <w:pPr>
        <w:pStyle w:val="Bullet2FDA"/>
        <w:tabs>
          <w:tab w:val="clear" w:pos="1080"/>
        </w:tabs>
        <w:ind w:left="0" w:firstLine="0"/>
        <w:rPr>
          <w:rFonts w:asciiTheme="minorHAnsi" w:hAnsiTheme="minorHAnsi" w:cstheme="minorHAnsi"/>
          <w:color w:val="auto"/>
          <w:sz w:val="24"/>
          <w:szCs w:val="24"/>
        </w:rPr>
      </w:pPr>
      <w:r w:rsidRPr="00AA4677">
        <w:rPr>
          <w:rFonts w:asciiTheme="minorHAnsi" w:hAnsiTheme="minorHAnsi" w:cstheme="minorHAnsi"/>
          <w:color w:val="auto"/>
          <w:sz w:val="24"/>
          <w:szCs w:val="24"/>
        </w:rPr>
        <w:t xml:space="preserve">DHHS regulations do not permit data obtained from patients to be classified as research involving human participants, nor permit the outcome of such care to be included in any report of a research activity subject to DHHS regulations. </w:t>
      </w:r>
    </w:p>
    <w:p w14:paraId="21C872FE" w14:textId="77777777" w:rsidR="004C6E97" w:rsidRPr="00AA4677" w:rsidRDefault="004C6E97" w:rsidP="00C94FA5">
      <w:pPr>
        <w:pStyle w:val="Bullet1FDA"/>
        <w:tabs>
          <w:tab w:val="clear" w:pos="360"/>
          <w:tab w:val="clear" w:pos="407"/>
          <w:tab w:val="num" w:pos="2880"/>
        </w:tabs>
        <w:ind w:left="0" w:firstLine="0"/>
        <w:rPr>
          <w:rFonts w:asciiTheme="minorHAnsi" w:hAnsiTheme="minorHAnsi" w:cstheme="minorHAnsi"/>
          <w:color w:val="auto"/>
          <w:sz w:val="24"/>
          <w:szCs w:val="24"/>
        </w:rPr>
      </w:pPr>
    </w:p>
    <w:p w14:paraId="3E241F30" w14:textId="0605A646" w:rsidR="00F255FF" w:rsidRPr="00AA4677" w:rsidRDefault="00F255FF" w:rsidP="00C94FA5">
      <w:pPr>
        <w:pStyle w:val="Bullet1FDA"/>
        <w:tabs>
          <w:tab w:val="clear" w:pos="360"/>
          <w:tab w:val="clear" w:pos="407"/>
          <w:tab w:val="num" w:pos="2880"/>
        </w:tabs>
        <w:ind w:left="0" w:firstLine="0"/>
        <w:rPr>
          <w:rFonts w:asciiTheme="minorHAnsi" w:hAnsiTheme="minorHAnsi" w:cstheme="minorHAnsi"/>
          <w:color w:val="auto"/>
          <w:sz w:val="24"/>
          <w:szCs w:val="24"/>
        </w:rPr>
      </w:pPr>
      <w:r w:rsidRPr="00AA4677">
        <w:rPr>
          <w:rFonts w:asciiTheme="minorHAnsi" w:hAnsiTheme="minorHAnsi" w:cstheme="minorHAnsi"/>
          <w:color w:val="auto"/>
          <w:sz w:val="24"/>
          <w:szCs w:val="24"/>
        </w:rPr>
        <w:t>The emergency use of a test article, other than a medical device, is however considered to be a clinical investigation, the patient is a participant, and the FDA may require data from an emergency use to be reported in a marketing application.</w:t>
      </w:r>
    </w:p>
    <w:p w14:paraId="058D3186" w14:textId="77777777" w:rsidR="004C6E97" w:rsidRPr="00AA4677" w:rsidRDefault="004C6E97" w:rsidP="00C94FA5">
      <w:pPr>
        <w:spacing w:after="0" w:line="240" w:lineRule="auto"/>
      </w:pPr>
    </w:p>
    <w:p w14:paraId="2D8CFB87" w14:textId="69484A89" w:rsidR="004C6E97" w:rsidRPr="00AA4677" w:rsidRDefault="00BC26C0" w:rsidP="007E3362">
      <w:pPr>
        <w:spacing w:after="0" w:line="240" w:lineRule="auto"/>
      </w:pPr>
      <w:r w:rsidRPr="00AA4677">
        <w:t xml:space="preserve">However, nothing in the DHHS regulations at </w:t>
      </w:r>
      <w:hyperlink r:id="rId94" w:history="1">
        <w:r w:rsidRPr="00AA4677">
          <w:rPr>
            <w:rStyle w:val="Hyperlink"/>
            <w:color w:val="auto"/>
            <w:u w:val="none"/>
          </w:rPr>
          <w:t>45 CFR Part 46</w:t>
        </w:r>
      </w:hyperlink>
      <w:r w:rsidRPr="00AA4677">
        <w:t xml:space="preserve"> is intended to limit the authority of a physician to provide emergency medical care, to the extent the physician is permitted to do so under applicab</w:t>
      </w:r>
      <w:r w:rsidR="007E3362" w:rsidRPr="00AA4677">
        <w:t>le federal, state or local law.</w:t>
      </w:r>
    </w:p>
    <w:p w14:paraId="2FEF419B" w14:textId="725E7A76" w:rsidR="00BC26C0" w:rsidRPr="00AA4677" w:rsidRDefault="00BC26C0" w:rsidP="001D3801">
      <w:pPr>
        <w:pStyle w:val="Heading4"/>
      </w:pPr>
      <w:r w:rsidRPr="00AA4677">
        <w:t>Emergency Use Exemption from Prospective IRB Approval</w:t>
      </w:r>
    </w:p>
    <w:p w14:paraId="08B49B92" w14:textId="77777777" w:rsidR="00BC26C0" w:rsidRPr="00AA4677" w:rsidRDefault="00BC26C0" w:rsidP="00BC26C0">
      <w:r w:rsidRPr="00AA4677">
        <w:lastRenderedPageBreak/>
        <w:t xml:space="preserve">Under FDA regulations at </w:t>
      </w:r>
      <w:hyperlink r:id="rId95" w:history="1">
        <w:r w:rsidRPr="00AA4677">
          <w:rPr>
            <w:rStyle w:val="Hyperlink"/>
            <w:color w:val="auto"/>
            <w:u w:val="none"/>
          </w:rPr>
          <w:t>21 CFR 56.104(c)</w:t>
        </w:r>
      </w:hyperlink>
      <w:r w:rsidRPr="00AA4677">
        <w:t xml:space="preserve">, FDA exempts the </w:t>
      </w:r>
      <w:hyperlink r:id="rId96" w:history="1">
        <w:r w:rsidRPr="00AA4677">
          <w:rPr>
            <w:rStyle w:val="Hyperlink"/>
            <w:color w:val="auto"/>
            <w:u w:val="none"/>
          </w:rPr>
          <w:t>emergency use of an investigational drug</w:t>
        </w:r>
      </w:hyperlink>
      <w:r w:rsidRPr="00AA4677">
        <w:t xml:space="preserve"> (or biologic classified as a drug) from the requirement for prospective IRB approval, provided that the conditions described below are satisfied and that the emergency use is reported to the IRB within 5 working days.  Any subsequent use of the </w:t>
      </w:r>
      <w:proofErr w:type="gramStart"/>
      <w:r w:rsidRPr="00AA4677">
        <w:t>investigational</w:t>
      </w:r>
      <w:proofErr w:type="gramEnd"/>
      <w:r w:rsidRPr="00AA4677">
        <w:t xml:space="preserve"> drug in the facility requires IRB approval.  However, FDA acknowledges that it would be inappropriate to deny emergency treatment to a second individual if the only obstacle is that the IRB has not had sufficient time to convene a meeting to review the issue. If it appears likely that the investigational drug may need to be used again, the IRB may request that a study application </w:t>
      </w:r>
      <w:r w:rsidRPr="00AA4677">
        <w:rPr>
          <w:noProof/>
        </w:rPr>
        <w:t>is</w:t>
      </w:r>
      <w:r w:rsidRPr="00AA4677">
        <w:t xml:space="preserve"> submitted which would cover future uses.  </w:t>
      </w:r>
    </w:p>
    <w:p w14:paraId="13C0F5BA" w14:textId="77777777" w:rsidR="00BC26C0" w:rsidRPr="00AA4677" w:rsidRDefault="00BC26C0" w:rsidP="00BC26C0">
      <w:pPr>
        <w:rPr>
          <w:b/>
        </w:rPr>
      </w:pPr>
      <w:r w:rsidRPr="00AA4677">
        <w:rPr>
          <w:b/>
        </w:rPr>
        <w:t>FDA defines emergency use as the use of a test article</w:t>
      </w:r>
    </w:p>
    <w:p w14:paraId="6C9F9132" w14:textId="36661A88" w:rsidR="00BC26C0" w:rsidRPr="00AA4677" w:rsidRDefault="00BC26C0">
      <w:pPr>
        <w:pStyle w:val="ListParagraph"/>
        <w:numPr>
          <w:ilvl w:val="4"/>
          <w:numId w:val="265"/>
        </w:numPr>
        <w:ind w:left="360"/>
        <w:rPr>
          <w:b/>
        </w:rPr>
      </w:pPr>
      <w:r w:rsidRPr="00AA4677">
        <w:rPr>
          <w:b/>
        </w:rPr>
        <w:t>in a life-threatening* situation</w:t>
      </w:r>
    </w:p>
    <w:p w14:paraId="409226F2" w14:textId="0049F964" w:rsidR="00BC26C0" w:rsidRPr="00AA4677" w:rsidRDefault="00BC26C0">
      <w:pPr>
        <w:pStyle w:val="ListParagraph"/>
        <w:numPr>
          <w:ilvl w:val="4"/>
          <w:numId w:val="265"/>
        </w:numPr>
        <w:ind w:left="360"/>
        <w:rPr>
          <w:b/>
        </w:rPr>
      </w:pPr>
      <w:r w:rsidRPr="00AA4677">
        <w:rPr>
          <w:b/>
        </w:rPr>
        <w:t xml:space="preserve">in which no standard acceptable treatment is available, and </w:t>
      </w:r>
    </w:p>
    <w:p w14:paraId="41ECEE73" w14:textId="04AEE49B" w:rsidR="00BC26C0" w:rsidRPr="00AA4677" w:rsidRDefault="00BC26C0">
      <w:pPr>
        <w:pStyle w:val="ListParagraph"/>
        <w:numPr>
          <w:ilvl w:val="4"/>
          <w:numId w:val="265"/>
        </w:numPr>
        <w:ind w:left="360"/>
      </w:pPr>
      <w:r w:rsidRPr="00AA4677">
        <w:rPr>
          <w:b/>
        </w:rPr>
        <w:t>in which there is not sufficient time to obtain IRB approval</w:t>
      </w:r>
      <w:r w:rsidRPr="00AA4677">
        <w:t xml:space="preserve"> [</w:t>
      </w:r>
      <w:hyperlink r:id="rId97" w:history="1">
        <w:r w:rsidRPr="00AA4677">
          <w:rPr>
            <w:rStyle w:val="Hyperlink"/>
            <w:rFonts w:cs="Calibri"/>
            <w:color w:val="auto"/>
            <w:u w:val="none"/>
          </w:rPr>
          <w:t>21 CFR 56.102(d)</w:t>
        </w:r>
      </w:hyperlink>
      <w:r w:rsidRPr="00AA4677">
        <w:t xml:space="preserve">]. </w:t>
      </w:r>
    </w:p>
    <w:p w14:paraId="39849821" w14:textId="77777777" w:rsidR="00BC26C0" w:rsidRPr="00AA4677" w:rsidRDefault="00BC26C0" w:rsidP="00BC26C0">
      <w:pPr>
        <w:rPr>
          <w:b/>
        </w:rPr>
      </w:pPr>
      <w:r w:rsidRPr="00AA4677">
        <w:t xml:space="preserve">If all conditions described in </w:t>
      </w:r>
      <w:hyperlink r:id="rId98" w:history="1">
        <w:r w:rsidRPr="00AA4677">
          <w:rPr>
            <w:rStyle w:val="Hyperlink"/>
            <w:rFonts w:cs="Calibri"/>
            <w:color w:val="auto"/>
            <w:u w:val="none"/>
          </w:rPr>
          <w:t>21 CFR 56.102(d)</w:t>
        </w:r>
      </w:hyperlink>
      <w:r w:rsidRPr="00AA4677">
        <w:t xml:space="preserve"> exist, then the emergency exemption from prospective IRB approval found at </w:t>
      </w:r>
      <w:hyperlink r:id="rId99" w:history="1">
        <w:r w:rsidRPr="00AA4677">
          <w:rPr>
            <w:rStyle w:val="Hyperlink"/>
            <w:rFonts w:cs="Calibri"/>
            <w:color w:val="auto"/>
            <w:u w:val="none"/>
          </w:rPr>
          <w:t>21 CFR 56.104(c)</w:t>
        </w:r>
      </w:hyperlink>
      <w:r w:rsidRPr="00AA4677">
        <w:t xml:space="preserve"> may be used. </w:t>
      </w:r>
    </w:p>
    <w:p w14:paraId="2ECD0879" w14:textId="4BB0DF42" w:rsidR="00BC26C0" w:rsidRPr="00AA4677" w:rsidRDefault="00BC26C0" w:rsidP="00BC26C0">
      <w:r w:rsidRPr="00AA4677">
        <w:rPr>
          <w:b/>
        </w:rPr>
        <w:t>Life-threatening</w:t>
      </w:r>
      <w:r w:rsidRPr="00AA4677">
        <w:t xml:space="preserve">, for the purposes of </w:t>
      </w:r>
      <w:hyperlink r:id="rId100" w:history="1">
        <w:r w:rsidRPr="00AA4677">
          <w:rPr>
            <w:rStyle w:val="Hyperlink"/>
            <w:rFonts w:cs="Calibri"/>
            <w:color w:val="auto"/>
            <w:u w:val="none"/>
          </w:rPr>
          <w:t>21 CFR 56.102(d)</w:t>
        </w:r>
      </w:hyperlink>
      <w:r w:rsidRPr="00AA4677">
        <w:t>, includes both life-threatening and severely debilitating.</w:t>
      </w:r>
    </w:p>
    <w:p w14:paraId="0ACAE5AC" w14:textId="77777777" w:rsidR="00BC26C0" w:rsidRPr="00AA4677" w:rsidRDefault="00BC26C0">
      <w:pPr>
        <w:numPr>
          <w:ilvl w:val="0"/>
          <w:numId w:val="264"/>
        </w:numPr>
        <w:shd w:val="clear" w:color="auto" w:fill="FFFFFF"/>
        <w:tabs>
          <w:tab w:val="clear" w:pos="720"/>
          <w:tab w:val="num" w:pos="360"/>
        </w:tabs>
        <w:spacing w:after="120" w:line="240" w:lineRule="auto"/>
        <w:ind w:left="360"/>
        <w:rPr>
          <w:rFonts w:cs="Calibri"/>
        </w:rPr>
      </w:pPr>
      <w:r w:rsidRPr="00AA4677">
        <w:rPr>
          <w:rFonts w:cs="Calibri"/>
          <w:b/>
          <w:bCs/>
        </w:rPr>
        <w:t>Life-threatening</w:t>
      </w:r>
      <w:r w:rsidRPr="00AA4677">
        <w:rPr>
          <w:rFonts w:cs="Calibri"/>
        </w:rPr>
        <w:t> means diseases or conditions where the likelihood of death is high unless the course of the disease is interrupted and diseases or conditions with potentially fatal outcomes, where the end point of clinical trial analysis is survival. The criteria for life-threatening do not require the condition to be immediately life-threatening or to immediately result in death. Rather, the subjects must be in a life-threatening situation requiring intervention before review at a convened meeting of the IRB is feasible.</w:t>
      </w:r>
    </w:p>
    <w:p w14:paraId="24D9B78D" w14:textId="77777777" w:rsidR="00BC26C0" w:rsidRPr="00AA4677" w:rsidRDefault="00BC26C0">
      <w:pPr>
        <w:numPr>
          <w:ilvl w:val="0"/>
          <w:numId w:val="264"/>
        </w:numPr>
        <w:shd w:val="clear" w:color="auto" w:fill="FFFFFF"/>
        <w:tabs>
          <w:tab w:val="clear" w:pos="720"/>
          <w:tab w:val="num" w:pos="360"/>
        </w:tabs>
        <w:spacing w:after="120" w:line="240" w:lineRule="auto"/>
        <w:ind w:left="360"/>
        <w:rPr>
          <w:rFonts w:cs="Calibri"/>
        </w:rPr>
      </w:pPr>
      <w:r w:rsidRPr="00AA4677">
        <w:rPr>
          <w:rFonts w:cs="Calibri"/>
          <w:b/>
          <w:bCs/>
        </w:rPr>
        <w:t>Severely debilitating</w:t>
      </w:r>
      <w:r w:rsidRPr="00AA4677">
        <w:rPr>
          <w:rFonts w:cs="Calibri"/>
        </w:rPr>
        <w:t> means diseases or conditions that cause major irreversible morbidity. Examples of severely debilitating conditions include blindness, loss of arm, leg, hand or foot, loss of hearing, paralysis or stroke.</w:t>
      </w:r>
    </w:p>
    <w:p w14:paraId="4F635B50" w14:textId="77777777" w:rsidR="00BC26C0" w:rsidRPr="00AA4677" w:rsidRDefault="00BC26C0" w:rsidP="00BC26C0">
      <w:pPr>
        <w:rPr>
          <w:rFonts w:cs="Calibri"/>
        </w:rPr>
      </w:pPr>
      <w:r w:rsidRPr="00AA4677">
        <w:t xml:space="preserve">Unless the provisions for an emergency exception from the informed consent requirement are satisfied (see below), informed consent must be obtained in accordance with </w:t>
      </w:r>
      <w:hyperlink r:id="rId101" w:history="1">
        <w:r w:rsidRPr="00AA4677">
          <w:rPr>
            <w:rStyle w:val="Hyperlink"/>
            <w:rFonts w:cs="Calibri"/>
            <w:color w:val="auto"/>
            <w:u w:val="none"/>
          </w:rPr>
          <w:t>21 CFR 50</w:t>
        </w:r>
      </w:hyperlink>
      <w:r w:rsidRPr="00AA4677">
        <w:rPr>
          <w:rFonts w:cs="Calibri"/>
        </w:rPr>
        <w:t xml:space="preserve"> and documented in writing in accordance with </w:t>
      </w:r>
      <w:hyperlink r:id="rId102" w:history="1">
        <w:r w:rsidRPr="00AA4677">
          <w:rPr>
            <w:rStyle w:val="Hyperlink"/>
            <w:rFonts w:cs="Calibri"/>
            <w:color w:val="auto"/>
            <w:u w:val="none"/>
          </w:rPr>
          <w:t>21 CFR 50.27</w:t>
        </w:r>
      </w:hyperlink>
      <w:r w:rsidRPr="00AA4677">
        <w:rPr>
          <w:rFonts w:cs="Calibri"/>
        </w:rPr>
        <w:t xml:space="preserve">. </w:t>
      </w:r>
    </w:p>
    <w:p w14:paraId="31B2E3A8" w14:textId="77777777" w:rsidR="00BC26C0" w:rsidRPr="00AA4677" w:rsidRDefault="00BC26C0" w:rsidP="00BC26C0">
      <w:r w:rsidRPr="00AA4677">
        <w:t xml:space="preserve">The IRB must be notified within </w:t>
      </w:r>
      <w:r w:rsidRPr="00AA4677">
        <w:rPr>
          <w:b/>
        </w:rPr>
        <w:t>5 working days</w:t>
      </w:r>
      <w:r w:rsidRPr="00AA4677">
        <w:t xml:space="preserve"> after an emergency exemption is used via the IRB electronic management system. Notification must include justification that conditions a, b, and c above were met, as well as confirmation from the department chair concurring with the use and justification. </w:t>
      </w:r>
    </w:p>
    <w:p w14:paraId="36D46478" w14:textId="5E149BEB" w:rsidR="00BC26C0" w:rsidRPr="00AA4677" w:rsidRDefault="00BC26C0" w:rsidP="00BC26C0">
      <w:r w:rsidRPr="00AA4677">
        <w:lastRenderedPageBreak/>
        <w:t xml:space="preserve">The IRB Chair will review the report to verify that circumstances of the emergency use conformed to FDA regulations. This must not be construed as IRB approval, as an exemption from the requirement for prospective IRB approval has been invoked.  When appropriate, in the event a manufacturer requires documentation from the IRB prior to the emergency use, the IRB Chair or designee will review the proposed use, and, if appropriate, provide a written statement that the IRB is aware of the proposed use and considers the use to meet the requirements of </w:t>
      </w:r>
      <w:hyperlink r:id="rId103" w:history="1">
        <w:r w:rsidRPr="00AA4677">
          <w:rPr>
            <w:rStyle w:val="Hyperlink"/>
            <w:rFonts w:cs="Calibri"/>
            <w:color w:val="auto"/>
            <w:u w:val="none"/>
          </w:rPr>
          <w:t xml:space="preserve">21 CFR </w:t>
        </w:r>
        <w:r w:rsidRPr="00AA4677">
          <w:rPr>
            <w:rStyle w:val="Hyperlink"/>
            <w:color w:val="auto"/>
            <w:u w:val="none"/>
          </w:rPr>
          <w:t>56.104(c)</w:t>
        </w:r>
      </w:hyperlink>
      <w:r w:rsidRPr="00AA4677">
        <w:t xml:space="preserve">. </w:t>
      </w:r>
      <w:r w:rsidR="00CA5F06" w:rsidRPr="00AA4677">
        <w:t>Reports of emergency use</w:t>
      </w:r>
      <w:r w:rsidRPr="00AA4677">
        <w:t xml:space="preserve"> will be brought to the convened IRB for their information.</w:t>
      </w:r>
    </w:p>
    <w:p w14:paraId="0D1F3187" w14:textId="77777777" w:rsidR="00BC26C0" w:rsidRPr="00AA4677" w:rsidRDefault="00BC26C0" w:rsidP="00BC26C0">
      <w:r w:rsidRPr="00AA4677">
        <w:t>Investigators are reminded that they must comply with all other organizational policies and requirements applicable to the use of the investigational or unapproved drugs.</w:t>
      </w:r>
    </w:p>
    <w:p w14:paraId="00BBCB08" w14:textId="3BB91FA4" w:rsidR="00BC26C0" w:rsidRPr="00AA4677" w:rsidRDefault="00BC26C0" w:rsidP="001D3801">
      <w:pPr>
        <w:pStyle w:val="Heading4"/>
      </w:pPr>
      <w:r w:rsidRPr="00AA4677">
        <w:t>Emergency Exception from the Informed Consent Requirement</w:t>
      </w:r>
    </w:p>
    <w:p w14:paraId="3F68B438" w14:textId="77777777" w:rsidR="00BC26C0" w:rsidRPr="00AA4677" w:rsidRDefault="00BC26C0" w:rsidP="00BC26C0">
      <w:r w:rsidRPr="00AA4677">
        <w:t xml:space="preserve">An exception under FDA regulations at </w:t>
      </w:r>
      <w:hyperlink r:id="rId104" w:history="1">
        <w:r w:rsidRPr="00AA4677">
          <w:rPr>
            <w:rStyle w:val="Hyperlink"/>
            <w:color w:val="auto"/>
            <w:u w:val="none"/>
          </w:rPr>
          <w:t>21 CFR 50.23(a-c)</w:t>
        </w:r>
      </w:hyperlink>
      <w:r w:rsidRPr="00AA4677">
        <w:t xml:space="preserve"> permits the emergency use of an investigational drug without informed consent when the investigator and an independent physician who is not otherwise participating in the clinical investigation (the emergency use) certify in writing all four of the following conditions:  </w:t>
      </w:r>
    </w:p>
    <w:p w14:paraId="2ED698AB" w14:textId="77777777" w:rsidR="00BC26C0" w:rsidRPr="00AA4677" w:rsidRDefault="00BC26C0">
      <w:pPr>
        <w:numPr>
          <w:ilvl w:val="0"/>
          <w:numId w:val="171"/>
        </w:numPr>
        <w:spacing w:after="120" w:line="240" w:lineRule="auto"/>
        <w:ind w:left="360"/>
      </w:pPr>
      <w:r w:rsidRPr="00AA4677">
        <w:t xml:space="preserve">The subject is confronted by a life-threatening situation necessitating the use of the test </w:t>
      </w:r>
      <w:proofErr w:type="gramStart"/>
      <w:r w:rsidRPr="00AA4677">
        <w:t>article;</w:t>
      </w:r>
      <w:proofErr w:type="gramEnd"/>
    </w:p>
    <w:p w14:paraId="79ABB2A2" w14:textId="77777777" w:rsidR="00BC26C0" w:rsidRPr="00AA4677" w:rsidRDefault="00BC26C0">
      <w:pPr>
        <w:numPr>
          <w:ilvl w:val="0"/>
          <w:numId w:val="171"/>
        </w:numPr>
        <w:spacing w:after="120" w:line="240" w:lineRule="auto"/>
        <w:ind w:left="360"/>
      </w:pPr>
      <w:r w:rsidRPr="00AA4677">
        <w:t xml:space="preserve">Informed consent cannot be obtained because of an inability to communicate with, or obtain legally effective consent from, the </w:t>
      </w:r>
      <w:proofErr w:type="gramStart"/>
      <w:r w:rsidRPr="00AA4677">
        <w:t>subject;</w:t>
      </w:r>
      <w:proofErr w:type="gramEnd"/>
    </w:p>
    <w:p w14:paraId="4AF0DAE0" w14:textId="77777777" w:rsidR="00BC26C0" w:rsidRPr="00AA4677" w:rsidRDefault="00BC26C0">
      <w:pPr>
        <w:numPr>
          <w:ilvl w:val="0"/>
          <w:numId w:val="171"/>
        </w:numPr>
        <w:spacing w:after="120" w:line="240" w:lineRule="auto"/>
        <w:ind w:left="360"/>
      </w:pPr>
      <w:r w:rsidRPr="00AA4677">
        <w:t xml:space="preserve">Time is not sufficient to obtain consent </w:t>
      </w:r>
      <w:r w:rsidRPr="00AA4677">
        <w:rPr>
          <w:noProof/>
        </w:rPr>
        <w:t>from</w:t>
      </w:r>
      <w:r w:rsidRPr="00AA4677">
        <w:t xml:space="preserve"> the subject’s LAR; and</w:t>
      </w:r>
    </w:p>
    <w:p w14:paraId="15099E1E" w14:textId="77777777" w:rsidR="00BC26C0" w:rsidRPr="00AA4677" w:rsidRDefault="00BC26C0">
      <w:pPr>
        <w:numPr>
          <w:ilvl w:val="0"/>
          <w:numId w:val="171"/>
        </w:numPr>
        <w:spacing w:after="120" w:line="240" w:lineRule="auto"/>
        <w:ind w:left="360"/>
      </w:pPr>
      <w:r w:rsidRPr="00AA4677">
        <w:t>No alternative method of approved or generally recognized therapy is available that provides an equal or greater likelihood of saving the life of the subject.</w:t>
      </w:r>
    </w:p>
    <w:p w14:paraId="2D03971A" w14:textId="77777777" w:rsidR="00BC26C0" w:rsidRPr="00AA4677" w:rsidRDefault="00BC26C0" w:rsidP="00BC26C0">
      <w:r w:rsidRPr="00AA4677">
        <w:t xml:space="preserve">If immediate use of the test article is, in the investigator's opinion, required to preserve the life of the subject, and time is not sufficient to obtain the independent physician determination in advance of using the test article, the determinations of the clinical investigator shall be made and, within 5 working days after the use of the article, be reviewed and evaluated in writing by a physician who is not participating in the clinical investigation.  </w:t>
      </w:r>
    </w:p>
    <w:p w14:paraId="1219081C" w14:textId="0A030C22" w:rsidR="00BC26C0" w:rsidRPr="00AA4677" w:rsidRDefault="00BC26C0" w:rsidP="006B628B">
      <w:r w:rsidRPr="00AA4677">
        <w:t xml:space="preserve">The IRB must be notified within </w:t>
      </w:r>
      <w:r w:rsidRPr="00AA4677">
        <w:rPr>
          <w:b/>
        </w:rPr>
        <w:t>5 working days</w:t>
      </w:r>
      <w:r w:rsidRPr="00AA4677">
        <w:t xml:space="preserve"> when an emergency consent exception is invoked via the IRB electronic management system. Notification must include justification that the conditions above are met, as well as department chair concurrence.  </w:t>
      </w:r>
      <w:r w:rsidRPr="00AA4677">
        <w:rPr>
          <w:i/>
        </w:rPr>
        <w:t xml:space="preserve"> </w:t>
      </w:r>
      <w:r w:rsidRPr="00AA4677">
        <w:t xml:space="preserve">The IRB Chair will review the report to verify that circumstances of the emergency exception conformed to FDA regulations.  </w:t>
      </w:r>
    </w:p>
    <w:p w14:paraId="6558E207" w14:textId="7C7C67D6" w:rsidR="00BC26C0" w:rsidRPr="00AA4677" w:rsidRDefault="006B628B" w:rsidP="00C57C98">
      <w:pPr>
        <w:pStyle w:val="Heading3"/>
      </w:pPr>
      <w:bookmarkStart w:id="257" w:name="_Toc285836174"/>
      <w:bookmarkStart w:id="258" w:name="_Toc493413303"/>
      <w:bookmarkStart w:id="259" w:name="_Toc493418073"/>
      <w:bookmarkStart w:id="260" w:name="_Toc495756611"/>
      <w:bookmarkStart w:id="261" w:name="_Toc523233359"/>
      <w:r w:rsidRPr="00AA4677">
        <w:lastRenderedPageBreak/>
        <w:t xml:space="preserve">7.5.2  </w:t>
      </w:r>
      <w:r w:rsidR="00BC26C0" w:rsidRPr="00AA4677">
        <w:t>Expanded Access to Investigational and Unapproved Medical Devices</w:t>
      </w:r>
      <w:bookmarkEnd w:id="257"/>
      <w:bookmarkEnd w:id="258"/>
      <w:bookmarkEnd w:id="259"/>
      <w:bookmarkEnd w:id="260"/>
      <w:bookmarkEnd w:id="261"/>
    </w:p>
    <w:p w14:paraId="1DE407CD" w14:textId="77777777" w:rsidR="00BC26C0" w:rsidRPr="00AA4677" w:rsidRDefault="00BC26C0" w:rsidP="00BC26C0">
      <w:r w:rsidRPr="00AA4677">
        <w:t>As with investigational drugs, unapproved medical devices may normally only be used in humans in an approved clinical trial under the supervision of a participating clinical investigator.  However, there are circumstances under which a health care provider may use an unapproved device outside of a clinical study when it is not possible to enroll a patient in a clinical study and the patient is facing life-threatening circumstances or suffering from a serious disease or condition for which no other alternative therapy or diagnostic exists or is a satisfactory option for the patient.</w:t>
      </w:r>
    </w:p>
    <w:p w14:paraId="500C1478" w14:textId="77777777" w:rsidR="00BC26C0" w:rsidRPr="00AA4677" w:rsidRDefault="00BC26C0" w:rsidP="00BC26C0">
      <w:r w:rsidRPr="00AA4677">
        <w:t>FDA has made the following mechanisms available for these circumstances:</w:t>
      </w:r>
    </w:p>
    <w:p w14:paraId="7A7A26FE" w14:textId="77777777" w:rsidR="00BC26C0" w:rsidRPr="00AA4677" w:rsidRDefault="00BC26C0">
      <w:pPr>
        <w:numPr>
          <w:ilvl w:val="0"/>
          <w:numId w:val="172"/>
        </w:numPr>
        <w:spacing w:after="0" w:line="240" w:lineRule="auto"/>
        <w:ind w:left="360"/>
      </w:pPr>
      <w:r w:rsidRPr="00AA4677">
        <w:t>Emergency Use</w:t>
      </w:r>
    </w:p>
    <w:p w14:paraId="3B36D197" w14:textId="77777777" w:rsidR="00BC26C0" w:rsidRPr="00AA4677" w:rsidRDefault="00BC26C0">
      <w:pPr>
        <w:numPr>
          <w:ilvl w:val="0"/>
          <w:numId w:val="172"/>
        </w:numPr>
        <w:spacing w:after="0" w:line="240" w:lineRule="auto"/>
        <w:ind w:left="360"/>
      </w:pPr>
      <w:r w:rsidRPr="00AA4677">
        <w:t>Compassionate Use (or Single Patient/Small Group Access)</w:t>
      </w:r>
    </w:p>
    <w:p w14:paraId="41135650" w14:textId="77777777" w:rsidR="00BC26C0" w:rsidRPr="00AA4677" w:rsidRDefault="00BC26C0">
      <w:pPr>
        <w:numPr>
          <w:ilvl w:val="0"/>
          <w:numId w:val="172"/>
        </w:numPr>
        <w:spacing w:after="0" w:line="240" w:lineRule="auto"/>
        <w:ind w:left="360"/>
      </w:pPr>
      <w:r w:rsidRPr="00AA4677">
        <w:t>Treatment Use</w:t>
      </w:r>
    </w:p>
    <w:p w14:paraId="1DE30758" w14:textId="77777777" w:rsidR="00BC26C0" w:rsidRPr="00AA4677" w:rsidRDefault="00BC26C0" w:rsidP="00BC26C0">
      <w:r w:rsidRPr="00AA4677">
        <w:t xml:space="preserve">Investigators seeking access to investigational or unapproved devices under one of the above </w:t>
      </w:r>
      <w:r w:rsidRPr="00AA4677">
        <w:rPr>
          <w:noProof/>
        </w:rPr>
        <w:t>provisions</w:t>
      </w:r>
      <w:r w:rsidRPr="00AA4677">
        <w:t xml:space="preserve"> should work closely with the sponsor or manufacturer, the FDA, and the ORC, to ensure that proper regulatory procedures are followed.</w:t>
      </w:r>
    </w:p>
    <w:p w14:paraId="299D6B00" w14:textId="10D0B828" w:rsidR="00BC26C0" w:rsidRPr="00AA4677" w:rsidRDefault="00BC26C0" w:rsidP="00BC26C0">
      <w:r w:rsidRPr="00AA4677">
        <w:t>FDA has made information about expanded access t</w:t>
      </w:r>
      <w:r w:rsidR="006B628B" w:rsidRPr="00AA4677">
        <w:t>o medical devices available on the FDA</w:t>
      </w:r>
      <w:r w:rsidRPr="00AA4677">
        <w:t xml:space="preserve"> </w:t>
      </w:r>
      <w:hyperlink r:id="rId105" w:anchor="emergency" w:history="1">
        <w:r w:rsidRPr="00AA4677">
          <w:rPr>
            <w:rStyle w:val="Hyperlink"/>
            <w:color w:val="auto"/>
            <w:u w:val="none"/>
          </w:rPr>
          <w:t>website</w:t>
        </w:r>
      </w:hyperlink>
      <w:r w:rsidRPr="00AA4677">
        <w:t>.</w:t>
      </w:r>
    </w:p>
    <w:p w14:paraId="171EA30A" w14:textId="7A6E8725" w:rsidR="00BC26C0" w:rsidRPr="00AA4677" w:rsidRDefault="006B628B" w:rsidP="001D3801">
      <w:pPr>
        <w:pStyle w:val="Heading4"/>
      </w:pPr>
      <w:r w:rsidRPr="00AA4677">
        <w:t xml:space="preserve">7.5.3 </w:t>
      </w:r>
      <w:r w:rsidR="00BC26C0" w:rsidRPr="00AA4677">
        <w:t>Compassionate Use of Investigational/Unapproved Medical Devices</w:t>
      </w:r>
    </w:p>
    <w:p w14:paraId="0D61676A" w14:textId="77777777" w:rsidR="00BC26C0" w:rsidRPr="00AA4677" w:rsidRDefault="00BC26C0" w:rsidP="00BC26C0">
      <w:r w:rsidRPr="00AA4677">
        <w:t>The compassionate use provision under expanded access provides a mechanism for accessing investigational devices for an individual patient or small groups of patients when the treating physician believes the device may provide a diagnostic or treatment benefit.  Compassionate use can be used for devices being studied in a clinical trial under an IDE for patients who do not qualify for inclusion in the trial, and for devices for which an IDE does not exist.  The following criteria must be satisfied:</w:t>
      </w:r>
    </w:p>
    <w:p w14:paraId="6CC90A7F" w14:textId="77777777" w:rsidR="00BC26C0" w:rsidRPr="00AA4677" w:rsidRDefault="00BC26C0">
      <w:pPr>
        <w:numPr>
          <w:ilvl w:val="0"/>
          <w:numId w:val="173"/>
        </w:numPr>
        <w:spacing w:after="120" w:line="240" w:lineRule="auto"/>
        <w:ind w:left="360"/>
      </w:pPr>
      <w:r w:rsidRPr="00AA4677">
        <w:t>The patient has a life-threatening or serious disease or condition; and</w:t>
      </w:r>
    </w:p>
    <w:p w14:paraId="77A4A4CB" w14:textId="77777777" w:rsidR="00BC26C0" w:rsidRPr="00AA4677" w:rsidRDefault="00BC26C0">
      <w:pPr>
        <w:numPr>
          <w:ilvl w:val="0"/>
          <w:numId w:val="173"/>
        </w:numPr>
        <w:spacing w:after="120" w:line="240" w:lineRule="auto"/>
        <w:ind w:left="360"/>
      </w:pPr>
      <w:r w:rsidRPr="00AA4677">
        <w:t>No generally acceptable alternative treatment for the condition exists.</w:t>
      </w:r>
    </w:p>
    <w:p w14:paraId="0252E6ED" w14:textId="77777777" w:rsidR="00BC26C0" w:rsidRPr="00AA4677" w:rsidRDefault="00BC26C0" w:rsidP="00BC26C0">
      <w:r w:rsidRPr="00AA4677">
        <w:t xml:space="preserve">The medical device company must agree to make the medical device available for the proposed compassionate use.  FDA and IRB approval </w:t>
      </w:r>
      <w:r w:rsidRPr="00AA4677">
        <w:rPr>
          <w:noProof/>
        </w:rPr>
        <w:t>are</w:t>
      </w:r>
      <w:r w:rsidRPr="00AA4677">
        <w:t xml:space="preserve"> required before the device may be used under the compassionate use provision.</w:t>
      </w:r>
    </w:p>
    <w:p w14:paraId="4171CA38" w14:textId="77777777" w:rsidR="00BC26C0" w:rsidRPr="00AA4677" w:rsidRDefault="00BC26C0" w:rsidP="00BC26C0">
      <w:pPr>
        <w:rPr>
          <w:b/>
        </w:rPr>
      </w:pPr>
      <w:r w:rsidRPr="00AA4677">
        <w:rPr>
          <w:b/>
        </w:rPr>
        <w:t>FDA Approval:</w:t>
      </w:r>
    </w:p>
    <w:p w14:paraId="4567A20F" w14:textId="77777777" w:rsidR="00BC26C0" w:rsidRPr="00AA4677" w:rsidRDefault="00BC26C0" w:rsidP="00BC26C0">
      <w:r w:rsidRPr="00AA4677">
        <w:lastRenderedPageBreak/>
        <w:t xml:space="preserve">When </w:t>
      </w:r>
      <w:r w:rsidRPr="00AA4677">
        <w:rPr>
          <w:b/>
        </w:rPr>
        <w:t>there is an IDE</w:t>
      </w:r>
      <w:r w:rsidRPr="00AA4677">
        <w:t xml:space="preserve"> for the device, the IDE sponsor submits an IDE supplement requesting approval for the compassionate use under </w:t>
      </w:r>
      <w:hyperlink r:id="rId106" w:history="1">
        <w:r w:rsidRPr="00AA4677">
          <w:rPr>
            <w:rStyle w:val="Hyperlink"/>
            <w:color w:val="auto"/>
            <w:u w:val="none"/>
          </w:rPr>
          <w:t>21 CFR 812.35(a)</w:t>
        </w:r>
      </w:hyperlink>
      <w:r w:rsidRPr="00AA4677">
        <w:t xml:space="preserve">.  </w:t>
      </w:r>
    </w:p>
    <w:p w14:paraId="33C0F084" w14:textId="77777777" w:rsidR="00BC26C0" w:rsidRPr="00AA4677" w:rsidRDefault="00BC26C0" w:rsidP="00BC26C0">
      <w:r w:rsidRPr="00AA4677">
        <w:t xml:space="preserve">When </w:t>
      </w:r>
      <w:r w:rsidRPr="00AA4677">
        <w:rPr>
          <w:b/>
        </w:rPr>
        <w:t>there is not an IDE</w:t>
      </w:r>
      <w:r w:rsidRPr="00AA4677">
        <w:t xml:space="preserve"> for the device, the physician or manufacturer submits the following information to the FDA:</w:t>
      </w:r>
    </w:p>
    <w:p w14:paraId="0BD7D458" w14:textId="77777777" w:rsidR="00BC26C0" w:rsidRPr="00AA4677" w:rsidRDefault="00BC26C0">
      <w:pPr>
        <w:numPr>
          <w:ilvl w:val="0"/>
          <w:numId w:val="174"/>
        </w:numPr>
        <w:spacing w:after="120" w:line="240" w:lineRule="auto"/>
        <w:ind w:left="360"/>
      </w:pPr>
      <w:r w:rsidRPr="00AA4677">
        <w:t>A description of the device (provided by the manufacturer</w:t>
      </w:r>
      <w:proofErr w:type="gramStart"/>
      <w:r w:rsidRPr="00AA4677">
        <w:t>);</w:t>
      </w:r>
      <w:proofErr w:type="gramEnd"/>
    </w:p>
    <w:p w14:paraId="71F9E605" w14:textId="77777777" w:rsidR="00BC26C0" w:rsidRPr="00AA4677" w:rsidRDefault="00BC26C0">
      <w:pPr>
        <w:numPr>
          <w:ilvl w:val="0"/>
          <w:numId w:val="174"/>
        </w:numPr>
        <w:spacing w:after="120" w:line="240" w:lineRule="auto"/>
        <w:ind w:left="360"/>
      </w:pPr>
      <w:r w:rsidRPr="00AA4677">
        <w:t xml:space="preserve">Authorization from the device manufacturer for the </w:t>
      </w:r>
      <w:proofErr w:type="gramStart"/>
      <w:r w:rsidRPr="00AA4677">
        <w:t>use;</w:t>
      </w:r>
      <w:proofErr w:type="gramEnd"/>
    </w:p>
    <w:p w14:paraId="1AFA348C" w14:textId="77777777" w:rsidR="00BC26C0" w:rsidRPr="00AA4677" w:rsidRDefault="00BC26C0">
      <w:pPr>
        <w:numPr>
          <w:ilvl w:val="0"/>
          <w:numId w:val="174"/>
        </w:numPr>
        <w:spacing w:after="120" w:line="240" w:lineRule="auto"/>
        <w:ind w:left="360"/>
      </w:pPr>
      <w:r w:rsidRPr="00AA4677">
        <w:t xml:space="preserve">A description of the patient’s condition and the circumstances necessitating treatment or diagnostics (when seeking small group access, the number of patients to be </w:t>
      </w:r>
      <w:proofErr w:type="gramStart"/>
      <w:r w:rsidRPr="00AA4677">
        <w:t>treated;</w:t>
      </w:r>
      <w:proofErr w:type="gramEnd"/>
    </w:p>
    <w:p w14:paraId="0BBE938A" w14:textId="77777777" w:rsidR="00BC26C0" w:rsidRPr="00AA4677" w:rsidRDefault="00BC26C0">
      <w:pPr>
        <w:numPr>
          <w:ilvl w:val="0"/>
          <w:numId w:val="174"/>
        </w:numPr>
        <w:spacing w:after="120" w:line="240" w:lineRule="auto"/>
        <w:ind w:left="360"/>
      </w:pPr>
      <w:r w:rsidRPr="00AA4677">
        <w:t>A discussion of why alternative therapies/diagnostics are unsatisfactory and why the probable risk of using the investigational device is no greater than the probable risk from the disease or condition; and</w:t>
      </w:r>
    </w:p>
    <w:p w14:paraId="292EBCD9" w14:textId="77777777" w:rsidR="00BC26C0" w:rsidRPr="00AA4677" w:rsidRDefault="00BC26C0">
      <w:pPr>
        <w:numPr>
          <w:ilvl w:val="0"/>
          <w:numId w:val="174"/>
        </w:numPr>
        <w:spacing w:after="120" w:line="240" w:lineRule="auto"/>
        <w:ind w:left="360"/>
      </w:pPr>
      <w:r w:rsidRPr="00AA4677">
        <w:t>The patient protection measures that will be followed, including:</w:t>
      </w:r>
    </w:p>
    <w:p w14:paraId="010F8EA7" w14:textId="77777777" w:rsidR="00BC26C0" w:rsidRPr="00AA4677" w:rsidRDefault="00BC26C0">
      <w:pPr>
        <w:numPr>
          <w:ilvl w:val="1"/>
          <w:numId w:val="174"/>
        </w:numPr>
        <w:spacing w:after="120" w:line="240" w:lineRule="auto"/>
        <w:ind w:left="720"/>
      </w:pPr>
      <w:r w:rsidRPr="00AA4677">
        <w:t xml:space="preserve">A draft of the informed consent document that will be </w:t>
      </w:r>
      <w:proofErr w:type="gramStart"/>
      <w:r w:rsidRPr="00AA4677">
        <w:t>used;</w:t>
      </w:r>
      <w:proofErr w:type="gramEnd"/>
    </w:p>
    <w:p w14:paraId="5397D6D0" w14:textId="77777777" w:rsidR="00BC26C0" w:rsidRPr="00AA4677" w:rsidRDefault="00BC26C0">
      <w:pPr>
        <w:numPr>
          <w:ilvl w:val="1"/>
          <w:numId w:val="174"/>
        </w:numPr>
        <w:spacing w:after="120" w:line="240" w:lineRule="auto"/>
        <w:ind w:left="720"/>
      </w:pPr>
      <w:r w:rsidRPr="00AA4677">
        <w:t xml:space="preserve">Concurrence (approval) of the IRB Chair or Chair-designated IRB member (prior to FDA request when possible); and </w:t>
      </w:r>
    </w:p>
    <w:p w14:paraId="0318D098" w14:textId="77777777" w:rsidR="00BC26C0" w:rsidRPr="00AA4677" w:rsidRDefault="00BC26C0">
      <w:pPr>
        <w:numPr>
          <w:ilvl w:val="1"/>
          <w:numId w:val="174"/>
        </w:numPr>
        <w:spacing w:after="120" w:line="240" w:lineRule="auto"/>
        <w:ind w:left="720"/>
      </w:pPr>
      <w:r w:rsidRPr="00AA4677">
        <w:t>An independent assessment from an uninvolved physician.</w:t>
      </w:r>
    </w:p>
    <w:p w14:paraId="6A070154" w14:textId="77777777" w:rsidR="00BC26C0" w:rsidRPr="00AA4677" w:rsidRDefault="00BC26C0" w:rsidP="00BC26C0">
      <w:r w:rsidRPr="00AA4677">
        <w:t>When IRB Chair approval cannot be obtained in advance of the submission to the FDA, the request should indicate that approval from the IRB Chair will be obtained prior to use of the device.  Proof of IRB Chair approval must be submitted with the follow-up report to the FDA after the patient is treated (or the diagnostic is used).</w:t>
      </w:r>
    </w:p>
    <w:p w14:paraId="29CAD081" w14:textId="77777777" w:rsidR="00BC26C0" w:rsidRPr="00AA4677" w:rsidRDefault="00BC26C0" w:rsidP="00BC26C0">
      <w:r w:rsidRPr="00AA4677">
        <w:t xml:space="preserve">When the compassionate use is conducted under an IDE, a licensed provider who receives an investigational device is an “investigator” under FDA regulations and is responsible and accountable for all applicable investigator responsibilities under </w:t>
      </w:r>
      <w:hyperlink r:id="rId107" w:history="1">
        <w:r w:rsidRPr="00AA4677">
          <w:rPr>
            <w:rStyle w:val="Hyperlink"/>
            <w:color w:val="auto"/>
            <w:u w:val="none"/>
          </w:rPr>
          <w:t>21 CFR 812</w:t>
        </w:r>
      </w:hyperlink>
      <w:r w:rsidRPr="00AA4677">
        <w:t xml:space="preserve"> (IDE regulations), </w:t>
      </w:r>
      <w:hyperlink r:id="rId108" w:history="1">
        <w:r w:rsidRPr="00AA4677">
          <w:rPr>
            <w:rStyle w:val="Hyperlink"/>
            <w:color w:val="auto"/>
            <w:u w:val="none"/>
          </w:rPr>
          <w:t>21 CFR 50</w:t>
        </w:r>
      </w:hyperlink>
      <w:r w:rsidRPr="00AA4677">
        <w:t xml:space="preserve"> (Informed Consent), and </w:t>
      </w:r>
      <w:hyperlink r:id="rId109" w:history="1">
        <w:r w:rsidRPr="00AA4677">
          <w:rPr>
            <w:rStyle w:val="Hyperlink"/>
            <w:color w:val="auto"/>
            <w:u w:val="none"/>
          </w:rPr>
          <w:t>21 CFR 56</w:t>
        </w:r>
      </w:hyperlink>
      <w:r w:rsidRPr="00AA4677">
        <w:t xml:space="preserve"> (IRB).</w:t>
      </w:r>
    </w:p>
    <w:p w14:paraId="64ADBF4D" w14:textId="010E697B" w:rsidR="00BC26C0" w:rsidRPr="00AA4677" w:rsidRDefault="00BC26C0" w:rsidP="00BC26C0">
      <w:r w:rsidRPr="00AA4677">
        <w:t xml:space="preserve">When the provider obtains an IDE for compassionate use, the provider is considered a “sponsor-investigator” and is responsible for the responsibilities of both sponsors and investigators under </w:t>
      </w:r>
      <w:hyperlink r:id="rId110" w:history="1">
        <w:r w:rsidRPr="00AA4677">
          <w:rPr>
            <w:rStyle w:val="Hyperlink"/>
            <w:color w:val="auto"/>
            <w:u w:val="none"/>
          </w:rPr>
          <w:t>21 CFR 812</w:t>
        </w:r>
      </w:hyperlink>
      <w:r w:rsidRPr="00AA4677">
        <w:rPr>
          <w:rStyle w:val="Hyperlink"/>
          <w:color w:val="auto"/>
          <w:u w:val="none"/>
        </w:rPr>
        <w:t xml:space="preserve">, </w:t>
      </w:r>
      <w:r w:rsidRPr="00AA4677">
        <w:t xml:space="preserve">as applicable, including medical device reports and progress reports . </w:t>
      </w:r>
    </w:p>
    <w:p w14:paraId="7890D006" w14:textId="77777777" w:rsidR="00BC26C0" w:rsidRPr="00AA4677" w:rsidRDefault="00BC26C0" w:rsidP="00BC26C0">
      <w:pPr>
        <w:rPr>
          <w:b/>
        </w:rPr>
      </w:pPr>
      <w:r w:rsidRPr="00AA4677">
        <w:rPr>
          <w:b/>
        </w:rPr>
        <w:t>IRB Review:</w:t>
      </w:r>
    </w:p>
    <w:p w14:paraId="66897B53" w14:textId="405717C8" w:rsidR="00BC26C0" w:rsidRPr="00AA4677" w:rsidRDefault="00BC26C0" w:rsidP="00BC26C0">
      <w:r w:rsidRPr="00AA4677">
        <w:rPr>
          <w:rFonts w:cs="Calibri"/>
        </w:rPr>
        <w:t xml:space="preserve">Unless the conditions that permit an </w:t>
      </w:r>
      <w:proofErr w:type="gramStart"/>
      <w:r w:rsidRPr="00AA4677">
        <w:rPr>
          <w:rFonts w:cs="Calibri"/>
        </w:rPr>
        <w:t>emergen</w:t>
      </w:r>
      <w:r w:rsidR="00601A02" w:rsidRPr="00AA4677">
        <w:rPr>
          <w:rFonts w:cs="Calibri"/>
        </w:rPr>
        <w:t>cy</w:t>
      </w:r>
      <w:proofErr w:type="gramEnd"/>
      <w:r w:rsidR="00601A02" w:rsidRPr="00AA4677">
        <w:rPr>
          <w:rFonts w:cs="Calibri"/>
        </w:rPr>
        <w:t xml:space="preserve"> use exemption are satisfied, </w:t>
      </w:r>
      <w:r w:rsidRPr="00AA4677">
        <w:t xml:space="preserve">IRB approval must be obtained prior to initiating treatment with the investigational device.  When the request is for </w:t>
      </w:r>
      <w:r w:rsidRPr="00AA4677">
        <w:lastRenderedPageBreak/>
        <w:t xml:space="preserve">single-patient compassionate use, the review may be conducted by the IRB Chair (or </w:t>
      </w:r>
      <w:proofErr w:type="gramStart"/>
      <w:r w:rsidRPr="00AA4677">
        <w:t>designee</w:t>
      </w:r>
      <w:proofErr w:type="gramEnd"/>
      <w:r w:rsidRPr="00AA4677">
        <w:t xml:space="preserve">).  Otherwise, the review must be conducted by the convened IRB.  </w:t>
      </w:r>
    </w:p>
    <w:p w14:paraId="434D16D0" w14:textId="77777777" w:rsidR="00BC26C0" w:rsidRPr="00AA4677" w:rsidRDefault="00BC26C0" w:rsidP="00BC26C0">
      <w:r w:rsidRPr="00AA4677">
        <w:t xml:space="preserve">Physicians using medical </w:t>
      </w:r>
      <w:r w:rsidRPr="00AA4677">
        <w:rPr>
          <w:noProof/>
        </w:rPr>
        <w:t>devices under</w:t>
      </w:r>
      <w:r w:rsidRPr="00AA4677">
        <w:t xml:space="preserve"> compassionate use should develop and submit an appropriate plan and schedule for treating and monitoring the patient, taking into consideration the nature of the device and the needs of the patient.  The plan should include monitoring to detect any possible problems arising from the use of the device.  </w:t>
      </w:r>
    </w:p>
    <w:p w14:paraId="7F710678" w14:textId="5E44F530" w:rsidR="00BC26C0" w:rsidRPr="00AA4677" w:rsidRDefault="00BC26C0" w:rsidP="00BC26C0">
      <w:pPr>
        <w:rPr>
          <w:rFonts w:cs="Calibri"/>
        </w:rPr>
      </w:pPr>
      <w:r w:rsidRPr="00AA4677">
        <w:t xml:space="preserve">Standard submission procedures for initial approval of research should be followed. </w:t>
      </w:r>
      <w:r w:rsidR="006B628B" w:rsidRPr="00AA4677">
        <w:rPr>
          <w:rFonts w:cs="Calibri"/>
        </w:rPr>
        <w:t xml:space="preserve"> The following should be</w:t>
      </w:r>
      <w:r w:rsidRPr="00AA4677">
        <w:rPr>
          <w:rFonts w:cs="Calibri"/>
        </w:rPr>
        <w:t xml:space="preserve"> include</w:t>
      </w:r>
      <w:r w:rsidR="006B628B" w:rsidRPr="00AA4677">
        <w:rPr>
          <w:rFonts w:cs="Calibri"/>
        </w:rPr>
        <w:t>d</w:t>
      </w:r>
      <w:r w:rsidRPr="00AA4677">
        <w:rPr>
          <w:rFonts w:cs="Calibri"/>
        </w:rPr>
        <w:t xml:space="preserve">, via the electronic management system:  </w:t>
      </w:r>
    </w:p>
    <w:p w14:paraId="2E1232CA" w14:textId="77777777" w:rsidR="00BC26C0" w:rsidRPr="00AA4677" w:rsidRDefault="00BC26C0">
      <w:pPr>
        <w:numPr>
          <w:ilvl w:val="0"/>
          <w:numId w:val="177"/>
        </w:numPr>
        <w:spacing w:after="120" w:line="240" w:lineRule="auto"/>
        <w:ind w:left="360"/>
        <w:rPr>
          <w:rFonts w:ascii="Times New Roman" w:hAnsi="Times New Roman"/>
        </w:rPr>
      </w:pPr>
      <w:r w:rsidRPr="00AA4677">
        <w:t>A copy of the information submitted to the FDA (and FDA approval, if available</w:t>
      </w:r>
      <w:proofErr w:type="gramStart"/>
      <w:r w:rsidRPr="00AA4677">
        <w:t>);</w:t>
      </w:r>
      <w:proofErr w:type="gramEnd"/>
    </w:p>
    <w:p w14:paraId="0B333957" w14:textId="77777777" w:rsidR="00BC26C0" w:rsidRPr="00AA4677" w:rsidRDefault="00BC26C0">
      <w:pPr>
        <w:numPr>
          <w:ilvl w:val="0"/>
          <w:numId w:val="177"/>
        </w:numPr>
        <w:spacing w:after="120" w:line="240" w:lineRule="auto"/>
        <w:ind w:left="360"/>
        <w:rPr>
          <w:rFonts w:ascii="Times New Roman" w:hAnsi="Times New Roman" w:cs="Times New Roman"/>
        </w:rPr>
      </w:pPr>
      <w:r w:rsidRPr="00AA4677">
        <w:t xml:space="preserve">A copy of the device brochure, Instructions for Use, or other similar documentation </w:t>
      </w:r>
      <w:r w:rsidRPr="00AA4677">
        <w:rPr>
          <w:rFonts w:cs="Calibri"/>
        </w:rPr>
        <w:t xml:space="preserve">that provides information regarding the potential risks and benefits of the </w:t>
      </w:r>
      <w:proofErr w:type="gramStart"/>
      <w:r w:rsidRPr="00AA4677">
        <w:rPr>
          <w:rFonts w:cs="Calibri"/>
        </w:rPr>
        <w:t>device;</w:t>
      </w:r>
      <w:proofErr w:type="gramEnd"/>
    </w:p>
    <w:p w14:paraId="472B7CCC" w14:textId="77777777" w:rsidR="00BC26C0" w:rsidRPr="00AA4677" w:rsidRDefault="00BC26C0">
      <w:pPr>
        <w:numPr>
          <w:ilvl w:val="0"/>
          <w:numId w:val="177"/>
        </w:numPr>
        <w:spacing w:after="120" w:line="240" w:lineRule="auto"/>
        <w:ind w:left="360"/>
        <w:rPr>
          <w:rFonts w:cs="Calibri"/>
        </w:rPr>
      </w:pPr>
      <w:r w:rsidRPr="00AA4677">
        <w:rPr>
          <w:rFonts w:cs="Calibri"/>
        </w:rPr>
        <w:t xml:space="preserve">A copy of the plan for treating and monitoring the patient; and </w:t>
      </w:r>
    </w:p>
    <w:p w14:paraId="6A5F6ECE" w14:textId="77777777" w:rsidR="00BC26C0" w:rsidRPr="00AA4677" w:rsidRDefault="00BC26C0">
      <w:pPr>
        <w:numPr>
          <w:ilvl w:val="0"/>
          <w:numId w:val="177"/>
        </w:numPr>
        <w:spacing w:after="120" w:line="240" w:lineRule="auto"/>
        <w:ind w:left="360"/>
        <w:rPr>
          <w:rFonts w:ascii="Times New Roman" w:hAnsi="Times New Roman"/>
        </w:rPr>
      </w:pPr>
      <w:r w:rsidRPr="00AA4677">
        <w:t>A copy of the draft informed consent document.</w:t>
      </w:r>
    </w:p>
    <w:p w14:paraId="2FD69094" w14:textId="2435F962" w:rsidR="00F463AC" w:rsidRPr="00AA4677" w:rsidRDefault="00BC26C0" w:rsidP="00BC26C0">
      <w:pPr>
        <w:rPr>
          <w:rFonts w:cs="Calibri"/>
        </w:rPr>
      </w:pPr>
      <w:r w:rsidRPr="00AA4677">
        <w:rPr>
          <w:rFonts w:cs="Calibri"/>
        </w:rPr>
        <w:t>The IRB may review the expanded access application prior to FDA approval being received but may condition approval upon receipt of FDA approval.  The IRB will provide the investigator with written documentatio</w:t>
      </w:r>
      <w:r w:rsidR="001D3801" w:rsidRPr="00AA4677">
        <w:rPr>
          <w:rFonts w:cs="Calibri"/>
        </w:rPr>
        <w:t>n of its review.</w:t>
      </w:r>
    </w:p>
    <w:p w14:paraId="0616AB02" w14:textId="2369E082" w:rsidR="00BC26C0" w:rsidRPr="00AA4677" w:rsidRDefault="00BC26C0" w:rsidP="00BC26C0">
      <w:pPr>
        <w:rPr>
          <w:b/>
        </w:rPr>
      </w:pPr>
      <w:r w:rsidRPr="00AA4677">
        <w:rPr>
          <w:b/>
        </w:rPr>
        <w:t>Post-Approval Requirements</w:t>
      </w:r>
    </w:p>
    <w:p w14:paraId="2EAB329C" w14:textId="77777777" w:rsidR="00BC26C0" w:rsidRPr="00AA4677" w:rsidRDefault="00BC26C0" w:rsidP="00BC26C0">
      <w:pPr>
        <w:rPr>
          <w:rFonts w:eastAsia="Arial Unicode MS"/>
          <w:i/>
        </w:rPr>
      </w:pPr>
      <w:r w:rsidRPr="00AA4677">
        <w:t xml:space="preserve">Investigators are responsible for complying with any sponsor or FDA reporting requirements.  The post-approval requirements for research described throughout this manual apply, including, but not limited to, prospective IRB approval of any proposed modifications to the plan or materials approved by the IRB unless the change is necessary to eliminate apparent immediate hazard to the subject (in which case it must be promptly reported), reporting of unanticipated problems, noncompliance, complaints, and other reportable information, and for continuing review and study closure, as applicable.  </w:t>
      </w:r>
      <w:r w:rsidRPr="00AA4677">
        <w:rPr>
          <w:b/>
        </w:rPr>
        <w:t>Additionally</w:t>
      </w:r>
      <w:r w:rsidRPr="00AA4677">
        <w:t xml:space="preserve">, </w:t>
      </w:r>
      <w:r w:rsidRPr="00AA4677">
        <w:rPr>
          <w:rFonts w:eastAsia="Arial Unicode MS"/>
        </w:rPr>
        <w:t xml:space="preserve">a </w:t>
      </w:r>
      <w:r w:rsidRPr="00AA4677">
        <w:rPr>
          <w:rFonts w:eastAsia="Arial Unicode MS"/>
          <w:noProof/>
        </w:rPr>
        <w:t>follow-up</w:t>
      </w:r>
      <w:r w:rsidRPr="00AA4677">
        <w:rPr>
          <w:rFonts w:eastAsia="Arial Unicode MS"/>
        </w:rPr>
        <w:t xml:space="preserve"> report to the FDA </w:t>
      </w:r>
      <w:r w:rsidRPr="00AA4677">
        <w:rPr>
          <w:rFonts w:eastAsia="Arial Unicode MS"/>
          <w:noProof/>
        </w:rPr>
        <w:t>is required</w:t>
      </w:r>
      <w:r w:rsidRPr="00AA4677">
        <w:rPr>
          <w:rFonts w:eastAsia="Arial Unicode MS"/>
        </w:rPr>
        <w:t xml:space="preserve"> following a compassionate use by </w:t>
      </w:r>
      <w:r w:rsidRPr="00AA4677">
        <w:rPr>
          <w:rFonts w:eastAsia="Arial Unicode MS"/>
          <w:noProof/>
        </w:rPr>
        <w:t>whomever</w:t>
      </w:r>
      <w:r w:rsidRPr="00AA4677">
        <w:rPr>
          <w:rFonts w:eastAsia="Arial Unicode MS"/>
        </w:rPr>
        <w:t xml:space="preserve"> submitted the original request to the FDA. The report should include summary information regarding patient </w:t>
      </w:r>
      <w:proofErr w:type="gramStart"/>
      <w:r w:rsidRPr="00AA4677">
        <w:rPr>
          <w:rFonts w:eastAsia="Arial Unicode MS"/>
        </w:rPr>
        <w:t>outcome</w:t>
      </w:r>
      <w:proofErr w:type="gramEnd"/>
      <w:r w:rsidRPr="00AA4677">
        <w:rPr>
          <w:rFonts w:eastAsia="Arial Unicode MS"/>
        </w:rPr>
        <w:t xml:space="preserve"> and any problems that occurred </w:t>
      </w:r>
      <w:proofErr w:type="gramStart"/>
      <w:r w:rsidRPr="00AA4677">
        <w:rPr>
          <w:rFonts w:eastAsia="Arial Unicode MS"/>
        </w:rPr>
        <w:t>as a result of</w:t>
      </w:r>
      <w:proofErr w:type="gramEnd"/>
      <w:r w:rsidRPr="00AA4677">
        <w:rPr>
          <w:rFonts w:eastAsia="Arial Unicode MS"/>
        </w:rPr>
        <w:t xml:space="preserve"> the device. </w:t>
      </w:r>
      <w:r w:rsidRPr="00AA4677">
        <w:t xml:space="preserve">A copy of the </w:t>
      </w:r>
      <w:r w:rsidRPr="00AA4677">
        <w:rPr>
          <w:noProof/>
        </w:rPr>
        <w:t>follow-up</w:t>
      </w:r>
      <w:r w:rsidRPr="00AA4677">
        <w:t xml:space="preserve"> report to the FDA and any other post-approval submissions or reports to the FDA must be submitted to the IRB within 7 business days of the date of submission to the FDA.  </w:t>
      </w:r>
    </w:p>
    <w:p w14:paraId="78C15E10" w14:textId="61F2EDCB" w:rsidR="00BC26C0" w:rsidRPr="00AA4677" w:rsidRDefault="00BC26C0" w:rsidP="001D3801">
      <w:pPr>
        <w:pStyle w:val="Heading4"/>
      </w:pPr>
      <w:r w:rsidRPr="00AA4677">
        <w:t>Treatment Use of Investigational/Unapproved Medical Devices</w:t>
      </w:r>
    </w:p>
    <w:p w14:paraId="2D429263" w14:textId="77777777" w:rsidR="00BC26C0" w:rsidRPr="00AA4677" w:rsidRDefault="00BC26C0" w:rsidP="00BC26C0">
      <w:proofErr w:type="gramStart"/>
      <w:r w:rsidRPr="00AA4677">
        <w:lastRenderedPageBreak/>
        <w:t>During the course of</w:t>
      </w:r>
      <w:proofErr w:type="gramEnd"/>
      <w:r w:rsidRPr="00AA4677">
        <w:t xml:space="preserve"> a clinical trial under an IDE, if the data </w:t>
      </w:r>
      <w:proofErr w:type="gramStart"/>
      <w:r w:rsidRPr="00AA4677">
        <w:t>suggest</w:t>
      </w:r>
      <w:proofErr w:type="gramEnd"/>
      <w:r w:rsidRPr="00AA4677">
        <w:t xml:space="preserve"> that the device under study is effective, the trial may be expanded to include additional patients with life-threatening or serious diseases under the Treatment Use provision for expanded access.  “Treatment Use” also applies to the use of a device for diagnostic purposes under these same conditions. [</w:t>
      </w:r>
      <w:hyperlink r:id="rId111" w:history="1">
        <w:r w:rsidRPr="00AA4677">
          <w:rPr>
            <w:rStyle w:val="Hyperlink"/>
            <w:color w:val="auto"/>
            <w:u w:val="none"/>
          </w:rPr>
          <w:t>21 CFR 812.36</w:t>
        </w:r>
      </w:hyperlink>
      <w:r w:rsidRPr="00AA4677">
        <w:t>]</w:t>
      </w:r>
    </w:p>
    <w:p w14:paraId="6DF69C21" w14:textId="77777777" w:rsidR="00BC26C0" w:rsidRPr="00AA4677" w:rsidRDefault="00BC26C0" w:rsidP="00BC26C0">
      <w:r w:rsidRPr="00AA4677">
        <w:t>The following criteria must be satisfied for Treatment Use to apply:</w:t>
      </w:r>
    </w:p>
    <w:p w14:paraId="28D098B9" w14:textId="77777777" w:rsidR="00BC26C0" w:rsidRPr="00AA4677" w:rsidRDefault="00BC26C0">
      <w:pPr>
        <w:numPr>
          <w:ilvl w:val="0"/>
          <w:numId w:val="175"/>
        </w:numPr>
        <w:spacing w:after="120" w:line="240" w:lineRule="auto"/>
        <w:ind w:left="360"/>
      </w:pPr>
      <w:r w:rsidRPr="00AA4677">
        <w:t xml:space="preserve">The device is intended to treat or diagnose a serious or immediately life-threatening disease or </w:t>
      </w:r>
      <w:proofErr w:type="gramStart"/>
      <w:r w:rsidRPr="00AA4677">
        <w:t>condition;</w:t>
      </w:r>
      <w:proofErr w:type="gramEnd"/>
    </w:p>
    <w:p w14:paraId="657FB910" w14:textId="77777777" w:rsidR="00BC26C0" w:rsidRPr="00AA4677" w:rsidRDefault="00BC26C0">
      <w:pPr>
        <w:numPr>
          <w:ilvl w:val="0"/>
          <w:numId w:val="175"/>
        </w:numPr>
        <w:spacing w:after="120" w:line="240" w:lineRule="auto"/>
        <w:ind w:left="360"/>
      </w:pPr>
      <w:r w:rsidRPr="00AA4677">
        <w:t xml:space="preserve">There is no comparable or satisfactory alternative device available to treat or diagnose the disease or condition in the intended patient </w:t>
      </w:r>
      <w:proofErr w:type="gramStart"/>
      <w:r w:rsidRPr="00AA4677">
        <w:t>population;</w:t>
      </w:r>
      <w:proofErr w:type="gramEnd"/>
    </w:p>
    <w:p w14:paraId="6FEB7C11" w14:textId="77777777" w:rsidR="00BC26C0" w:rsidRPr="00AA4677" w:rsidRDefault="00BC26C0">
      <w:pPr>
        <w:numPr>
          <w:ilvl w:val="0"/>
          <w:numId w:val="175"/>
        </w:numPr>
        <w:spacing w:after="120" w:line="240" w:lineRule="auto"/>
        <w:ind w:left="360"/>
      </w:pPr>
      <w:r w:rsidRPr="00AA4677">
        <w:t xml:space="preserve">The device is under investigation in a controlled clinical trial for the same use under an approved IDE, or all clinical trials have been completed; and </w:t>
      </w:r>
    </w:p>
    <w:p w14:paraId="38038F8A" w14:textId="77777777" w:rsidR="00BC26C0" w:rsidRPr="00AA4677" w:rsidRDefault="00BC26C0">
      <w:pPr>
        <w:numPr>
          <w:ilvl w:val="0"/>
          <w:numId w:val="175"/>
        </w:numPr>
        <w:spacing w:after="120" w:line="240" w:lineRule="auto"/>
        <w:ind w:left="360"/>
      </w:pPr>
      <w:r w:rsidRPr="00AA4677">
        <w:t>The sponsor of the controlled clinical trial is pursuing marketing approval/clearance of the investigational device with due diligence.</w:t>
      </w:r>
    </w:p>
    <w:p w14:paraId="7BA6623E" w14:textId="77777777" w:rsidR="00BC26C0" w:rsidRPr="00AA4677" w:rsidRDefault="00BC26C0" w:rsidP="00BC26C0">
      <w:r w:rsidRPr="00AA4677">
        <w:t>The IDE sponsor is responsible for applying for a Treatment Use IDE.</w:t>
      </w:r>
    </w:p>
    <w:p w14:paraId="51B5F1E0" w14:textId="5A88F730" w:rsidR="00F463AC" w:rsidRPr="00AA4677" w:rsidRDefault="00BC26C0" w:rsidP="00BC26C0">
      <w:r w:rsidRPr="00AA4677">
        <w:t xml:space="preserve">A licensed provider who receives an investigational device for treatment use under a Treatment Use IDE is an “investigator” under FDA regulations and is responsible and accountable for all applicable investigator responsibilities under </w:t>
      </w:r>
      <w:hyperlink r:id="rId112" w:history="1">
        <w:r w:rsidRPr="00AA4677">
          <w:rPr>
            <w:rStyle w:val="Hyperlink"/>
            <w:color w:val="auto"/>
            <w:u w:val="none"/>
          </w:rPr>
          <w:t>21 CFR 812</w:t>
        </w:r>
      </w:hyperlink>
      <w:r w:rsidRPr="00AA4677">
        <w:t xml:space="preserve"> (IDE regulations), </w:t>
      </w:r>
      <w:hyperlink r:id="rId113" w:history="1">
        <w:r w:rsidRPr="00AA4677">
          <w:rPr>
            <w:rStyle w:val="Hyperlink"/>
            <w:color w:val="auto"/>
            <w:u w:val="none"/>
          </w:rPr>
          <w:t>21 CFR 50</w:t>
        </w:r>
      </w:hyperlink>
      <w:r w:rsidRPr="00AA4677">
        <w:t xml:space="preserve"> (Informed Consent), and </w:t>
      </w:r>
      <w:hyperlink r:id="rId114" w:history="1">
        <w:r w:rsidRPr="00AA4677">
          <w:rPr>
            <w:rStyle w:val="Hyperlink"/>
            <w:color w:val="auto"/>
            <w:u w:val="none"/>
          </w:rPr>
          <w:t>21 CFR 56</w:t>
        </w:r>
      </w:hyperlink>
      <w:r w:rsidR="001D3801" w:rsidRPr="00AA4677">
        <w:t xml:space="preserve"> (IRB).</w:t>
      </w:r>
    </w:p>
    <w:p w14:paraId="4A576F75" w14:textId="5A3CF59A" w:rsidR="00BC26C0" w:rsidRPr="00AA4677" w:rsidRDefault="00BC26C0" w:rsidP="00BC26C0">
      <w:pPr>
        <w:rPr>
          <w:b/>
        </w:rPr>
      </w:pPr>
      <w:r w:rsidRPr="00AA4677">
        <w:rPr>
          <w:b/>
        </w:rPr>
        <w:t>IRB Review</w:t>
      </w:r>
    </w:p>
    <w:p w14:paraId="175BC78E" w14:textId="77777777" w:rsidR="00BC26C0" w:rsidRPr="00AA4677" w:rsidRDefault="00BC26C0" w:rsidP="00BC26C0">
      <w:r w:rsidRPr="00AA4677">
        <w:t xml:space="preserve">IRB approval is required before the investigational device/diagnostic is used.  Standard submission procedures for approval of initial research should be followed.   </w:t>
      </w:r>
    </w:p>
    <w:p w14:paraId="37034337" w14:textId="77777777" w:rsidR="00BC26C0" w:rsidRPr="00AA4677" w:rsidRDefault="00BC26C0" w:rsidP="00BC26C0">
      <w:pPr>
        <w:rPr>
          <w:b/>
        </w:rPr>
      </w:pPr>
      <w:r w:rsidRPr="00AA4677">
        <w:rPr>
          <w:b/>
        </w:rPr>
        <w:t>Post-Approval Requirements</w:t>
      </w:r>
    </w:p>
    <w:p w14:paraId="13366A67" w14:textId="77777777" w:rsidR="00BC26C0" w:rsidRPr="00AA4677" w:rsidRDefault="00BC26C0" w:rsidP="00BC26C0">
      <w:r w:rsidRPr="00AA4677">
        <w:t xml:space="preserve">Investigators are responsible for complying with any sponsor or FDA reporting requirements.  The post-approval requirements for research described throughout this manual apply, including, but not limited to, prospective IRB approval of any proposed modifications to the plan or materials approved by the IRB unless the change is necessary to eliminate apparent immediate hazard to the subject (in which case it must be promptly reported), for reporting of unanticipated problems, noncompliance, complaints, and other reportable information, and for continuing review and study closure, as applicable.  </w:t>
      </w:r>
      <w:r w:rsidRPr="00AA4677">
        <w:rPr>
          <w:b/>
        </w:rPr>
        <w:t>Additionally</w:t>
      </w:r>
      <w:r w:rsidRPr="00AA4677">
        <w:t>, the semi-annual (applicable until the marketing application is filed) or annual (applicable after the marketing application is filed) progress report from the sponsor must be submitted to the IRB within 7 business days of receipt.</w:t>
      </w:r>
    </w:p>
    <w:p w14:paraId="299CA798" w14:textId="4093473A" w:rsidR="00BC26C0" w:rsidRPr="00AA4677" w:rsidRDefault="00BC26C0" w:rsidP="001D3801">
      <w:pPr>
        <w:pStyle w:val="Heading4"/>
      </w:pPr>
      <w:r w:rsidRPr="00AA4677">
        <w:lastRenderedPageBreak/>
        <w:t>Emergency Use of Investigational Devices</w:t>
      </w:r>
    </w:p>
    <w:p w14:paraId="79D63234" w14:textId="77777777" w:rsidR="00BC26C0" w:rsidRPr="00AA4677" w:rsidRDefault="00BC26C0" w:rsidP="00BC26C0">
      <w:r w:rsidRPr="00AA4677">
        <w:t xml:space="preserve">FDA regulations permit the </w:t>
      </w:r>
      <w:hyperlink r:id="rId115" w:anchor="emergency" w:history="1">
        <w:r w:rsidRPr="00AA4677">
          <w:rPr>
            <w:rStyle w:val="Hyperlink"/>
            <w:color w:val="auto"/>
            <w:u w:val="none"/>
          </w:rPr>
          <w:t>emergency use of an investigational or unapproved device</w:t>
        </w:r>
      </w:hyperlink>
      <w:r w:rsidRPr="00AA4677">
        <w:t xml:space="preserve"> without prior approval by the FDA or IRB when an appropriately trained and licensed health care provider determines that:</w:t>
      </w:r>
    </w:p>
    <w:p w14:paraId="2950F9BD" w14:textId="77777777" w:rsidR="00BC26C0" w:rsidRPr="00AA4677" w:rsidRDefault="00BC26C0">
      <w:pPr>
        <w:numPr>
          <w:ilvl w:val="0"/>
          <w:numId w:val="182"/>
        </w:numPr>
        <w:spacing w:after="120" w:line="240" w:lineRule="auto"/>
        <w:ind w:left="360"/>
      </w:pPr>
      <w:r w:rsidRPr="00AA4677">
        <w:t xml:space="preserve">The patient has a life-threatening or serious disease or condition that needs immediate </w:t>
      </w:r>
      <w:proofErr w:type="gramStart"/>
      <w:r w:rsidRPr="00AA4677">
        <w:t>treatment;</w:t>
      </w:r>
      <w:proofErr w:type="gramEnd"/>
    </w:p>
    <w:p w14:paraId="2289A373" w14:textId="77777777" w:rsidR="00BC26C0" w:rsidRPr="00AA4677" w:rsidRDefault="00BC26C0">
      <w:pPr>
        <w:numPr>
          <w:ilvl w:val="0"/>
          <w:numId w:val="182"/>
        </w:numPr>
        <w:spacing w:after="120" w:line="240" w:lineRule="auto"/>
        <w:ind w:left="360"/>
      </w:pPr>
      <w:r w:rsidRPr="00AA4677">
        <w:t>No generally acceptable alternative treatment for the condition exists; and</w:t>
      </w:r>
    </w:p>
    <w:p w14:paraId="155039D0" w14:textId="77777777" w:rsidR="00BC26C0" w:rsidRPr="00AA4677" w:rsidRDefault="00BC26C0">
      <w:pPr>
        <w:numPr>
          <w:ilvl w:val="0"/>
          <w:numId w:val="182"/>
        </w:numPr>
        <w:spacing w:after="120" w:line="240" w:lineRule="auto"/>
        <w:ind w:left="360"/>
      </w:pPr>
      <w:r w:rsidRPr="00AA4677">
        <w:t>Because of the immediate need to use the device, there is no time to use existing procedures to obtain FDA approval for the use.</w:t>
      </w:r>
    </w:p>
    <w:p w14:paraId="41C69B88" w14:textId="77777777" w:rsidR="00BC26C0" w:rsidRPr="00AA4677" w:rsidRDefault="00BC26C0" w:rsidP="00BC26C0">
      <w:r w:rsidRPr="00AA4677">
        <w:t xml:space="preserve">FDA expects the provider to make the determination that the above criteria are satisfied, to assess the potential for benefit from the use of the unapproved device, and to have substantial reason to believe that benefits will exist.  Because prior FDA approval is not required, FDA expects providers </w:t>
      </w:r>
      <w:proofErr w:type="gramStart"/>
      <w:r w:rsidRPr="00AA4677">
        <w:t>planning</w:t>
      </w:r>
      <w:proofErr w:type="gramEnd"/>
      <w:r w:rsidRPr="00AA4677">
        <w:t xml:space="preserve"> the emergency use of an investigational device to obtain as many of the following as possible:</w:t>
      </w:r>
    </w:p>
    <w:p w14:paraId="7B49885E" w14:textId="77777777" w:rsidR="00BC26C0" w:rsidRPr="00AA4677" w:rsidRDefault="00BC26C0">
      <w:pPr>
        <w:numPr>
          <w:ilvl w:val="0"/>
          <w:numId w:val="183"/>
        </w:numPr>
        <w:spacing w:after="120" w:line="240" w:lineRule="auto"/>
        <w:ind w:left="360"/>
      </w:pPr>
      <w:r w:rsidRPr="00AA4677">
        <w:t xml:space="preserve">An independent assessment from an uninvolved </w:t>
      </w:r>
      <w:proofErr w:type="gramStart"/>
      <w:r w:rsidRPr="00AA4677">
        <w:t>physician;</w:t>
      </w:r>
      <w:proofErr w:type="gramEnd"/>
    </w:p>
    <w:p w14:paraId="4F0187CB" w14:textId="77777777" w:rsidR="00BC26C0" w:rsidRPr="00AA4677" w:rsidRDefault="00BC26C0">
      <w:pPr>
        <w:numPr>
          <w:ilvl w:val="0"/>
          <w:numId w:val="183"/>
        </w:numPr>
        <w:spacing w:after="120" w:line="240" w:lineRule="auto"/>
        <w:ind w:left="360"/>
      </w:pPr>
      <w:r w:rsidRPr="00AA4677">
        <w:t xml:space="preserve">Authorization from the device </w:t>
      </w:r>
      <w:proofErr w:type="gramStart"/>
      <w:r w:rsidRPr="00AA4677">
        <w:t>manufacturer;</w:t>
      </w:r>
      <w:proofErr w:type="gramEnd"/>
    </w:p>
    <w:p w14:paraId="08C34427" w14:textId="77777777" w:rsidR="00BC26C0" w:rsidRPr="00AA4677" w:rsidRDefault="00BC26C0">
      <w:pPr>
        <w:numPr>
          <w:ilvl w:val="0"/>
          <w:numId w:val="183"/>
        </w:numPr>
        <w:spacing w:after="120" w:line="240" w:lineRule="auto"/>
        <w:ind w:left="360"/>
      </w:pPr>
      <w:r w:rsidRPr="00AA4677">
        <w:t xml:space="preserve">Concurrence of the IRB Chair or </w:t>
      </w:r>
      <w:proofErr w:type="gramStart"/>
      <w:r w:rsidRPr="00AA4677">
        <w:t>designee;</w:t>
      </w:r>
      <w:proofErr w:type="gramEnd"/>
    </w:p>
    <w:p w14:paraId="461A31A2" w14:textId="77777777" w:rsidR="00BC26C0" w:rsidRPr="00AA4677" w:rsidRDefault="00BC26C0">
      <w:pPr>
        <w:numPr>
          <w:ilvl w:val="0"/>
          <w:numId w:val="183"/>
        </w:numPr>
        <w:spacing w:after="120" w:line="240" w:lineRule="auto"/>
        <w:ind w:left="360"/>
      </w:pPr>
      <w:r w:rsidRPr="00AA4677">
        <w:t xml:space="preserve">Institutional clearance; and </w:t>
      </w:r>
    </w:p>
    <w:p w14:paraId="75EEE6CB" w14:textId="77777777" w:rsidR="00BC26C0" w:rsidRPr="00AA4677" w:rsidRDefault="00BC26C0">
      <w:pPr>
        <w:numPr>
          <w:ilvl w:val="0"/>
          <w:numId w:val="183"/>
        </w:numPr>
        <w:spacing w:after="120" w:line="240" w:lineRule="auto"/>
        <w:ind w:left="360"/>
      </w:pPr>
      <w:r w:rsidRPr="00AA4677">
        <w:t>Informed consent from the patient or legally authorized representative.</w:t>
      </w:r>
    </w:p>
    <w:p w14:paraId="6918FCDE" w14:textId="77777777" w:rsidR="00BC26C0" w:rsidRPr="00AA4677" w:rsidRDefault="00BC26C0" w:rsidP="00BC26C0">
      <w:r w:rsidRPr="00AA4677">
        <w:t>At SBU, providers planning the emergency use of an investigational or unapproved device must contact the ORC as early in the process as possible and submit the justification for the use and above assessment/concurrence/clearances for review by the IRB Chair or designee.  The IRB Chair or designee will review the information provided and determine whether the use conforms with FDA’s requirements and expectations and whether the provisions for the protection of the patient appear adequate using the applicable criteria at 21 CFR 50 and 56 as guidelines (e.g., minimization of risks, risk/benefit, safety monitoring, informed consent, etc.).</w:t>
      </w:r>
    </w:p>
    <w:p w14:paraId="7EA9CC0D" w14:textId="77777777" w:rsidR="00BC26C0" w:rsidRPr="00AA4677" w:rsidRDefault="00BC26C0" w:rsidP="00BC26C0">
      <w:r w:rsidRPr="00AA4677">
        <w:t xml:space="preserve">The emergency use must be reported to the FDA by the IDE Sponsor, when one exists, or by the provider if no IDE exists.  Information regarding what to include in the report and where to submit it is available on </w:t>
      </w:r>
      <w:hyperlink r:id="rId116" w:anchor="emergency" w:history="1">
        <w:r w:rsidRPr="00AA4677">
          <w:rPr>
            <w:rStyle w:val="Hyperlink"/>
            <w:color w:val="auto"/>
            <w:u w:val="none"/>
          </w:rPr>
          <w:t>FDA’s website</w:t>
        </w:r>
      </w:hyperlink>
      <w:r w:rsidRPr="00AA4677">
        <w:t>.  When the provider is responsible for the FDA report, a copy of the report and any related correspondence must be submitted to ORC.</w:t>
      </w:r>
    </w:p>
    <w:p w14:paraId="53061525" w14:textId="59DC8C5D" w:rsidR="00BC26C0" w:rsidRPr="00AA4677" w:rsidRDefault="00BC26C0" w:rsidP="00BC26C0">
      <w:r w:rsidRPr="00AA4677">
        <w:t>Reports of</w:t>
      </w:r>
      <w:r w:rsidR="00CA5F06" w:rsidRPr="00AA4677">
        <w:t xml:space="preserve"> emergency use</w:t>
      </w:r>
      <w:r w:rsidRPr="00AA4677">
        <w:t xml:space="preserve"> will be brought to the convened IRB for their information.</w:t>
      </w:r>
    </w:p>
    <w:p w14:paraId="2B660130" w14:textId="77777777" w:rsidR="00BC26C0" w:rsidRPr="00AA4677" w:rsidRDefault="00BC26C0" w:rsidP="00BC26C0">
      <w:r w:rsidRPr="00AA4677">
        <w:lastRenderedPageBreak/>
        <w:t>Providers are reminded that they must comply with all other organizational policies and requirements applicable to the use of the investigational or unapproved devices.</w:t>
      </w:r>
    </w:p>
    <w:p w14:paraId="034852A0" w14:textId="59696154" w:rsidR="00BC26C0" w:rsidRPr="00AA4677" w:rsidRDefault="006B628B" w:rsidP="00696B35">
      <w:pPr>
        <w:pStyle w:val="Heading2"/>
      </w:pPr>
      <w:bookmarkStart w:id="262" w:name="_Toc493413304"/>
      <w:bookmarkStart w:id="263" w:name="_Toc493418074"/>
      <w:bookmarkStart w:id="264" w:name="_Toc523233360"/>
      <w:bookmarkStart w:id="265" w:name="_Toc192678226"/>
      <w:proofErr w:type="gramStart"/>
      <w:r w:rsidRPr="00AA4677">
        <w:t xml:space="preserve">7.6  </w:t>
      </w:r>
      <w:r w:rsidR="00BC26C0" w:rsidRPr="00AA4677">
        <w:t>Charging</w:t>
      </w:r>
      <w:proofErr w:type="gramEnd"/>
      <w:r w:rsidR="00BC26C0" w:rsidRPr="00AA4677">
        <w:t xml:space="preserve"> Subjects for Investigational Products</w:t>
      </w:r>
      <w:bookmarkEnd w:id="262"/>
      <w:bookmarkEnd w:id="263"/>
      <w:bookmarkEnd w:id="264"/>
      <w:bookmarkEnd w:id="265"/>
    </w:p>
    <w:p w14:paraId="7522E429" w14:textId="77777777" w:rsidR="007D2E3C" w:rsidRPr="00AA4677" w:rsidRDefault="007D2E3C" w:rsidP="00696B35">
      <w:pPr>
        <w:pStyle w:val="Heading2"/>
      </w:pPr>
    </w:p>
    <w:p w14:paraId="089682D8" w14:textId="77777777" w:rsidR="00BC26C0" w:rsidRPr="00AA4677" w:rsidRDefault="00BC26C0" w:rsidP="00BC26C0">
      <w:r w:rsidRPr="00AA4677">
        <w:t>FDA regulations do not prohibit charging subjects or their insurers for investigational products so long as those charges comply with specified criteria. FDA approval of such charges does not obviate the investigator’s and IRB’s responsibility to minimize risks to subjects (Beneficence), to ensure that the risks and burdens associated with research are equitably distributed (Justice), and to ensure that subjects are properly informed and not unduly influenced to accept an otherwise unacceptable risk or cost in order to access a benefit (Respect for Persons).  Any costs to subjects or insurers must be described in the IRB application and informed consent document.</w:t>
      </w:r>
    </w:p>
    <w:p w14:paraId="11264D39" w14:textId="7C2B9ED3" w:rsidR="00BC26C0" w:rsidRPr="00AA4677" w:rsidRDefault="006B628B" w:rsidP="00C57C98">
      <w:pPr>
        <w:pStyle w:val="Heading3"/>
      </w:pPr>
      <w:bookmarkStart w:id="266" w:name="_Toc493413305"/>
      <w:bookmarkStart w:id="267" w:name="_Toc493418075"/>
      <w:bookmarkStart w:id="268" w:name="_Toc523233361"/>
      <w:r w:rsidRPr="00AA4677">
        <w:t xml:space="preserve">7.6.1  </w:t>
      </w:r>
      <w:r w:rsidR="00BC26C0" w:rsidRPr="00AA4677">
        <w:t>Charging for Investigational Medical Devices and Radiological Health Products</w:t>
      </w:r>
      <w:bookmarkEnd w:id="266"/>
      <w:bookmarkEnd w:id="267"/>
      <w:bookmarkEnd w:id="268"/>
    </w:p>
    <w:p w14:paraId="056D4963" w14:textId="77777777" w:rsidR="00BC26C0" w:rsidRPr="00AA4677" w:rsidRDefault="00BC26C0" w:rsidP="00BC26C0">
      <w:r w:rsidRPr="00AA4677">
        <w:t>IDE regulations allow sponsors to charge for an investigational device, however, the charge may not exceed the amount necessary to recover the costs of manufacture, research, development, and handling of the investigational device [</w:t>
      </w:r>
      <w:hyperlink r:id="rId117" w:history="1">
        <w:r w:rsidRPr="00AA4677">
          <w:rPr>
            <w:rStyle w:val="Hyperlink"/>
            <w:rFonts w:cs="Calibri"/>
            <w:color w:val="auto"/>
            <w:u w:val="none"/>
          </w:rPr>
          <w:t>21 CFR 812.7(b)</w:t>
        </w:r>
      </w:hyperlink>
      <w:r w:rsidRPr="00AA4677">
        <w:t>]. Sponsors must justify the proposed charges for the device in the IDE application, state the amount to be charged, and explain why the charge does not constitute commercialization [</w:t>
      </w:r>
      <w:hyperlink r:id="rId118" w:history="1">
        <w:r w:rsidRPr="00AA4677">
          <w:rPr>
            <w:rStyle w:val="Hyperlink"/>
            <w:rFonts w:cs="Calibri"/>
            <w:color w:val="auto"/>
            <w:u w:val="none"/>
          </w:rPr>
          <w:t>21 CFR 812.20(b)(8)</w:t>
        </w:r>
      </w:hyperlink>
      <w:r w:rsidRPr="00AA4677">
        <w:t xml:space="preserve">].  </w:t>
      </w:r>
    </w:p>
    <w:p w14:paraId="4CA4FC58" w14:textId="1BCE5D06" w:rsidR="00BC26C0" w:rsidRPr="00AA4677" w:rsidRDefault="006B628B" w:rsidP="00C57C98">
      <w:pPr>
        <w:pStyle w:val="Heading3"/>
      </w:pPr>
      <w:bookmarkStart w:id="269" w:name="_Toc493413306"/>
      <w:bookmarkStart w:id="270" w:name="_Toc493418076"/>
      <w:bookmarkStart w:id="271" w:name="_Toc523233362"/>
      <w:r w:rsidRPr="00AA4677">
        <w:t xml:space="preserve">7.6.2  </w:t>
      </w:r>
      <w:r w:rsidR="00BC26C0" w:rsidRPr="00AA4677">
        <w:t>Charging for Investigational Drugs and Biologics</w:t>
      </w:r>
      <w:bookmarkEnd w:id="269"/>
      <w:bookmarkEnd w:id="270"/>
      <w:bookmarkEnd w:id="271"/>
    </w:p>
    <w:p w14:paraId="7071A5F4" w14:textId="77777777" w:rsidR="00BC26C0" w:rsidRPr="00AA4677" w:rsidRDefault="00BC26C0" w:rsidP="00BC26C0">
      <w:r w:rsidRPr="00AA4677">
        <w:t>In 2009, FDA updated its rules at 21 CFR 312 regarding charging for Investigational Drugs Under an IDE.  These rules:</w:t>
      </w:r>
    </w:p>
    <w:p w14:paraId="52F86C0A" w14:textId="77777777" w:rsidR="00BC26C0" w:rsidRPr="00AA4677" w:rsidRDefault="00BC26C0">
      <w:pPr>
        <w:numPr>
          <w:ilvl w:val="0"/>
          <w:numId w:val="176"/>
        </w:numPr>
        <w:spacing w:after="120" w:line="240" w:lineRule="auto"/>
        <w:ind w:left="360"/>
      </w:pPr>
      <w:r w:rsidRPr="00AA4677">
        <w:t>Provide general criteria for authorizing charging for an investigational drug [</w:t>
      </w:r>
      <w:hyperlink r:id="rId119" w:history="1">
        <w:r w:rsidRPr="00AA4677">
          <w:rPr>
            <w:rStyle w:val="Hyperlink"/>
            <w:color w:val="auto"/>
            <w:u w:val="none"/>
          </w:rPr>
          <w:t>21 CFR 312.8(a)</w:t>
        </w:r>
      </w:hyperlink>
      <w:r w:rsidRPr="00AA4677">
        <w:t>]</w:t>
      </w:r>
    </w:p>
    <w:p w14:paraId="1F5592C7" w14:textId="77777777" w:rsidR="00BC26C0" w:rsidRPr="00AA4677" w:rsidRDefault="00BC26C0">
      <w:pPr>
        <w:numPr>
          <w:ilvl w:val="0"/>
          <w:numId w:val="176"/>
        </w:numPr>
        <w:spacing w:after="120" w:line="240" w:lineRule="auto"/>
        <w:ind w:left="360"/>
      </w:pPr>
      <w:r w:rsidRPr="00AA4677">
        <w:t>Provide criteria for charging for an investigational drug in a clinical trial [</w:t>
      </w:r>
      <w:hyperlink r:id="rId120" w:history="1">
        <w:r w:rsidRPr="00AA4677">
          <w:rPr>
            <w:rStyle w:val="Hyperlink"/>
            <w:color w:val="auto"/>
            <w:u w:val="none"/>
          </w:rPr>
          <w:t>21 CFR 312.8(b)</w:t>
        </w:r>
      </w:hyperlink>
      <w:r w:rsidRPr="00AA4677">
        <w:t>]</w:t>
      </w:r>
    </w:p>
    <w:p w14:paraId="30EC9949" w14:textId="77777777" w:rsidR="00BC26C0" w:rsidRPr="00AA4677" w:rsidRDefault="00BC26C0">
      <w:pPr>
        <w:numPr>
          <w:ilvl w:val="0"/>
          <w:numId w:val="176"/>
        </w:numPr>
        <w:spacing w:after="120" w:line="240" w:lineRule="auto"/>
        <w:ind w:left="360"/>
      </w:pPr>
      <w:r w:rsidRPr="00AA4677">
        <w:t>Set forth criteria for charging for an investigational drug for an expanded access for treatment use [</w:t>
      </w:r>
      <w:hyperlink r:id="rId121" w:history="1">
        <w:r w:rsidRPr="00AA4677">
          <w:rPr>
            <w:rStyle w:val="Hyperlink"/>
            <w:color w:val="auto"/>
            <w:u w:val="none"/>
          </w:rPr>
          <w:t>21 CFR 312.8(c)</w:t>
        </w:r>
      </w:hyperlink>
      <w:r w:rsidRPr="00AA4677">
        <w:t>]</w:t>
      </w:r>
    </w:p>
    <w:p w14:paraId="7FC159CF" w14:textId="77777777" w:rsidR="00BC26C0" w:rsidRPr="00AA4677" w:rsidRDefault="00BC26C0">
      <w:pPr>
        <w:numPr>
          <w:ilvl w:val="0"/>
          <w:numId w:val="176"/>
        </w:numPr>
        <w:spacing w:after="120" w:line="240" w:lineRule="auto"/>
        <w:ind w:left="360"/>
      </w:pPr>
      <w:r w:rsidRPr="00AA4677">
        <w:t>Establish criteria for determining what costs can be recovered when charging for an investigational drug [</w:t>
      </w:r>
      <w:hyperlink r:id="rId122" w:history="1">
        <w:r w:rsidRPr="00AA4677">
          <w:rPr>
            <w:rStyle w:val="Hyperlink"/>
            <w:color w:val="auto"/>
            <w:u w:val="none"/>
          </w:rPr>
          <w:t>21 CFR 312.8(d)</w:t>
        </w:r>
      </w:hyperlink>
      <w:r w:rsidRPr="00AA4677">
        <w:t>]</w:t>
      </w:r>
    </w:p>
    <w:p w14:paraId="655A8FED" w14:textId="4BCD30AE" w:rsidR="001C1323" w:rsidRPr="00AA4677" w:rsidRDefault="00BC26C0" w:rsidP="006B628B">
      <w:r w:rsidRPr="00AA4677">
        <w:t xml:space="preserve">Additional information is available in FDA guidance:  </w:t>
      </w:r>
      <w:hyperlink r:id="rId123" w:history="1">
        <w:r w:rsidRPr="00AA4677">
          <w:rPr>
            <w:rStyle w:val="Hyperlink"/>
            <w:rFonts w:cs="Calibri"/>
            <w:color w:val="auto"/>
            <w:u w:val="none"/>
          </w:rPr>
          <w:t>Charging for Investigational Drugs Under an IND — Questions and Answers</w:t>
        </w:r>
      </w:hyperlink>
      <w:r w:rsidRPr="00AA4677">
        <w:t>.</w:t>
      </w:r>
    </w:p>
    <w:p w14:paraId="63A24D7D" w14:textId="625CE579" w:rsidR="00FC174E" w:rsidRPr="00AA4677" w:rsidRDefault="00FC174E" w:rsidP="00696B35">
      <w:pPr>
        <w:pStyle w:val="Heading2"/>
      </w:pPr>
      <w:bookmarkStart w:id="272" w:name="_Toc192678227"/>
      <w:proofErr w:type="gramStart"/>
      <w:r w:rsidRPr="00AA4677">
        <w:lastRenderedPageBreak/>
        <w:t>7.</w:t>
      </w:r>
      <w:r w:rsidR="001C1323" w:rsidRPr="00AA4677">
        <w:t>7</w:t>
      </w:r>
      <w:r w:rsidRPr="00AA4677">
        <w:t xml:space="preserve"> </w:t>
      </w:r>
      <w:r w:rsidR="006B628B" w:rsidRPr="00AA4677">
        <w:t xml:space="preserve"> </w:t>
      </w:r>
      <w:r w:rsidRPr="00AA4677">
        <w:t>Responsibilities</w:t>
      </w:r>
      <w:proofErr w:type="gramEnd"/>
      <w:r w:rsidR="00D36396" w:rsidRPr="00AA4677">
        <w:t xml:space="preserve"> for FDA-Regulated Research</w:t>
      </w:r>
      <w:bookmarkEnd w:id="272"/>
    </w:p>
    <w:p w14:paraId="08390B05" w14:textId="530BDA76" w:rsidR="00AB4CC4" w:rsidRPr="00AA4677" w:rsidRDefault="00AB4CC4" w:rsidP="00C57C98">
      <w:pPr>
        <w:pStyle w:val="Heading3"/>
      </w:pPr>
      <w:r w:rsidRPr="00AA4677">
        <w:t>7.</w:t>
      </w:r>
      <w:r w:rsidR="001C1323" w:rsidRPr="00AA4677">
        <w:t>7</w:t>
      </w:r>
      <w:r w:rsidRPr="00AA4677">
        <w:t xml:space="preserve">.1 </w:t>
      </w:r>
      <w:r w:rsidR="006B628B" w:rsidRPr="00AA4677">
        <w:t xml:space="preserve"> </w:t>
      </w:r>
      <w:r w:rsidRPr="00AA4677">
        <w:t xml:space="preserve">Principal Investigators (“Clinical </w:t>
      </w:r>
      <w:r w:rsidR="006B628B" w:rsidRPr="00AA4677">
        <w:t>Investigators”</w:t>
      </w:r>
      <w:r w:rsidRPr="00AA4677">
        <w:t xml:space="preserve">) </w:t>
      </w:r>
    </w:p>
    <w:p w14:paraId="27F6F235" w14:textId="508AFF7B" w:rsidR="00D36396" w:rsidRPr="00AA4677" w:rsidRDefault="006B628B" w:rsidP="001D3801">
      <w:pPr>
        <w:pStyle w:val="Heading4"/>
      </w:pPr>
      <w:r w:rsidRPr="00AA4677">
        <w:t xml:space="preserve">7.7.1.1  </w:t>
      </w:r>
      <w:r w:rsidR="00D36396" w:rsidRPr="00AA4677">
        <w:t xml:space="preserve">General </w:t>
      </w:r>
    </w:p>
    <w:p w14:paraId="47B69F97" w14:textId="77777777" w:rsidR="00D36396" w:rsidRPr="00AA4677" w:rsidRDefault="00D36396" w:rsidP="00C129F1">
      <w:pPr>
        <w:numPr>
          <w:ilvl w:val="0"/>
          <w:numId w:val="40"/>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Under FDA regulations and guidance, clinical investigators must be qualified by training and experience. They are responsible for the conduct of the study and for leading the team of individuals conducting the study.  Before beginning participation in a clinical investigation, the clinical investigator must commit to the sponsor that he/she will follow federal regulations governing investigational drugs (including biologics) and devices.  </w:t>
      </w:r>
    </w:p>
    <w:p w14:paraId="44153082" w14:textId="77777777" w:rsidR="00D36396"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SymbolMT"/>
        </w:rPr>
      </w:pPr>
      <w:r w:rsidRPr="00AA4677">
        <w:rPr>
          <w:rFonts w:cs="SymbolMT"/>
        </w:rPr>
        <w:t>Ensuring the informed consent is obtained from subjects in accordance with IRB approval</w:t>
      </w:r>
    </w:p>
    <w:p w14:paraId="7BF2BE18" w14:textId="153F30AC" w:rsidR="00D36396"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SymbolMT"/>
        </w:rPr>
      </w:pPr>
      <w:r w:rsidRPr="00AA4677">
        <w:rPr>
          <w:rFonts w:cs="Arial"/>
        </w:rPr>
        <w:t>Retaining records for two years following the date the marketing application is approved by FDA or withdrawn and making those records available for inspection</w:t>
      </w:r>
    </w:p>
    <w:p w14:paraId="2A739AE0" w14:textId="77777777" w:rsidR="00D36396"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Arial"/>
        </w:rPr>
      </w:pPr>
      <w:r w:rsidRPr="00AA4677">
        <w:rPr>
          <w:rFonts w:cs="Arial"/>
        </w:rPr>
        <w:t>Furnishing the required reports to the sponsor, including reports of adverse events and study completion</w:t>
      </w:r>
    </w:p>
    <w:p w14:paraId="30095C77" w14:textId="138109B7" w:rsidR="00D36396"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Arial"/>
        </w:rPr>
      </w:pPr>
      <w:r w:rsidRPr="00AA4677">
        <w:rPr>
          <w:rFonts w:cs="Arial"/>
        </w:rPr>
        <w:t xml:space="preserve">Providing timely reports to the IRB, including reports of changes in the research activity needed to avoid immediate hazards </w:t>
      </w:r>
      <w:proofErr w:type="gramStart"/>
      <w:r w:rsidRPr="00AA4677">
        <w:rPr>
          <w:rFonts w:cs="Arial"/>
        </w:rPr>
        <w:t>to</w:t>
      </w:r>
      <w:proofErr w:type="gramEnd"/>
      <w:r w:rsidRPr="00AA4677">
        <w:rPr>
          <w:rFonts w:cs="Arial"/>
        </w:rPr>
        <w:t xml:space="preserve"> participants, </w:t>
      </w:r>
      <w:r w:rsidR="00CF7A7C" w:rsidRPr="00AA4677">
        <w:rPr>
          <w:rFonts w:cs="Arial"/>
        </w:rPr>
        <w:t xml:space="preserve">protocol deviations, </w:t>
      </w:r>
      <w:r w:rsidRPr="00AA4677">
        <w:rPr>
          <w:rFonts w:cs="Arial"/>
        </w:rPr>
        <w:t xml:space="preserve">unanticipated problems </w:t>
      </w:r>
      <w:proofErr w:type="gramStart"/>
      <w:r w:rsidRPr="00AA4677">
        <w:rPr>
          <w:rFonts w:cs="Arial"/>
        </w:rPr>
        <w:t>involving risks to</w:t>
      </w:r>
      <w:proofErr w:type="gramEnd"/>
      <w:r w:rsidRPr="00AA4677">
        <w:rPr>
          <w:rFonts w:cs="Arial"/>
        </w:rPr>
        <w:t xml:space="preserve"> participants or others (see Section 8 of these SOPs) </w:t>
      </w:r>
    </w:p>
    <w:p w14:paraId="722D19F1" w14:textId="606A5771" w:rsidR="00D36396" w:rsidRPr="00AA4677" w:rsidRDefault="00D36396" w:rsidP="00C129F1">
      <w:pPr>
        <w:pStyle w:val="Default"/>
        <w:numPr>
          <w:ilvl w:val="0"/>
          <w:numId w:val="40"/>
        </w:numPr>
        <w:tabs>
          <w:tab w:val="clear" w:pos="720"/>
          <w:tab w:val="num" w:pos="360"/>
        </w:tabs>
        <w:spacing w:after="20"/>
        <w:ind w:left="360" w:right="-720"/>
        <w:rPr>
          <w:rFonts w:asciiTheme="minorHAnsi" w:hAnsiTheme="minorHAnsi"/>
          <w:color w:val="auto"/>
        </w:rPr>
      </w:pPr>
      <w:r w:rsidRPr="00AA4677">
        <w:rPr>
          <w:rFonts w:asciiTheme="minorHAnsi" w:hAnsiTheme="minorHAnsi"/>
          <w:color w:val="auto"/>
        </w:rPr>
        <w:t>Inform</w:t>
      </w:r>
      <w:r w:rsidR="006B628B" w:rsidRPr="00AA4677">
        <w:rPr>
          <w:rFonts w:asciiTheme="minorHAnsi" w:hAnsiTheme="minorHAnsi"/>
          <w:color w:val="auto"/>
        </w:rPr>
        <w:t>ing</w:t>
      </w:r>
      <w:r w:rsidRPr="00AA4677">
        <w:rPr>
          <w:rFonts w:asciiTheme="minorHAnsi" w:hAnsiTheme="minorHAnsi"/>
          <w:color w:val="auto"/>
        </w:rPr>
        <w:t xml:space="preserve"> any potential participants that the test article(s) (i.e., drugs) are being used for in</w:t>
      </w:r>
      <w:r w:rsidR="006B628B" w:rsidRPr="00AA4677">
        <w:rPr>
          <w:rFonts w:asciiTheme="minorHAnsi" w:hAnsiTheme="minorHAnsi"/>
          <w:color w:val="auto"/>
        </w:rPr>
        <w:t>vestigational purposes and ensuring</w:t>
      </w:r>
      <w:r w:rsidRPr="00AA4677">
        <w:rPr>
          <w:rFonts w:asciiTheme="minorHAnsi" w:hAnsiTheme="minorHAnsi"/>
          <w:color w:val="auto"/>
        </w:rPr>
        <w:t xml:space="preserve"> that the requirements relating to obtaining informed consent and I</w:t>
      </w:r>
      <w:r w:rsidR="006B628B" w:rsidRPr="00AA4677">
        <w:rPr>
          <w:rFonts w:asciiTheme="minorHAnsi" w:hAnsiTheme="minorHAnsi"/>
          <w:color w:val="auto"/>
        </w:rPr>
        <w:t>RB review and approval are met</w:t>
      </w:r>
    </w:p>
    <w:p w14:paraId="47493527" w14:textId="77777777" w:rsidR="00D36396"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Arial"/>
        </w:rPr>
      </w:pPr>
      <w:r w:rsidRPr="00AA4677">
        <w:rPr>
          <w:rFonts w:cs="Arial"/>
        </w:rPr>
        <w:t>Ensuring that changes are not implemented without prospective IRB approval, unless required to eliminate immediate hazard to participants</w:t>
      </w:r>
    </w:p>
    <w:p w14:paraId="5E88E3B8" w14:textId="77777777" w:rsidR="00D36396"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Arial"/>
        </w:rPr>
      </w:pPr>
      <w:r w:rsidRPr="00AA4677">
        <w:rPr>
          <w:rFonts w:cs="Arial"/>
        </w:rPr>
        <w:t>Complying with the requirements of the Controlled Substances Act</w:t>
      </w:r>
    </w:p>
    <w:p w14:paraId="4494FFC8" w14:textId="77777777" w:rsidR="00D36396"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Arial"/>
        </w:rPr>
      </w:pPr>
      <w:r w:rsidRPr="00AA4677">
        <w:rPr>
          <w:rFonts w:cs="Arial"/>
        </w:rPr>
        <w:t>Complying with all FDA test article requirements</w:t>
      </w:r>
    </w:p>
    <w:p w14:paraId="232571C0" w14:textId="77777777" w:rsidR="00D36396"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Arial"/>
        </w:rPr>
      </w:pPr>
      <w:r w:rsidRPr="00AA4677">
        <w:rPr>
          <w:rFonts w:cs="Arial"/>
        </w:rPr>
        <w:t>Adequately maintaining control of test articles, including appropriate tracking documentation for test articles to the extent that such control and documentation are not centrally administered</w:t>
      </w:r>
    </w:p>
    <w:p w14:paraId="6E89A146" w14:textId="77777777" w:rsidR="00D36396"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Arial"/>
        </w:rPr>
      </w:pPr>
      <w:r w:rsidRPr="00AA4677">
        <w:rPr>
          <w:rFonts w:cs="Arial"/>
        </w:rPr>
        <w:t>Supervising the use and disposition of the test article</w:t>
      </w:r>
    </w:p>
    <w:p w14:paraId="30FCE20F" w14:textId="77777777" w:rsidR="00D36396"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Arial"/>
        </w:rPr>
      </w:pPr>
      <w:r w:rsidRPr="00AA4677">
        <w:rPr>
          <w:rFonts w:cs="Arial"/>
        </w:rPr>
        <w:t>Disclosing relevant financial information and conflicts of interest</w:t>
      </w:r>
    </w:p>
    <w:p w14:paraId="4BD6DF0D" w14:textId="30D9DCDD" w:rsidR="00113EB8" w:rsidRPr="00AA4677" w:rsidRDefault="00D36396" w:rsidP="00C129F1">
      <w:pPr>
        <w:numPr>
          <w:ilvl w:val="0"/>
          <w:numId w:val="40"/>
        </w:numPr>
        <w:tabs>
          <w:tab w:val="clear" w:pos="720"/>
          <w:tab w:val="num" w:pos="360"/>
        </w:tabs>
        <w:autoSpaceDE w:val="0"/>
        <w:autoSpaceDN w:val="0"/>
        <w:adjustRightInd w:val="0"/>
        <w:spacing w:after="0" w:line="240" w:lineRule="auto"/>
        <w:ind w:left="360"/>
        <w:rPr>
          <w:rFonts w:cs="Arial"/>
        </w:rPr>
      </w:pPr>
      <w:r w:rsidRPr="00AA4677">
        <w:rPr>
          <w:rFonts w:cs="Arial"/>
        </w:rPr>
        <w:t>Ensuring that all associates, colleagues, and employees assisting in the conduct of the investigation(s) are informed about their obligations in meeting the above commitments.</w:t>
      </w:r>
    </w:p>
    <w:p w14:paraId="30FAE074" w14:textId="3708C176" w:rsidR="00113EB8" w:rsidRPr="00AA4677" w:rsidRDefault="00113EB8" w:rsidP="002853E1">
      <w:pPr>
        <w:autoSpaceDE w:val="0"/>
        <w:autoSpaceDN w:val="0"/>
        <w:adjustRightInd w:val="0"/>
        <w:spacing w:after="0" w:line="240" w:lineRule="auto"/>
        <w:rPr>
          <w:rFonts w:cs="Arial"/>
        </w:rPr>
      </w:pPr>
      <w:r w:rsidRPr="00AA4677">
        <w:rPr>
          <w:rFonts w:cs="Arial"/>
        </w:rPr>
        <w:t>NOTE: Princip</w:t>
      </w:r>
      <w:r w:rsidR="00850A6D" w:rsidRPr="00AA4677">
        <w:rPr>
          <w:rFonts w:cs="Arial"/>
        </w:rPr>
        <w:t>al</w:t>
      </w:r>
      <w:r w:rsidRPr="00AA4677">
        <w:rPr>
          <w:rFonts w:cs="Arial"/>
        </w:rPr>
        <w:t xml:space="preserve"> Investigators cannot participate as subjects in their own studies.</w:t>
      </w:r>
    </w:p>
    <w:p w14:paraId="494A29DD" w14:textId="08C8C4E6" w:rsidR="00D36396" w:rsidRPr="00AA4677" w:rsidRDefault="00D36396" w:rsidP="001D3801">
      <w:pPr>
        <w:pStyle w:val="Heading4"/>
      </w:pPr>
      <w:r w:rsidRPr="00AA4677">
        <w:t>7.</w:t>
      </w:r>
      <w:r w:rsidR="001C1323" w:rsidRPr="00AA4677">
        <w:t>7</w:t>
      </w:r>
      <w:r w:rsidRPr="00AA4677">
        <w:t>.1.2 Drug/Biologic Research</w:t>
      </w:r>
    </w:p>
    <w:p w14:paraId="57240DB8" w14:textId="09D5C2B9" w:rsidR="00D36396" w:rsidRPr="00AA4677" w:rsidRDefault="00D36396">
      <w:pPr>
        <w:pStyle w:val="ListParagraph"/>
        <w:numPr>
          <w:ilvl w:val="0"/>
          <w:numId w:val="126"/>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clinical investigator must comply with the requirements specified in FDA Form 1572: </w:t>
      </w:r>
    </w:p>
    <w:p w14:paraId="5900B009" w14:textId="77777777" w:rsidR="00D36396" w:rsidRPr="00AA4677" w:rsidRDefault="00D36396">
      <w:pPr>
        <w:pStyle w:val="Default"/>
        <w:numPr>
          <w:ilvl w:val="0"/>
          <w:numId w:val="127"/>
        </w:numPr>
        <w:tabs>
          <w:tab w:val="clear" w:pos="1080"/>
        </w:tabs>
        <w:spacing w:after="20"/>
        <w:ind w:left="360" w:right="-720"/>
        <w:rPr>
          <w:rFonts w:asciiTheme="minorHAnsi" w:hAnsiTheme="minorHAnsi"/>
          <w:color w:val="auto"/>
        </w:rPr>
      </w:pPr>
      <w:r w:rsidRPr="00AA4677">
        <w:rPr>
          <w:rFonts w:asciiTheme="minorHAnsi" w:hAnsiTheme="minorHAnsi"/>
          <w:color w:val="auto"/>
        </w:rPr>
        <w:t xml:space="preserve">Personally conduct or supervise the </w:t>
      </w:r>
      <w:proofErr w:type="gramStart"/>
      <w:r w:rsidRPr="00AA4677">
        <w:rPr>
          <w:rFonts w:asciiTheme="minorHAnsi" w:hAnsiTheme="minorHAnsi"/>
          <w:color w:val="auto"/>
        </w:rPr>
        <w:t>described investigation(s)</w:t>
      </w:r>
      <w:proofErr w:type="gramEnd"/>
      <w:r w:rsidRPr="00AA4677">
        <w:rPr>
          <w:rFonts w:asciiTheme="minorHAnsi" w:hAnsiTheme="minorHAnsi"/>
          <w:color w:val="auto"/>
        </w:rPr>
        <w:t xml:space="preserve">. </w:t>
      </w:r>
    </w:p>
    <w:p w14:paraId="0A6E26EF" w14:textId="77777777" w:rsidR="00D36396" w:rsidRPr="00AA4677" w:rsidRDefault="00D36396">
      <w:pPr>
        <w:pStyle w:val="Default"/>
        <w:numPr>
          <w:ilvl w:val="0"/>
          <w:numId w:val="127"/>
        </w:numPr>
        <w:tabs>
          <w:tab w:val="clear" w:pos="1080"/>
        </w:tabs>
        <w:spacing w:after="20"/>
        <w:ind w:left="360" w:right="-720"/>
        <w:rPr>
          <w:rFonts w:asciiTheme="minorHAnsi" w:hAnsiTheme="minorHAnsi"/>
          <w:color w:val="auto"/>
        </w:rPr>
      </w:pPr>
      <w:r w:rsidRPr="00AA4677">
        <w:rPr>
          <w:rFonts w:asciiTheme="minorHAnsi" w:hAnsiTheme="minorHAnsi"/>
          <w:color w:val="auto"/>
        </w:rPr>
        <w:lastRenderedPageBreak/>
        <w:t xml:space="preserve">Conduct the studies in accordance with the current IRB-approved protocol(s) and will only make changes in a protocol after notifying the sponsor, except when necessary to protect the safety, the rights, or welfare of participants. </w:t>
      </w:r>
    </w:p>
    <w:p w14:paraId="3ED85440" w14:textId="77777777" w:rsidR="00D36396" w:rsidRPr="00AA4677" w:rsidRDefault="00D36396">
      <w:pPr>
        <w:pStyle w:val="Default"/>
        <w:numPr>
          <w:ilvl w:val="0"/>
          <w:numId w:val="127"/>
        </w:numPr>
        <w:tabs>
          <w:tab w:val="clear" w:pos="1080"/>
        </w:tabs>
        <w:spacing w:after="20"/>
        <w:ind w:left="360" w:right="-720"/>
        <w:rPr>
          <w:rFonts w:asciiTheme="minorHAnsi" w:hAnsiTheme="minorHAnsi"/>
          <w:color w:val="auto"/>
        </w:rPr>
      </w:pPr>
      <w:r w:rsidRPr="00AA4677">
        <w:rPr>
          <w:rFonts w:asciiTheme="minorHAnsi" w:hAnsiTheme="minorHAnsi"/>
          <w:color w:val="auto"/>
        </w:rPr>
        <w:t xml:space="preserve">Comply with all requirements regarding the obligations of clinical investigators and all other pertinent regulatory requirements. </w:t>
      </w:r>
    </w:p>
    <w:p w14:paraId="0C24E249" w14:textId="52AE40EC" w:rsidR="00D36396" w:rsidRPr="00AA4677" w:rsidRDefault="00D41BEE">
      <w:pPr>
        <w:pStyle w:val="Default"/>
        <w:numPr>
          <w:ilvl w:val="0"/>
          <w:numId w:val="127"/>
        </w:numPr>
        <w:tabs>
          <w:tab w:val="clear" w:pos="1080"/>
        </w:tabs>
        <w:spacing w:after="20"/>
        <w:ind w:left="360" w:right="-720"/>
        <w:rPr>
          <w:rFonts w:asciiTheme="minorHAnsi" w:hAnsiTheme="minorHAnsi"/>
          <w:color w:val="auto"/>
        </w:rPr>
      </w:pPr>
      <w:r w:rsidRPr="00AA4677">
        <w:rPr>
          <w:rFonts w:asciiTheme="minorHAnsi" w:hAnsiTheme="minorHAnsi"/>
          <w:color w:val="auto"/>
        </w:rPr>
        <w:t>I</w:t>
      </w:r>
      <w:r w:rsidR="00E25A8E" w:rsidRPr="00AA4677">
        <w:rPr>
          <w:rFonts w:asciiTheme="minorHAnsi" w:hAnsiTheme="minorHAnsi"/>
          <w:color w:val="auto"/>
        </w:rPr>
        <w:t xml:space="preserve">mmediately report to the sponsor any serious adverse event, </w:t>
      </w:r>
      <w:proofErr w:type="gramStart"/>
      <w:r w:rsidR="00E25A8E" w:rsidRPr="00AA4677">
        <w:rPr>
          <w:rFonts w:asciiTheme="minorHAnsi" w:hAnsiTheme="minorHAnsi"/>
          <w:color w:val="auto"/>
        </w:rPr>
        <w:t>whether or not</w:t>
      </w:r>
      <w:proofErr w:type="gramEnd"/>
      <w:r w:rsidR="00E25A8E" w:rsidRPr="00AA4677">
        <w:rPr>
          <w:rFonts w:asciiTheme="minorHAnsi" w:hAnsiTheme="minorHAnsi"/>
          <w:color w:val="auto"/>
        </w:rPr>
        <w:t xml:space="preserve"> considered drug related, including those listed in the protocol or investigator brochure and must include an assessment of whether there is a reasonable possibility that the drug caused the event. Study endpoints that are serious adverse events (e.g., all-cause mortality) must be reported in accordance with the protocol unless there is evidence suggesting a causal relationship between the drug and the event (e.g., death from anaphylaxis). In that case, the investigator must immediately report the event to the sponsor. The investigator must record nonserious adverse events and report them to the sponsor according to the timetable for reporting specified in the protocol. §312.64; (b</w:t>
      </w:r>
      <w:r w:rsidR="00D36396" w:rsidRPr="00AA4677">
        <w:rPr>
          <w:rFonts w:asciiTheme="minorHAnsi" w:hAnsiTheme="minorHAnsi"/>
          <w:color w:val="auto"/>
        </w:rPr>
        <w:t xml:space="preserve">) </w:t>
      </w:r>
    </w:p>
    <w:p w14:paraId="7E09C57C" w14:textId="77777777" w:rsidR="00D36396" w:rsidRPr="00AA4677" w:rsidRDefault="00D36396">
      <w:pPr>
        <w:pStyle w:val="Default"/>
        <w:numPr>
          <w:ilvl w:val="0"/>
          <w:numId w:val="127"/>
        </w:numPr>
        <w:tabs>
          <w:tab w:val="clear" w:pos="1080"/>
        </w:tabs>
        <w:spacing w:after="20"/>
        <w:ind w:left="360" w:right="-720"/>
        <w:rPr>
          <w:rFonts w:asciiTheme="minorHAnsi" w:hAnsiTheme="minorHAnsi"/>
          <w:color w:val="auto"/>
        </w:rPr>
      </w:pPr>
      <w:r w:rsidRPr="00AA4677">
        <w:rPr>
          <w:rFonts w:asciiTheme="minorHAnsi" w:hAnsiTheme="minorHAnsi"/>
          <w:color w:val="auto"/>
        </w:rPr>
        <w:t xml:space="preserve">Read and understand the information in the investigator's brochure, including the potential risks and side effects of the drug. </w:t>
      </w:r>
    </w:p>
    <w:p w14:paraId="57EA2460" w14:textId="77777777" w:rsidR="00D36396" w:rsidRPr="00AA4677" w:rsidRDefault="00D36396">
      <w:pPr>
        <w:pStyle w:val="Default"/>
        <w:numPr>
          <w:ilvl w:val="0"/>
          <w:numId w:val="127"/>
        </w:numPr>
        <w:tabs>
          <w:tab w:val="clear" w:pos="1080"/>
        </w:tabs>
        <w:spacing w:after="20"/>
        <w:ind w:left="360" w:right="-720"/>
        <w:rPr>
          <w:rFonts w:asciiTheme="minorHAnsi" w:hAnsiTheme="minorHAnsi"/>
          <w:color w:val="auto"/>
        </w:rPr>
      </w:pPr>
      <w:r w:rsidRPr="00AA4677">
        <w:rPr>
          <w:rFonts w:asciiTheme="minorHAnsi" w:hAnsiTheme="minorHAnsi"/>
          <w:color w:val="auto"/>
        </w:rPr>
        <w:t xml:space="preserve">Ensure that all associates, colleagues, and employees assisting in the conduct of the study(ies) are informed about their obligations in meeting the above commitments. </w:t>
      </w:r>
    </w:p>
    <w:p w14:paraId="4C825A4E" w14:textId="77777777" w:rsidR="00D36396" w:rsidRPr="00AA4677" w:rsidRDefault="00D36396">
      <w:pPr>
        <w:pStyle w:val="Default"/>
        <w:numPr>
          <w:ilvl w:val="0"/>
          <w:numId w:val="127"/>
        </w:numPr>
        <w:tabs>
          <w:tab w:val="clear" w:pos="1080"/>
        </w:tabs>
        <w:spacing w:after="20"/>
        <w:ind w:left="360" w:right="-720"/>
        <w:rPr>
          <w:rFonts w:asciiTheme="minorHAnsi" w:hAnsiTheme="minorHAnsi"/>
          <w:color w:val="auto"/>
        </w:rPr>
      </w:pPr>
      <w:r w:rsidRPr="00AA4677">
        <w:rPr>
          <w:rFonts w:asciiTheme="minorHAnsi" w:hAnsiTheme="minorHAnsi"/>
          <w:color w:val="auto"/>
        </w:rPr>
        <w:t xml:space="preserve">Ensure that an investigation is conducted according to the signed statement (Form FDA 1572), the investigational plan, and applicable regulations. </w:t>
      </w:r>
    </w:p>
    <w:p w14:paraId="358477D4" w14:textId="1A7761C4" w:rsidR="00D36396" w:rsidRPr="00AA4677" w:rsidRDefault="00D36396">
      <w:pPr>
        <w:pStyle w:val="Default"/>
        <w:numPr>
          <w:ilvl w:val="0"/>
          <w:numId w:val="127"/>
        </w:numPr>
        <w:tabs>
          <w:tab w:val="clear" w:pos="1080"/>
        </w:tabs>
        <w:spacing w:after="20"/>
        <w:ind w:left="360" w:right="-720"/>
        <w:rPr>
          <w:rFonts w:asciiTheme="minorHAnsi" w:hAnsiTheme="minorHAnsi"/>
          <w:color w:val="auto"/>
        </w:rPr>
      </w:pPr>
      <w:r w:rsidRPr="00AA4677">
        <w:rPr>
          <w:rFonts w:asciiTheme="minorHAnsi" w:hAnsiTheme="minorHAnsi"/>
          <w:color w:val="auto"/>
        </w:rPr>
        <w:t>Protecting the rights, safety, and welfare of participants und</w:t>
      </w:r>
      <w:r w:rsidR="006B628B" w:rsidRPr="00AA4677">
        <w:rPr>
          <w:rFonts w:asciiTheme="minorHAnsi" w:hAnsiTheme="minorHAnsi"/>
          <w:color w:val="auto"/>
        </w:rPr>
        <w:t xml:space="preserve">er the clinical investigator’s </w:t>
      </w:r>
      <w:r w:rsidRPr="00AA4677">
        <w:rPr>
          <w:rFonts w:asciiTheme="minorHAnsi" w:hAnsiTheme="minorHAnsi"/>
          <w:color w:val="auto"/>
        </w:rPr>
        <w:t xml:space="preserve">care. </w:t>
      </w:r>
      <w:r w:rsidRPr="00AA4677">
        <w:rPr>
          <w:color w:val="auto"/>
        </w:rPr>
        <w:t xml:space="preserve"> </w:t>
      </w:r>
    </w:p>
    <w:p w14:paraId="3D34D15C" w14:textId="25A1C3FB" w:rsidR="00D36396" w:rsidRPr="00AA4677" w:rsidRDefault="00D36396">
      <w:pPr>
        <w:pStyle w:val="ListParagraph"/>
        <w:numPr>
          <w:ilvl w:val="0"/>
          <w:numId w:val="126"/>
        </w:numPr>
        <w:shd w:val="clear" w:color="auto" w:fill="FFFFFF"/>
        <w:spacing w:after="0" w:line="240" w:lineRule="auto"/>
        <w:rPr>
          <w:rFonts w:eastAsia="Times New Roman" w:cs="Times New Roman"/>
          <w:szCs w:val="24"/>
        </w:rPr>
      </w:pPr>
      <w:r w:rsidRPr="00AA4677">
        <w:rPr>
          <w:rFonts w:eastAsia="Times New Roman" w:cs="Times New Roman"/>
          <w:szCs w:val="24"/>
        </w:rPr>
        <w:t>The clinical investigator proposing drug/biologic research will be required to comply with the University’s Investigational Drug Service plan for storage, security, and dispensing of the drug/biologics, and will be responsible for accounting, return, disposition, and records of accountability per the study protocol.</w:t>
      </w:r>
    </w:p>
    <w:p w14:paraId="2E509A9A" w14:textId="77777777" w:rsidR="00D36396" w:rsidRPr="00AA4677" w:rsidRDefault="00D36396">
      <w:pPr>
        <w:numPr>
          <w:ilvl w:val="0"/>
          <w:numId w:val="104"/>
        </w:numPr>
        <w:shd w:val="clear" w:color="auto" w:fill="FFFFFF"/>
        <w:tabs>
          <w:tab w:val="num" w:pos="360"/>
        </w:tabs>
        <w:spacing w:after="0" w:line="240" w:lineRule="auto"/>
        <w:ind w:left="360"/>
        <w:rPr>
          <w:rFonts w:eastAsia="Times New Roman" w:cs="Times New Roman"/>
          <w:szCs w:val="24"/>
        </w:rPr>
      </w:pPr>
      <w:r w:rsidRPr="00AA4677">
        <w:rPr>
          <w:rFonts w:eastAsia="Times New Roman" w:cs="Times New Roman"/>
          <w:szCs w:val="24"/>
        </w:rPr>
        <w:t>For research conducted in the University Hospital, Health Sciences Center, Cancer Center, and Ambulatory Surgery Building, The PI will delegate the responsibility for drugs/biologics accountability, including storage, dispensing, labeling, and distribution, to the Investigational Drug Service in the Pharmacy Department.</w:t>
      </w:r>
    </w:p>
    <w:p w14:paraId="3567CAE0" w14:textId="77777777" w:rsidR="00E25A8E"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For research conducted in any other campus site, the plan will be provided to, and evaluated by the IRB, in consultation with the Investigational Drug Service at the time of submission review.</w:t>
      </w:r>
    </w:p>
    <w:p w14:paraId="1E250B4E" w14:textId="49AE996B" w:rsidR="00E25A8E"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The PI conducting investigational drug studies is required to share the study for ancillary review in the </w:t>
      </w:r>
      <w:r w:rsidR="00DC5138" w:rsidRPr="00AA4677">
        <w:rPr>
          <w:rFonts w:eastAsia="Times New Roman" w:cs="Times New Roman"/>
          <w:szCs w:val="24"/>
        </w:rPr>
        <w:t>electronic management system</w:t>
      </w:r>
      <w:r w:rsidRPr="00AA4677">
        <w:rPr>
          <w:rFonts w:eastAsia="Times New Roman" w:cs="Times New Roman"/>
          <w:szCs w:val="24"/>
        </w:rPr>
        <w:t xml:space="preserve"> with the Investigational Drug Service so that status of the IRB approval can be monitored and confirmed.  </w:t>
      </w:r>
    </w:p>
    <w:p w14:paraId="5EB92351" w14:textId="0E2F6849" w:rsidR="00D36396"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The PI must inform the IRB and Pharmacy Service when a study involving investigational drugs has been terminated by the sponsor.</w:t>
      </w:r>
    </w:p>
    <w:p w14:paraId="000E2F30" w14:textId="0F83EA5D" w:rsidR="00E25A8E" w:rsidRPr="00AA4677" w:rsidRDefault="00E25A8E">
      <w:pPr>
        <w:pStyle w:val="ListParagraph"/>
        <w:numPr>
          <w:ilvl w:val="0"/>
          <w:numId w:val="126"/>
        </w:num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 xml:space="preserve">The clinical investigator will administer the drug only to participants under the clinical investigator’s personal supervision or under the supervision of a sub-investigator responsible to the clinical investigator. </w:t>
      </w:r>
    </w:p>
    <w:p w14:paraId="0EFFB53A" w14:textId="52C2BBCE" w:rsidR="00E25A8E" w:rsidRPr="00AA4677" w:rsidRDefault="00E25A8E">
      <w:pPr>
        <w:pStyle w:val="ListParagraph"/>
        <w:numPr>
          <w:ilvl w:val="0"/>
          <w:numId w:val="126"/>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clinical investigator will not supply the investigational drug to any person not authorized to receive it. </w:t>
      </w:r>
    </w:p>
    <w:p w14:paraId="79B8C1F2" w14:textId="13ABAA1D" w:rsidR="00E25A8E" w:rsidRPr="00AA4677" w:rsidRDefault="00E25A8E">
      <w:pPr>
        <w:pStyle w:val="ListParagraph"/>
        <w:numPr>
          <w:ilvl w:val="0"/>
          <w:numId w:val="126"/>
        </w:numPr>
        <w:shd w:val="clear" w:color="auto" w:fill="FFFFFF"/>
        <w:spacing w:after="0" w:line="240" w:lineRule="auto"/>
        <w:rPr>
          <w:rFonts w:eastAsia="Times New Roman" w:cs="Times New Roman"/>
          <w:szCs w:val="24"/>
        </w:rPr>
      </w:pPr>
      <w:r w:rsidRPr="00AA4677">
        <w:rPr>
          <w:rFonts w:eastAsia="Times New Roman" w:cs="Times New Roman"/>
          <w:szCs w:val="24"/>
        </w:rPr>
        <w:t>The clinical investigator is required to maintain adequate records of the disposition of the drug, including dates, quantity, and use by participants (in accordance with any requirements set forth by the Investigational Drug Service</w:t>
      </w:r>
      <w:r w:rsidR="00AB4CC4" w:rsidRPr="00AA4677">
        <w:rPr>
          <w:rFonts w:eastAsia="Times New Roman" w:cs="Times New Roman"/>
          <w:szCs w:val="24"/>
        </w:rPr>
        <w:t>)</w:t>
      </w:r>
      <w:r w:rsidRPr="00AA4677">
        <w:rPr>
          <w:rFonts w:eastAsia="Times New Roman" w:cs="Times New Roman"/>
          <w:szCs w:val="24"/>
        </w:rPr>
        <w:t xml:space="preserve">. </w:t>
      </w:r>
    </w:p>
    <w:p w14:paraId="3FF55CD9" w14:textId="3BA9D548" w:rsidR="00E25A8E" w:rsidRPr="00AA4677" w:rsidRDefault="00E25A8E">
      <w:pPr>
        <w:pStyle w:val="ListParagraph"/>
        <w:numPr>
          <w:ilvl w:val="0"/>
          <w:numId w:val="126"/>
        </w:numPr>
        <w:shd w:val="clear" w:color="auto" w:fill="FFFFFF"/>
        <w:spacing w:after="0" w:line="240" w:lineRule="auto"/>
        <w:rPr>
          <w:rFonts w:eastAsia="Times New Roman" w:cs="Times New Roman"/>
          <w:szCs w:val="24"/>
        </w:rPr>
      </w:pPr>
      <w:r w:rsidRPr="00AA4677">
        <w:rPr>
          <w:rFonts w:eastAsia="Times New Roman" w:cs="Times New Roman"/>
          <w:szCs w:val="24"/>
        </w:rPr>
        <w:t>If the investigation is terminated, suspended, discontinued, or completed, the clinical investigator must return the unused supplies of the drug to the sponsor, or otherwise provide for disposition of the unused supplies of the drug if authorized by the sponsor</w:t>
      </w:r>
      <w:r w:rsidR="00C55CAB" w:rsidRPr="00AA4677">
        <w:rPr>
          <w:rFonts w:eastAsia="Times New Roman" w:cs="Times New Roman"/>
          <w:szCs w:val="24"/>
        </w:rPr>
        <w:t>.</w:t>
      </w:r>
    </w:p>
    <w:p w14:paraId="5521092A" w14:textId="172AA3A0" w:rsidR="00D41BEE" w:rsidRPr="00AA4677" w:rsidRDefault="00D41BEE">
      <w:pPr>
        <w:pStyle w:val="ListParagraph"/>
        <w:numPr>
          <w:ilvl w:val="0"/>
          <w:numId w:val="126"/>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 clinical investigator is required to prepare and maintain adequate and accurate case histories that record all observations and other data pertinent to the investigation on </w:t>
      </w:r>
      <w:proofErr w:type="gramStart"/>
      <w:r w:rsidRPr="00AA4677">
        <w:rPr>
          <w:rFonts w:eastAsia="Times New Roman" w:cs="Times New Roman"/>
          <w:szCs w:val="24"/>
        </w:rPr>
        <w:t>each individual</w:t>
      </w:r>
      <w:proofErr w:type="gramEnd"/>
      <w:r w:rsidRPr="00AA4677">
        <w:rPr>
          <w:rFonts w:eastAsia="Times New Roman" w:cs="Times New Roman"/>
          <w:szCs w:val="24"/>
        </w:rPr>
        <w:t xml:space="preserve"> </w:t>
      </w:r>
      <w:proofErr w:type="gramStart"/>
      <w:r w:rsidRPr="00AA4677">
        <w:rPr>
          <w:rFonts w:eastAsia="Times New Roman" w:cs="Times New Roman"/>
          <w:szCs w:val="24"/>
        </w:rPr>
        <w:t>administered</w:t>
      </w:r>
      <w:proofErr w:type="gramEnd"/>
      <w:r w:rsidRPr="00AA4677">
        <w:rPr>
          <w:rFonts w:eastAsia="Times New Roman" w:cs="Times New Roman"/>
          <w:szCs w:val="24"/>
        </w:rPr>
        <w:t xml:space="preserve"> the investigational drug or employed as a control in the investigation. </w:t>
      </w:r>
    </w:p>
    <w:p w14:paraId="6F6964B3" w14:textId="77777777" w:rsidR="00D41BEE" w:rsidRPr="00AA4677" w:rsidRDefault="00D41BEE">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Case histories include the case report forms and supporting data (e.g., signed and dated consent forms and medical records including, for example, progress notes of the physician, the individual's hospital chart(s), and the nurses' notes).The case history for </w:t>
      </w:r>
      <w:proofErr w:type="gramStart"/>
      <w:r w:rsidRPr="00AA4677">
        <w:rPr>
          <w:rFonts w:eastAsia="Times New Roman" w:cs="Times New Roman"/>
          <w:szCs w:val="24"/>
        </w:rPr>
        <w:t>each individual</w:t>
      </w:r>
      <w:proofErr w:type="gramEnd"/>
      <w:r w:rsidRPr="00AA4677">
        <w:rPr>
          <w:rFonts w:eastAsia="Times New Roman" w:cs="Times New Roman"/>
          <w:szCs w:val="24"/>
        </w:rPr>
        <w:t xml:space="preserve"> will document that informed consent was obtained prior to participation in the study. </w:t>
      </w:r>
    </w:p>
    <w:p w14:paraId="584E47CF" w14:textId="5CA3DE78" w:rsidR="00AB4CC4" w:rsidRPr="00AA4677" w:rsidRDefault="00AB4CC4">
      <w:pPr>
        <w:pStyle w:val="ListParagraph"/>
        <w:numPr>
          <w:ilvl w:val="0"/>
          <w:numId w:val="126"/>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 </w:t>
      </w:r>
      <w:r w:rsidR="006B628B" w:rsidRPr="00AA4677">
        <w:rPr>
          <w:rFonts w:eastAsia="Times New Roman" w:cs="Times New Roman"/>
          <w:szCs w:val="24"/>
        </w:rPr>
        <w:t>A c</w:t>
      </w:r>
      <w:r w:rsidR="00D41BEE" w:rsidRPr="00AA4677">
        <w:rPr>
          <w:rFonts w:eastAsia="Times New Roman" w:cs="Times New Roman"/>
          <w:szCs w:val="24"/>
        </w:rPr>
        <w:t xml:space="preserve">linical investigator must retain records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[21 CFR §312.62] </w:t>
      </w:r>
    </w:p>
    <w:p w14:paraId="56E62F91" w14:textId="2A1A8C0B" w:rsidR="00D36396" w:rsidRPr="00AA4677" w:rsidRDefault="006B628B">
      <w:pPr>
        <w:pStyle w:val="ListParagraph"/>
        <w:numPr>
          <w:ilvl w:val="0"/>
          <w:numId w:val="126"/>
        </w:numPr>
        <w:shd w:val="clear" w:color="auto" w:fill="FFFFFF"/>
        <w:spacing w:after="0" w:line="240" w:lineRule="auto"/>
        <w:rPr>
          <w:rFonts w:eastAsia="Times New Roman" w:cs="Times New Roman"/>
          <w:szCs w:val="24"/>
        </w:rPr>
      </w:pPr>
      <w:r w:rsidRPr="00AA4677">
        <w:rPr>
          <w:rFonts w:eastAsia="Times New Roman" w:cs="Times New Roman"/>
          <w:szCs w:val="24"/>
        </w:rPr>
        <w:t>A c</w:t>
      </w:r>
      <w:r w:rsidR="00AB4CC4" w:rsidRPr="00AA4677">
        <w:rPr>
          <w:rFonts w:eastAsia="Times New Roman" w:cs="Times New Roman"/>
          <w:szCs w:val="24"/>
        </w:rPr>
        <w:t xml:space="preserve">linical Investigator must </w:t>
      </w:r>
      <w:r w:rsidR="00D36396" w:rsidRPr="00AA4677">
        <w:rPr>
          <w:rFonts w:eastAsia="Times New Roman" w:cs="Times New Roman"/>
          <w:szCs w:val="24"/>
        </w:rPr>
        <w:t>maintain the following:</w:t>
      </w:r>
    </w:p>
    <w:p w14:paraId="57BBB381" w14:textId="77777777" w:rsidR="00D36396"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Current curriculum vitae (CV)</w:t>
      </w:r>
    </w:p>
    <w:p w14:paraId="56E22FEF" w14:textId="77777777" w:rsidR="00D36396"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Protocol</w:t>
      </w:r>
    </w:p>
    <w:p w14:paraId="3E55B605" w14:textId="77777777" w:rsidR="00D36396"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Records of receipt and disposition of drugs</w:t>
      </w:r>
    </w:p>
    <w:p w14:paraId="7934C19E" w14:textId="77777777" w:rsidR="00D36396"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List of any co-investigators with their curriculum vitae</w:t>
      </w:r>
    </w:p>
    <w:p w14:paraId="77F4C880" w14:textId="77777777" w:rsidR="00D36396"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Certification that all physicians, dentists, and/or nurses responsible in the study have appropriate valid licenses for the duration of the investigation, and</w:t>
      </w:r>
    </w:p>
    <w:p w14:paraId="04BCCB51" w14:textId="77777777" w:rsidR="00D36396"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Case histories with </w:t>
      </w:r>
      <w:proofErr w:type="gramStart"/>
      <w:r w:rsidRPr="00AA4677">
        <w:rPr>
          <w:rFonts w:eastAsia="Times New Roman" w:cs="Times New Roman"/>
          <w:szCs w:val="24"/>
        </w:rPr>
        <w:t>particular documentation</w:t>
      </w:r>
      <w:proofErr w:type="gramEnd"/>
      <w:r w:rsidRPr="00AA4677">
        <w:rPr>
          <w:rFonts w:eastAsia="Times New Roman" w:cs="Times New Roman"/>
          <w:szCs w:val="24"/>
        </w:rPr>
        <w:t xml:space="preserve"> on evidence of drug effects. Emphasis is on toxicity and possible untoward happenings.  All unanticipated problems involving risk to subjects or others are reportable, in accordance with Section 8.   </w:t>
      </w:r>
    </w:p>
    <w:p w14:paraId="59D09CCB" w14:textId="77777777" w:rsidR="00D36396"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IRB letters of approval.</w:t>
      </w:r>
    </w:p>
    <w:p w14:paraId="331C04B1" w14:textId="5DF6BA95" w:rsidR="00D36396" w:rsidRPr="00AA4677" w:rsidRDefault="00D36396">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Other documents as outlined in the </w:t>
      </w:r>
      <w:r w:rsidR="00DB40B5" w:rsidRPr="00AA4677">
        <w:rPr>
          <w:rFonts w:eastAsia="Times New Roman" w:cs="Times New Roman"/>
          <w:szCs w:val="24"/>
        </w:rPr>
        <w:t>Human Research</w:t>
      </w:r>
      <w:r w:rsidRPr="00AA4677">
        <w:rPr>
          <w:rFonts w:eastAsia="Times New Roman" w:cs="Times New Roman"/>
          <w:szCs w:val="24"/>
        </w:rPr>
        <w:t xml:space="preserve"> Protection Program Standard Operating Procedures.</w:t>
      </w:r>
    </w:p>
    <w:p w14:paraId="54ECD82F" w14:textId="193671D7" w:rsidR="00D36396" w:rsidRPr="00AA4677" w:rsidRDefault="00D36396" w:rsidP="001D3801">
      <w:pPr>
        <w:pStyle w:val="Heading4"/>
      </w:pPr>
      <w:r w:rsidRPr="00AA4677">
        <w:t>7.</w:t>
      </w:r>
      <w:r w:rsidR="001C1323" w:rsidRPr="00AA4677">
        <w:t>7</w:t>
      </w:r>
      <w:r w:rsidRPr="00AA4677">
        <w:t xml:space="preserve">.1.3 Device Research </w:t>
      </w:r>
    </w:p>
    <w:p w14:paraId="50ADFBAF" w14:textId="202334EF" w:rsidR="0078398F" w:rsidRPr="00AA4677" w:rsidRDefault="0078398F">
      <w:pPr>
        <w:pStyle w:val="ListParagraph"/>
        <w:numPr>
          <w:ilvl w:val="0"/>
          <w:numId w:val="130"/>
        </w:num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 xml:space="preserve">The clinical investigator must sign an agreement with the sponsor that includes a statement of the clinical investigator’s commitment to: [21 CFR §812.43(c)(4)] </w:t>
      </w:r>
    </w:p>
    <w:p w14:paraId="3D9D3BE5" w14:textId="3699F859" w:rsidR="0078398F" w:rsidRPr="00AA4677" w:rsidRDefault="00C55CAB">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C</w:t>
      </w:r>
      <w:r w:rsidR="0078398F" w:rsidRPr="00AA4677">
        <w:rPr>
          <w:rFonts w:eastAsia="Times New Roman" w:cs="Times New Roman"/>
          <w:szCs w:val="24"/>
        </w:rPr>
        <w:t xml:space="preserve">onduct the investigation in accordance with the agreement, the </w:t>
      </w:r>
      <w:proofErr w:type="gramStart"/>
      <w:r w:rsidR="0078398F" w:rsidRPr="00AA4677">
        <w:rPr>
          <w:rFonts w:eastAsia="Times New Roman" w:cs="Times New Roman"/>
          <w:szCs w:val="24"/>
        </w:rPr>
        <w:t>investigational</w:t>
      </w:r>
      <w:proofErr w:type="gramEnd"/>
      <w:r w:rsidR="0078398F" w:rsidRPr="00AA4677">
        <w:rPr>
          <w:rFonts w:eastAsia="Times New Roman" w:cs="Times New Roman"/>
          <w:szCs w:val="24"/>
        </w:rPr>
        <w:t xml:space="preserve"> plan, applicable FDA regulations, and conditions of approval imposed by the reviewing IRB or </w:t>
      </w:r>
      <w:proofErr w:type="gramStart"/>
      <w:r w:rsidR="0078398F" w:rsidRPr="00AA4677">
        <w:rPr>
          <w:rFonts w:eastAsia="Times New Roman" w:cs="Times New Roman"/>
          <w:szCs w:val="24"/>
        </w:rPr>
        <w:t>FDA</w:t>
      </w:r>
      <w:r w:rsidRPr="00AA4677">
        <w:rPr>
          <w:rFonts w:eastAsia="Times New Roman" w:cs="Times New Roman"/>
          <w:szCs w:val="24"/>
        </w:rPr>
        <w:t>;</w:t>
      </w:r>
      <w:proofErr w:type="gramEnd"/>
      <w:r w:rsidR="0078398F" w:rsidRPr="00AA4677">
        <w:rPr>
          <w:rFonts w:eastAsia="Times New Roman" w:cs="Times New Roman"/>
          <w:szCs w:val="24"/>
        </w:rPr>
        <w:t xml:space="preserve"> </w:t>
      </w:r>
    </w:p>
    <w:p w14:paraId="540F996E" w14:textId="01B27484" w:rsidR="0078398F" w:rsidRPr="00AA4677" w:rsidRDefault="00C55CAB">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S</w:t>
      </w:r>
      <w:r w:rsidR="0078398F" w:rsidRPr="00AA4677">
        <w:rPr>
          <w:rFonts w:eastAsia="Times New Roman" w:cs="Times New Roman"/>
          <w:szCs w:val="24"/>
        </w:rPr>
        <w:t>upervise all testing of the device involving human participants</w:t>
      </w:r>
      <w:r w:rsidRPr="00AA4677">
        <w:rPr>
          <w:rFonts w:eastAsia="Times New Roman" w:cs="Times New Roman"/>
          <w:szCs w:val="24"/>
        </w:rPr>
        <w:t xml:space="preserve">; and </w:t>
      </w:r>
      <w:r w:rsidR="0078398F" w:rsidRPr="00AA4677">
        <w:rPr>
          <w:rFonts w:eastAsia="Times New Roman" w:cs="Times New Roman"/>
          <w:szCs w:val="24"/>
        </w:rPr>
        <w:t xml:space="preserve"> </w:t>
      </w:r>
    </w:p>
    <w:p w14:paraId="757DF79C" w14:textId="362CAE91" w:rsidR="0078398F" w:rsidRPr="00AA4677" w:rsidRDefault="00C55CAB">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E</w:t>
      </w:r>
      <w:r w:rsidR="0078398F" w:rsidRPr="00AA4677">
        <w:rPr>
          <w:rFonts w:eastAsia="Times New Roman" w:cs="Times New Roman"/>
          <w:szCs w:val="24"/>
        </w:rPr>
        <w:t>nsure that the requirements for obtaining informed consent are met</w:t>
      </w:r>
      <w:r w:rsidRPr="00AA4677">
        <w:rPr>
          <w:rFonts w:eastAsia="Times New Roman" w:cs="Times New Roman"/>
          <w:szCs w:val="24"/>
        </w:rPr>
        <w:t>.</w:t>
      </w:r>
      <w:r w:rsidR="0078398F" w:rsidRPr="00AA4677">
        <w:rPr>
          <w:rFonts w:eastAsia="Times New Roman" w:cs="Times New Roman"/>
          <w:szCs w:val="24"/>
        </w:rPr>
        <w:t xml:space="preserve"> </w:t>
      </w:r>
    </w:p>
    <w:p w14:paraId="15F1B110" w14:textId="6D339528" w:rsidR="0078398F" w:rsidRPr="00AA4677" w:rsidRDefault="0078398F">
      <w:pPr>
        <w:pStyle w:val="ListParagraph"/>
        <w:numPr>
          <w:ilvl w:val="0"/>
          <w:numId w:val="130"/>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clinical investigator must ensure that an investigation is conducted according to the signed agreement, the investigational plan and applicable FDA regulations </w:t>
      </w:r>
    </w:p>
    <w:p w14:paraId="1D2E73C5" w14:textId="6EEE0A27" w:rsidR="00D36396" w:rsidRPr="00AA4677" w:rsidRDefault="0078398F">
      <w:pPr>
        <w:pStyle w:val="ListParagraph"/>
        <w:numPr>
          <w:ilvl w:val="0"/>
          <w:numId w:val="130"/>
        </w:numPr>
        <w:shd w:val="clear" w:color="auto" w:fill="FFFFFF"/>
        <w:spacing w:after="0" w:line="240" w:lineRule="auto"/>
        <w:rPr>
          <w:rFonts w:eastAsia="Times New Roman" w:cs="Times New Roman"/>
          <w:szCs w:val="24"/>
        </w:rPr>
      </w:pPr>
      <w:r w:rsidRPr="00AA4677">
        <w:rPr>
          <w:rFonts w:eastAsia="Times New Roman" w:cs="Times New Roman"/>
          <w:szCs w:val="24"/>
        </w:rPr>
        <w:t>The Clinical Investigator</w:t>
      </w:r>
      <w:r w:rsidR="00D36396" w:rsidRPr="00AA4677">
        <w:rPr>
          <w:rFonts w:eastAsia="Times New Roman" w:cs="Times New Roman"/>
          <w:szCs w:val="24"/>
        </w:rPr>
        <w:t xml:space="preserve"> </w:t>
      </w:r>
      <w:r w:rsidRPr="00AA4677">
        <w:rPr>
          <w:rFonts w:eastAsia="Times New Roman" w:cs="Times New Roman"/>
          <w:szCs w:val="24"/>
        </w:rPr>
        <w:t xml:space="preserve">is responsible for the control of devices under investigation and will therefore be </w:t>
      </w:r>
      <w:r w:rsidR="00D36396" w:rsidRPr="00AA4677">
        <w:rPr>
          <w:rFonts w:eastAsia="Times New Roman" w:cs="Times New Roman"/>
          <w:szCs w:val="24"/>
        </w:rPr>
        <w:t>required to provide a plan – to be evaluated by the IRB - that includes storage, security, and dispensing of the device, and will be responsible for accounting, return, disposition, and records of accountability per the study protocol.</w:t>
      </w:r>
      <w:r w:rsidR="003F1FC7" w:rsidRPr="00AA4677">
        <w:rPr>
          <w:rFonts w:eastAsia="Times New Roman" w:cs="Times New Roman"/>
          <w:szCs w:val="24"/>
        </w:rPr>
        <w:t xml:space="preserve"> If the IRB determines that it does not have the necessary expertise to evaluate the plan, outside consultation will be used (e.g., Biomedical Engineering).</w:t>
      </w:r>
    </w:p>
    <w:p w14:paraId="3ADC76AF" w14:textId="1C221F39" w:rsidR="003F1FC7" w:rsidRPr="00AA4677" w:rsidRDefault="00D36396">
      <w:pPr>
        <w:numPr>
          <w:ilvl w:val="0"/>
          <w:numId w:val="130"/>
        </w:numPr>
        <w:shd w:val="clear" w:color="auto" w:fill="FFFFFF"/>
        <w:tabs>
          <w:tab w:val="num" w:pos="1080"/>
        </w:tabs>
        <w:spacing w:after="0" w:line="240" w:lineRule="auto"/>
        <w:rPr>
          <w:rFonts w:eastAsia="Times New Roman" w:cs="Times New Roman"/>
          <w:szCs w:val="24"/>
        </w:rPr>
      </w:pPr>
      <w:r w:rsidRPr="00AA4677">
        <w:rPr>
          <w:rFonts w:eastAsia="Times New Roman" w:cs="Times New Roman"/>
          <w:szCs w:val="24"/>
        </w:rPr>
        <w:t xml:space="preserve">All devices received for a study must be stored in a locked environment under secure control with limited access.  The area must be within an area of PI’s control.  Proper instructions on the use of the device must be provided </w:t>
      </w:r>
      <w:proofErr w:type="gramStart"/>
      <w:r w:rsidRPr="00AA4677">
        <w:rPr>
          <w:rFonts w:eastAsia="Times New Roman" w:cs="Times New Roman"/>
          <w:szCs w:val="24"/>
        </w:rPr>
        <w:t>to</w:t>
      </w:r>
      <w:proofErr w:type="gramEnd"/>
      <w:r w:rsidRPr="00AA4677">
        <w:rPr>
          <w:rFonts w:eastAsia="Times New Roman" w:cs="Times New Roman"/>
          <w:szCs w:val="24"/>
        </w:rPr>
        <w:t xml:space="preserve"> the subjects.  A log must be kept regarding the receipt, use, and/or dispensing of the device </w:t>
      </w:r>
      <w:r w:rsidR="003F1FC7" w:rsidRPr="00AA4677">
        <w:rPr>
          <w:rFonts w:eastAsia="Times New Roman" w:cs="Times New Roman"/>
          <w:szCs w:val="24"/>
        </w:rPr>
        <w:t xml:space="preserve">(identification/serial number of the device, name of subject, date dispensed, by whom it was dispensed, and amount remaining) as well as the </w:t>
      </w:r>
      <w:r w:rsidRPr="00AA4677">
        <w:rPr>
          <w:rFonts w:eastAsia="Times New Roman" w:cs="Times New Roman"/>
          <w:szCs w:val="24"/>
        </w:rPr>
        <w:t xml:space="preserve">disposition of </w:t>
      </w:r>
      <w:r w:rsidR="003F1FC7" w:rsidRPr="00AA4677">
        <w:rPr>
          <w:rFonts w:eastAsia="Times New Roman" w:cs="Times New Roman"/>
          <w:szCs w:val="24"/>
        </w:rPr>
        <w:t xml:space="preserve">used and unused </w:t>
      </w:r>
      <w:r w:rsidRPr="00AA4677">
        <w:rPr>
          <w:rFonts w:eastAsia="Times New Roman" w:cs="Times New Roman"/>
          <w:szCs w:val="24"/>
        </w:rPr>
        <w:t>devices at the conclusion of the investigation.</w:t>
      </w:r>
      <w:r w:rsidR="003F1FC7" w:rsidRPr="00AA4677">
        <w:rPr>
          <w:rFonts w:eastAsia="Times New Roman" w:cs="Times New Roman"/>
          <w:szCs w:val="24"/>
        </w:rPr>
        <w:t xml:space="preserve"> Details: [21 CFR §812.140]</w:t>
      </w:r>
      <w:r w:rsidR="00C55CAB" w:rsidRPr="00AA4677">
        <w:rPr>
          <w:rFonts w:cs="Helvetica"/>
        </w:rPr>
        <w:t xml:space="preserve"> </w:t>
      </w:r>
      <w:r w:rsidR="00C55CAB" w:rsidRPr="00AA4677">
        <w:rPr>
          <w:rFonts w:eastAsia="Times New Roman" w:cs="Times New Roman"/>
          <w:szCs w:val="24"/>
        </w:rPr>
        <w:t xml:space="preserve">VIT D2 1.25 MG </w:t>
      </w:r>
      <w:r w:rsidR="003F1FC7" w:rsidRPr="00AA4677">
        <w:rPr>
          <w:rFonts w:eastAsia="Times New Roman" w:cs="Times New Roman"/>
          <w:szCs w:val="24"/>
        </w:rPr>
        <w:t xml:space="preserve">The clinical Investigator will maintain records of each participant's case history and exposure to the device. Case histories include the case report forms and supporting data (e.g., signed and dated consent forms and medical records, progress notes of the physician, the individual's hospital chart(s), and the nurses' notes). Such records will include: </w:t>
      </w:r>
    </w:p>
    <w:p w14:paraId="36C1DB76" w14:textId="74059113" w:rsidR="003F1FC7" w:rsidRPr="00AA4677" w:rsidRDefault="003F1FC7">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Documents evidencing informed consent and, for any use of a device by the clinical investigator without informed consent, any written concurrence of a licensed physician and a brief description of the circumstances justifying the failure to obtain informed consent. The case history for </w:t>
      </w:r>
      <w:proofErr w:type="gramStart"/>
      <w:r w:rsidRPr="00AA4677">
        <w:rPr>
          <w:rFonts w:eastAsia="Times New Roman" w:cs="Times New Roman"/>
          <w:szCs w:val="24"/>
        </w:rPr>
        <w:t>each individual</w:t>
      </w:r>
      <w:proofErr w:type="gramEnd"/>
      <w:r w:rsidRPr="00AA4677">
        <w:rPr>
          <w:rFonts w:eastAsia="Times New Roman" w:cs="Times New Roman"/>
          <w:szCs w:val="24"/>
        </w:rPr>
        <w:t xml:space="preserve"> will document that informed consent was obtained prior to participation in the study. </w:t>
      </w:r>
    </w:p>
    <w:p w14:paraId="460D0712" w14:textId="6933C2E1" w:rsidR="003F1FC7" w:rsidRPr="00AA4677" w:rsidRDefault="003F1FC7">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All relevant observations, including records concerning adverse device effects (whether anticipated or unanticipated), information and data on the condition of each participant upon entering, and </w:t>
      </w:r>
      <w:proofErr w:type="gramStart"/>
      <w:r w:rsidRPr="00AA4677">
        <w:rPr>
          <w:rFonts w:eastAsia="Times New Roman" w:cs="Times New Roman"/>
          <w:szCs w:val="24"/>
        </w:rPr>
        <w:t>during the course of</w:t>
      </w:r>
      <w:proofErr w:type="gramEnd"/>
      <w:r w:rsidRPr="00AA4677">
        <w:rPr>
          <w:rFonts w:eastAsia="Times New Roman" w:cs="Times New Roman"/>
          <w:szCs w:val="24"/>
        </w:rPr>
        <w:t xml:space="preserve">, the investigation, including information about relevant previous medical history and the results of all diagnostic tests. </w:t>
      </w:r>
    </w:p>
    <w:p w14:paraId="7CD52922" w14:textId="016C5EBF" w:rsidR="003F1FC7" w:rsidRPr="00AA4677" w:rsidRDefault="003F1FC7">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A record of the exposure of each participant to the investigational device, including the date and time of each use, and any other therapy. </w:t>
      </w:r>
    </w:p>
    <w:p w14:paraId="1897F743" w14:textId="1DD44782" w:rsidR="003F1FC7" w:rsidRPr="00AA4677" w:rsidRDefault="003F1FC7">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The protocol, with documents showing the dates of and reasons for each deviation from the protocol. </w:t>
      </w:r>
    </w:p>
    <w:p w14:paraId="44370805" w14:textId="1F218DAE" w:rsidR="003F1FC7" w:rsidRPr="00AA4677" w:rsidRDefault="003F1FC7">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lastRenderedPageBreak/>
        <w:t>Any other records that FDA requires to be maintained by regulation or by specific requirement for a category of investigations or a particular investigation.</w:t>
      </w:r>
    </w:p>
    <w:p w14:paraId="5661CD04" w14:textId="50F3D742" w:rsidR="00CF7A7C" w:rsidRPr="00AA4677" w:rsidRDefault="00CF7A7C">
      <w:pPr>
        <w:pStyle w:val="ListParagraph"/>
        <w:numPr>
          <w:ilvl w:val="0"/>
          <w:numId w:val="130"/>
        </w:numPr>
        <w:shd w:val="clear" w:color="auto" w:fill="FFFFFF"/>
        <w:spacing w:after="0" w:line="240" w:lineRule="auto"/>
        <w:rPr>
          <w:rFonts w:eastAsia="Times New Roman" w:cs="Times New Roman"/>
          <w:szCs w:val="24"/>
        </w:rPr>
      </w:pPr>
      <w:r w:rsidRPr="00AA4677">
        <w:rPr>
          <w:rFonts w:eastAsia="Times New Roman" w:cs="Times New Roman"/>
          <w:szCs w:val="24"/>
        </w:rPr>
        <w:t>Device investigators must report to the s</w:t>
      </w:r>
      <w:r w:rsidR="00C20D68" w:rsidRPr="00AA4677">
        <w:rPr>
          <w:rFonts w:eastAsia="Times New Roman" w:cs="Times New Roman"/>
          <w:szCs w:val="24"/>
        </w:rPr>
        <w:t>ponsor and the SBU IRB</w:t>
      </w:r>
      <w:r w:rsidRPr="00AA4677">
        <w:rPr>
          <w:rFonts w:eastAsia="Times New Roman" w:cs="Times New Roman"/>
          <w:szCs w:val="24"/>
        </w:rPr>
        <w:t>:</w:t>
      </w:r>
    </w:p>
    <w:p w14:paraId="0102ED32" w14:textId="77777777" w:rsidR="00CF7A7C" w:rsidRPr="00AA4677" w:rsidRDefault="00CF7A7C">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Unanticipated adverse device effects</w:t>
      </w:r>
    </w:p>
    <w:p w14:paraId="6852495D" w14:textId="1F37CF66" w:rsidR="00CF7A7C" w:rsidRPr="00AA4677" w:rsidRDefault="00C55CAB">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W</w:t>
      </w:r>
      <w:r w:rsidR="00CF7A7C" w:rsidRPr="00AA4677">
        <w:rPr>
          <w:rFonts w:eastAsia="Times New Roman" w:cs="Times New Roman"/>
          <w:szCs w:val="24"/>
        </w:rPr>
        <w:t>ithdrawal of IRB approval</w:t>
      </w:r>
    </w:p>
    <w:p w14:paraId="241B2876" w14:textId="3B1C4509" w:rsidR="00CF7A7C" w:rsidRPr="00AA4677" w:rsidRDefault="00C55CAB">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R</w:t>
      </w:r>
      <w:r w:rsidR="00CF7A7C" w:rsidRPr="00AA4677">
        <w:rPr>
          <w:rFonts w:eastAsia="Times New Roman" w:cs="Times New Roman"/>
          <w:szCs w:val="24"/>
        </w:rPr>
        <w:t xml:space="preserve">eports of deviations from the approved </w:t>
      </w:r>
      <w:proofErr w:type="gramStart"/>
      <w:r w:rsidR="00CF7A7C" w:rsidRPr="00AA4677">
        <w:rPr>
          <w:rFonts w:eastAsia="Times New Roman" w:cs="Times New Roman"/>
          <w:szCs w:val="24"/>
        </w:rPr>
        <w:t>investigational</w:t>
      </w:r>
      <w:proofErr w:type="gramEnd"/>
      <w:r w:rsidR="00CF7A7C" w:rsidRPr="00AA4677">
        <w:rPr>
          <w:rFonts w:eastAsia="Times New Roman" w:cs="Times New Roman"/>
          <w:szCs w:val="24"/>
        </w:rPr>
        <w:t xml:space="preserve"> plan</w:t>
      </w:r>
    </w:p>
    <w:p w14:paraId="37D56973" w14:textId="469140F6" w:rsidR="00CF7A7C" w:rsidRPr="00AA4677" w:rsidRDefault="00C55CAB">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P</w:t>
      </w:r>
      <w:r w:rsidR="00CF7A7C" w:rsidRPr="00AA4677">
        <w:rPr>
          <w:rFonts w:eastAsia="Times New Roman" w:cs="Times New Roman"/>
          <w:szCs w:val="24"/>
        </w:rPr>
        <w:t>rogress reports (at least annually) and a final report</w:t>
      </w:r>
    </w:p>
    <w:p w14:paraId="038761D8" w14:textId="4D75FD46" w:rsidR="002E5B1D" w:rsidRPr="00AA4677" w:rsidRDefault="00C55CAB">
      <w:pPr>
        <w:numPr>
          <w:ilvl w:val="0"/>
          <w:numId w:val="10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O</w:t>
      </w:r>
      <w:r w:rsidR="00CF7A7C" w:rsidRPr="00AA4677">
        <w:rPr>
          <w:rFonts w:eastAsia="Times New Roman" w:cs="Times New Roman"/>
          <w:szCs w:val="24"/>
        </w:rPr>
        <w:t>ther reports as required/requested by the sponsor or IRB</w:t>
      </w:r>
    </w:p>
    <w:p w14:paraId="6D580192" w14:textId="42825373" w:rsidR="002E5B1D" w:rsidRPr="00AA4677" w:rsidRDefault="00D36396">
      <w:pPr>
        <w:pStyle w:val="ListParagraph"/>
        <w:numPr>
          <w:ilvl w:val="0"/>
          <w:numId w:val="130"/>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 If a device is considered NSR by the PI or sponsor, but after </w:t>
      </w:r>
      <w:proofErr w:type="gramStart"/>
      <w:r w:rsidRPr="00AA4677">
        <w:rPr>
          <w:rFonts w:eastAsia="Times New Roman" w:cs="Times New Roman"/>
          <w:szCs w:val="24"/>
        </w:rPr>
        <w:t>review</w:t>
      </w:r>
      <w:proofErr w:type="gramEnd"/>
      <w:r w:rsidRPr="00AA4677">
        <w:rPr>
          <w:rFonts w:eastAsia="Times New Roman" w:cs="Times New Roman"/>
          <w:szCs w:val="24"/>
        </w:rPr>
        <w:t xml:space="preserve"> the IRB determines the device to have significant risk, upon receipt of written notice the PI is responsible for notifying the sponsor of the IRB’s determination.  The PI must provide the IRB with confirmation of this action.</w:t>
      </w:r>
    </w:p>
    <w:p w14:paraId="12232A36" w14:textId="1CC847A2" w:rsidR="00D36396" w:rsidRPr="00AA4677" w:rsidRDefault="00D36396">
      <w:pPr>
        <w:pStyle w:val="ListParagraph"/>
        <w:numPr>
          <w:ilvl w:val="0"/>
          <w:numId w:val="130"/>
        </w:numPr>
        <w:shd w:val="clear" w:color="auto" w:fill="FFFFFF"/>
        <w:spacing w:after="0" w:line="240" w:lineRule="auto"/>
        <w:rPr>
          <w:rFonts w:eastAsia="Times New Roman" w:cs="Times New Roman"/>
          <w:szCs w:val="24"/>
        </w:rPr>
      </w:pPr>
      <w:r w:rsidRPr="00AA4677">
        <w:rPr>
          <w:rFonts w:eastAsia="Times New Roman" w:cs="Times New Roman"/>
          <w:szCs w:val="24"/>
        </w:rPr>
        <w:t>The PI will maintain the following:</w:t>
      </w:r>
    </w:p>
    <w:p w14:paraId="6A171F26" w14:textId="77777777" w:rsidR="00D36396" w:rsidRPr="00AA4677" w:rsidRDefault="00D36396">
      <w:pPr>
        <w:numPr>
          <w:ilvl w:val="0"/>
          <w:numId w:val="104"/>
        </w:numPr>
        <w:shd w:val="clear" w:color="auto" w:fill="FFFFFF"/>
        <w:tabs>
          <w:tab w:val="clear" w:pos="720"/>
          <w:tab w:val="num" w:pos="1080"/>
        </w:tabs>
        <w:spacing w:after="0" w:line="240" w:lineRule="auto"/>
        <w:ind w:left="360"/>
        <w:rPr>
          <w:rFonts w:eastAsia="Times New Roman" w:cs="Times New Roman"/>
          <w:szCs w:val="24"/>
        </w:rPr>
      </w:pPr>
      <w:r w:rsidRPr="00AA4677">
        <w:rPr>
          <w:rFonts w:eastAsia="Times New Roman" w:cs="Times New Roman"/>
          <w:szCs w:val="24"/>
        </w:rPr>
        <w:t>Current curriculum vitae (CV),</w:t>
      </w:r>
    </w:p>
    <w:p w14:paraId="1412E43A" w14:textId="77777777" w:rsidR="00D36396" w:rsidRPr="00AA4677" w:rsidRDefault="00D36396">
      <w:pPr>
        <w:numPr>
          <w:ilvl w:val="0"/>
          <w:numId w:val="104"/>
        </w:numPr>
        <w:shd w:val="clear" w:color="auto" w:fill="FFFFFF"/>
        <w:tabs>
          <w:tab w:val="clear" w:pos="720"/>
          <w:tab w:val="num" w:pos="1080"/>
        </w:tabs>
        <w:spacing w:after="0" w:line="240" w:lineRule="auto"/>
        <w:ind w:left="360"/>
        <w:rPr>
          <w:rFonts w:eastAsia="Times New Roman" w:cs="Times New Roman"/>
          <w:szCs w:val="24"/>
        </w:rPr>
      </w:pPr>
      <w:r w:rsidRPr="00AA4677">
        <w:rPr>
          <w:rFonts w:eastAsia="Times New Roman" w:cs="Times New Roman"/>
          <w:szCs w:val="24"/>
        </w:rPr>
        <w:t>Protocol of the study,</w:t>
      </w:r>
    </w:p>
    <w:p w14:paraId="33CA3C5E" w14:textId="77777777" w:rsidR="00D36396" w:rsidRPr="00AA4677" w:rsidRDefault="00D36396">
      <w:pPr>
        <w:numPr>
          <w:ilvl w:val="0"/>
          <w:numId w:val="104"/>
        </w:numPr>
        <w:shd w:val="clear" w:color="auto" w:fill="FFFFFF"/>
        <w:tabs>
          <w:tab w:val="clear" w:pos="720"/>
          <w:tab w:val="num" w:pos="1080"/>
        </w:tabs>
        <w:spacing w:after="0" w:line="240" w:lineRule="auto"/>
        <w:ind w:left="360"/>
        <w:rPr>
          <w:rFonts w:eastAsia="Times New Roman" w:cs="Times New Roman"/>
          <w:szCs w:val="24"/>
        </w:rPr>
      </w:pPr>
      <w:r w:rsidRPr="00AA4677">
        <w:rPr>
          <w:rFonts w:eastAsia="Times New Roman" w:cs="Times New Roman"/>
          <w:szCs w:val="24"/>
        </w:rPr>
        <w:t>Records of animal study reports</w:t>
      </w:r>
    </w:p>
    <w:p w14:paraId="707ABDEF" w14:textId="77777777" w:rsidR="00D36396" w:rsidRPr="00AA4677" w:rsidRDefault="00D36396">
      <w:pPr>
        <w:numPr>
          <w:ilvl w:val="0"/>
          <w:numId w:val="104"/>
        </w:numPr>
        <w:shd w:val="clear" w:color="auto" w:fill="FFFFFF"/>
        <w:tabs>
          <w:tab w:val="clear" w:pos="720"/>
          <w:tab w:val="num" w:pos="1080"/>
        </w:tabs>
        <w:spacing w:after="0" w:line="240" w:lineRule="auto"/>
        <w:ind w:left="360"/>
        <w:rPr>
          <w:rFonts w:eastAsia="Times New Roman" w:cs="Times New Roman"/>
          <w:szCs w:val="24"/>
        </w:rPr>
      </w:pPr>
      <w:r w:rsidRPr="00AA4677">
        <w:rPr>
          <w:rFonts w:eastAsia="Times New Roman" w:cs="Times New Roman"/>
          <w:szCs w:val="24"/>
        </w:rPr>
        <w:t>Records of receipt and dispo</w:t>
      </w:r>
      <w:r w:rsidRPr="00AA4677">
        <w:rPr>
          <w:rFonts w:eastAsia="Times New Roman" w:cs="Times New Roman"/>
          <w:szCs w:val="24"/>
        </w:rPr>
        <w:softHyphen/>
        <w:t>sition of devices</w:t>
      </w:r>
    </w:p>
    <w:p w14:paraId="2FD56739" w14:textId="77777777" w:rsidR="00D36396" w:rsidRPr="00AA4677" w:rsidRDefault="00D36396">
      <w:pPr>
        <w:numPr>
          <w:ilvl w:val="0"/>
          <w:numId w:val="104"/>
        </w:numPr>
        <w:shd w:val="clear" w:color="auto" w:fill="FFFFFF"/>
        <w:tabs>
          <w:tab w:val="clear" w:pos="720"/>
          <w:tab w:val="num" w:pos="1080"/>
        </w:tabs>
        <w:spacing w:after="0" w:line="240" w:lineRule="auto"/>
        <w:ind w:left="360"/>
        <w:rPr>
          <w:rFonts w:eastAsia="Times New Roman" w:cs="Times New Roman"/>
          <w:szCs w:val="24"/>
        </w:rPr>
      </w:pPr>
      <w:r w:rsidRPr="00AA4677">
        <w:rPr>
          <w:rFonts w:eastAsia="Times New Roman" w:cs="Times New Roman"/>
          <w:szCs w:val="24"/>
        </w:rPr>
        <w:t>List of any co-investigators with their curriculum vitae,</w:t>
      </w:r>
    </w:p>
    <w:p w14:paraId="28E5B0AD" w14:textId="77777777" w:rsidR="00D36396" w:rsidRPr="00AA4677" w:rsidRDefault="00D36396">
      <w:pPr>
        <w:numPr>
          <w:ilvl w:val="0"/>
          <w:numId w:val="104"/>
        </w:numPr>
        <w:shd w:val="clear" w:color="auto" w:fill="FFFFFF"/>
        <w:tabs>
          <w:tab w:val="clear" w:pos="720"/>
          <w:tab w:val="num" w:pos="1080"/>
        </w:tabs>
        <w:spacing w:after="0" w:line="240" w:lineRule="auto"/>
        <w:ind w:left="360"/>
        <w:rPr>
          <w:rFonts w:eastAsia="Times New Roman" w:cs="Times New Roman"/>
          <w:szCs w:val="24"/>
        </w:rPr>
      </w:pPr>
      <w:r w:rsidRPr="00AA4677">
        <w:rPr>
          <w:rFonts w:eastAsia="Times New Roman" w:cs="Times New Roman"/>
          <w:szCs w:val="24"/>
        </w:rPr>
        <w:t>Certification that all physi</w:t>
      </w:r>
      <w:r w:rsidRPr="00AA4677">
        <w:rPr>
          <w:rFonts w:eastAsia="Times New Roman" w:cs="Times New Roman"/>
          <w:szCs w:val="24"/>
        </w:rPr>
        <w:softHyphen/>
        <w:t>cians, dentists, and/or nurses responsible in the study have appropriate valid licenses for the duration of the investigation,</w:t>
      </w:r>
    </w:p>
    <w:p w14:paraId="0EB7B4D1" w14:textId="2C71AD1F" w:rsidR="00D36396" w:rsidRPr="00AA4677" w:rsidRDefault="00D36396">
      <w:pPr>
        <w:numPr>
          <w:ilvl w:val="0"/>
          <w:numId w:val="104"/>
        </w:numPr>
        <w:shd w:val="clear" w:color="auto" w:fill="FFFFFF"/>
        <w:tabs>
          <w:tab w:val="clear" w:pos="720"/>
          <w:tab w:val="num" w:pos="1080"/>
        </w:tabs>
        <w:spacing w:after="0" w:line="240" w:lineRule="auto"/>
        <w:ind w:left="360"/>
        <w:rPr>
          <w:rFonts w:eastAsia="Times New Roman" w:cs="Times New Roman"/>
          <w:szCs w:val="24"/>
        </w:rPr>
      </w:pPr>
      <w:r w:rsidRPr="00AA4677">
        <w:rPr>
          <w:rFonts w:eastAsia="Times New Roman" w:cs="Times New Roman"/>
          <w:szCs w:val="24"/>
        </w:rPr>
        <w:t xml:space="preserve">Case histories with </w:t>
      </w:r>
      <w:proofErr w:type="gramStart"/>
      <w:r w:rsidRPr="00AA4677">
        <w:rPr>
          <w:rFonts w:eastAsia="Times New Roman" w:cs="Times New Roman"/>
          <w:szCs w:val="24"/>
        </w:rPr>
        <w:t>particular documentation</w:t>
      </w:r>
      <w:proofErr w:type="gramEnd"/>
      <w:r w:rsidRPr="00AA4677">
        <w:rPr>
          <w:rFonts w:eastAsia="Times New Roman" w:cs="Times New Roman"/>
          <w:szCs w:val="24"/>
        </w:rPr>
        <w:t xml:space="preserve"> on evidence of effects.  Emphasis is on safety and possible untoward happenings. All unanticipated adverse device effects are reportable, per Section  8</w:t>
      </w:r>
      <w:r w:rsidR="00001A14" w:rsidRPr="00AA4677">
        <w:rPr>
          <w:rFonts w:eastAsia="Times New Roman" w:cs="Times New Roman"/>
          <w:szCs w:val="24"/>
        </w:rPr>
        <w:t>, SOPs</w:t>
      </w:r>
    </w:p>
    <w:p w14:paraId="38A072D8" w14:textId="77777777" w:rsidR="00D36396" w:rsidRPr="00AA4677" w:rsidRDefault="00D36396">
      <w:pPr>
        <w:numPr>
          <w:ilvl w:val="0"/>
          <w:numId w:val="104"/>
        </w:numPr>
        <w:shd w:val="clear" w:color="auto" w:fill="FFFFFF"/>
        <w:tabs>
          <w:tab w:val="clear" w:pos="720"/>
          <w:tab w:val="num" w:pos="1080"/>
        </w:tabs>
        <w:spacing w:after="0" w:line="240" w:lineRule="auto"/>
        <w:ind w:left="360"/>
        <w:rPr>
          <w:rFonts w:eastAsia="Times New Roman" w:cs="Times New Roman"/>
          <w:szCs w:val="24"/>
        </w:rPr>
      </w:pPr>
      <w:r w:rsidRPr="00AA4677">
        <w:rPr>
          <w:rFonts w:eastAsia="Times New Roman" w:cs="Times New Roman"/>
          <w:szCs w:val="24"/>
        </w:rPr>
        <w:t>IRB letters of approval</w:t>
      </w:r>
    </w:p>
    <w:p w14:paraId="7E6295CB" w14:textId="6A125F39" w:rsidR="00D36396" w:rsidRPr="00AA4677" w:rsidRDefault="00001A14">
      <w:pPr>
        <w:numPr>
          <w:ilvl w:val="0"/>
          <w:numId w:val="104"/>
        </w:numPr>
        <w:shd w:val="clear" w:color="auto" w:fill="FFFFFF"/>
        <w:tabs>
          <w:tab w:val="clear" w:pos="720"/>
          <w:tab w:val="num" w:pos="1080"/>
        </w:tabs>
        <w:spacing w:after="0" w:line="240" w:lineRule="auto"/>
        <w:ind w:left="360"/>
        <w:rPr>
          <w:rFonts w:eastAsia="Times New Roman" w:cs="Times New Roman"/>
          <w:szCs w:val="24"/>
        </w:rPr>
      </w:pPr>
      <w:r w:rsidRPr="00AA4677">
        <w:rPr>
          <w:rFonts w:eastAsia="Times New Roman" w:cs="Times New Roman"/>
          <w:szCs w:val="24"/>
        </w:rPr>
        <w:t>Device training.</w:t>
      </w:r>
    </w:p>
    <w:p w14:paraId="271977F8" w14:textId="77777777" w:rsidR="00D36396" w:rsidRPr="00AA4677" w:rsidRDefault="00D36396">
      <w:pPr>
        <w:numPr>
          <w:ilvl w:val="0"/>
          <w:numId w:val="104"/>
        </w:numPr>
        <w:shd w:val="clear" w:color="auto" w:fill="FFFFFF"/>
        <w:tabs>
          <w:tab w:val="clear" w:pos="720"/>
          <w:tab w:val="num" w:pos="1080"/>
        </w:tabs>
        <w:spacing w:after="0" w:line="240" w:lineRule="auto"/>
        <w:ind w:left="360"/>
        <w:rPr>
          <w:rFonts w:eastAsia="Times New Roman" w:cs="Times New Roman"/>
          <w:szCs w:val="24"/>
        </w:rPr>
      </w:pPr>
      <w:r w:rsidRPr="00AA4677">
        <w:rPr>
          <w:rFonts w:eastAsia="Times New Roman" w:cs="Times New Roman"/>
          <w:szCs w:val="24"/>
        </w:rPr>
        <w:t>Other documents as required in these Standard Operating Procedures.     </w:t>
      </w:r>
    </w:p>
    <w:p w14:paraId="2A778F89" w14:textId="58BA071E" w:rsidR="00D36396" w:rsidRPr="00AA4677" w:rsidRDefault="00D36396" w:rsidP="001D3801">
      <w:pPr>
        <w:pStyle w:val="Heading4"/>
      </w:pPr>
      <w:r w:rsidRPr="00AA4677">
        <w:t>7.</w:t>
      </w:r>
      <w:r w:rsidR="001C1323" w:rsidRPr="00AA4677">
        <w:t>7</w:t>
      </w:r>
      <w:r w:rsidRPr="00AA4677">
        <w:t xml:space="preserve">.1.4 </w:t>
      </w:r>
      <w:r w:rsidR="00C20D68" w:rsidRPr="00AA4677">
        <w:t xml:space="preserve"> </w:t>
      </w:r>
      <w:r w:rsidR="00001A14" w:rsidRPr="00AA4677">
        <w:rPr>
          <w:i/>
        </w:rPr>
        <w:t xml:space="preserve">Additional </w:t>
      </w:r>
      <w:r w:rsidR="00001A14" w:rsidRPr="00AA4677">
        <w:t>Responsibilities When the Clinical Investigator</w:t>
      </w:r>
      <w:r w:rsidRPr="00AA4677">
        <w:t xml:space="preserve"> is also the Sponsor of the IND or IDE </w:t>
      </w:r>
      <w:r w:rsidR="00001A14" w:rsidRPr="00AA4677">
        <w:t>(“Sponsor-Investigator”)</w:t>
      </w:r>
    </w:p>
    <w:p w14:paraId="61A56106" w14:textId="78265F34" w:rsidR="00001A14" w:rsidRPr="00AA4677" w:rsidRDefault="00001A14" w:rsidP="00001A14">
      <w:pPr>
        <w:autoSpaceDE w:val="0"/>
        <w:autoSpaceDN w:val="0"/>
        <w:adjustRightInd w:val="0"/>
        <w:rPr>
          <w:rFonts w:cs="Arial"/>
        </w:rPr>
      </w:pPr>
      <w:r w:rsidRPr="00AA4677">
        <w:rPr>
          <w:rFonts w:cs="Arial"/>
        </w:rPr>
        <w:t xml:space="preserve">These studies in question are typically investigator-initiated studies that use an investigational drug or device or use an approved drug or device for investigational purposes.  </w:t>
      </w:r>
    </w:p>
    <w:p w14:paraId="1F13372F" w14:textId="4A70D80F" w:rsidR="00001A14" w:rsidRPr="00AA4677" w:rsidRDefault="00001A14">
      <w:pPr>
        <w:pStyle w:val="ListParagraph"/>
        <w:numPr>
          <w:ilvl w:val="0"/>
          <w:numId w:val="133"/>
        </w:numPr>
        <w:autoSpaceDE w:val="0"/>
        <w:autoSpaceDN w:val="0"/>
        <w:adjustRightInd w:val="0"/>
        <w:rPr>
          <w:rFonts w:cs="Arial"/>
          <w:b/>
          <w:bCs/>
        </w:rPr>
      </w:pPr>
      <w:r w:rsidRPr="00AA4677">
        <w:rPr>
          <w:rFonts w:cs="Arial"/>
          <w:b/>
          <w:bCs/>
        </w:rPr>
        <w:t>Sponsors-Investigators: General</w:t>
      </w:r>
    </w:p>
    <w:p w14:paraId="02019C0F" w14:textId="5D427361" w:rsidR="00001A14" w:rsidRPr="00AA4677" w:rsidRDefault="00001A14">
      <w:pPr>
        <w:pStyle w:val="Default"/>
        <w:numPr>
          <w:ilvl w:val="0"/>
          <w:numId w:val="131"/>
        </w:numPr>
        <w:ind w:right="-720"/>
        <w:jc w:val="both"/>
        <w:rPr>
          <w:rFonts w:asciiTheme="minorHAnsi" w:hAnsiTheme="minorHAnsi"/>
          <w:color w:val="auto"/>
        </w:rPr>
      </w:pPr>
      <w:r w:rsidRPr="00AA4677">
        <w:rPr>
          <w:rFonts w:asciiTheme="minorHAnsi" w:hAnsiTheme="minorHAnsi"/>
          <w:color w:val="auto"/>
        </w:rPr>
        <w:t>The investigator has both investigator responsibilities (as above), and sponsor responsibilities, which include:</w:t>
      </w:r>
    </w:p>
    <w:p w14:paraId="12CC8E85" w14:textId="014A1353" w:rsidR="00001A14" w:rsidRPr="00AA4677" w:rsidRDefault="00001A14">
      <w:pPr>
        <w:numPr>
          <w:ilvl w:val="0"/>
          <w:numId w:val="263"/>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Selecting qualified </w:t>
      </w:r>
      <w:proofErr w:type="gramStart"/>
      <w:r w:rsidRPr="00AA4677">
        <w:rPr>
          <w:rFonts w:eastAsia="Times New Roman" w:cs="Times New Roman"/>
          <w:szCs w:val="24"/>
        </w:rPr>
        <w:t>investigators</w:t>
      </w:r>
      <w:r w:rsidR="00F3050F" w:rsidRPr="00AA4677">
        <w:rPr>
          <w:rFonts w:eastAsia="Times New Roman" w:cs="Times New Roman"/>
          <w:szCs w:val="24"/>
        </w:rPr>
        <w:t>;</w:t>
      </w:r>
      <w:proofErr w:type="gramEnd"/>
    </w:p>
    <w:p w14:paraId="4C843818" w14:textId="11D40250" w:rsidR="00001A14" w:rsidRPr="00AA4677" w:rsidRDefault="00001A14">
      <w:pPr>
        <w:numPr>
          <w:ilvl w:val="0"/>
          <w:numId w:val="263"/>
        </w:num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 xml:space="preserve">Providing investigators with the information they need to conduct the investigation </w:t>
      </w:r>
      <w:proofErr w:type="gramStart"/>
      <w:r w:rsidRPr="00AA4677">
        <w:rPr>
          <w:rFonts w:eastAsia="Times New Roman" w:cs="Times New Roman"/>
          <w:szCs w:val="24"/>
        </w:rPr>
        <w:t>properly</w:t>
      </w:r>
      <w:r w:rsidR="00F3050F" w:rsidRPr="00AA4677">
        <w:rPr>
          <w:rFonts w:eastAsia="Times New Roman" w:cs="Times New Roman"/>
          <w:szCs w:val="24"/>
        </w:rPr>
        <w:t>;</w:t>
      </w:r>
      <w:proofErr w:type="gramEnd"/>
    </w:p>
    <w:p w14:paraId="0768CEE8" w14:textId="0D698285" w:rsidR="00001A14" w:rsidRPr="00AA4677" w:rsidRDefault="00001A14">
      <w:pPr>
        <w:numPr>
          <w:ilvl w:val="0"/>
          <w:numId w:val="263"/>
        </w:numPr>
        <w:shd w:val="clear" w:color="auto" w:fill="FFFFFF"/>
        <w:spacing w:after="0" w:line="240" w:lineRule="auto"/>
        <w:rPr>
          <w:rFonts w:eastAsia="Times New Roman" w:cs="Times New Roman"/>
          <w:szCs w:val="24"/>
        </w:rPr>
      </w:pPr>
      <w:r w:rsidRPr="00AA4677">
        <w:rPr>
          <w:rFonts w:eastAsia="Times New Roman" w:cs="Times New Roman"/>
          <w:szCs w:val="24"/>
        </w:rPr>
        <w:t>Ensuring proper monitoring of the investigation</w:t>
      </w:r>
      <w:r w:rsidR="00254001" w:rsidRPr="00AA4677">
        <w:rPr>
          <w:rFonts w:eastAsia="Times New Roman" w:cs="Times New Roman"/>
          <w:szCs w:val="24"/>
        </w:rPr>
        <w:t xml:space="preserve"> and document monitoring </w:t>
      </w:r>
      <w:proofErr w:type="gramStart"/>
      <w:r w:rsidR="00254001" w:rsidRPr="00AA4677">
        <w:rPr>
          <w:rFonts w:eastAsia="Times New Roman" w:cs="Times New Roman"/>
          <w:szCs w:val="24"/>
        </w:rPr>
        <w:t>activities</w:t>
      </w:r>
      <w:r w:rsidR="00F3050F" w:rsidRPr="00AA4677">
        <w:rPr>
          <w:rFonts w:eastAsia="Times New Roman" w:cs="Times New Roman"/>
          <w:szCs w:val="24"/>
        </w:rPr>
        <w:t>;</w:t>
      </w:r>
      <w:proofErr w:type="gramEnd"/>
    </w:p>
    <w:p w14:paraId="5AD65A1E" w14:textId="661D98DB" w:rsidR="00001A14" w:rsidRPr="00AA4677" w:rsidRDefault="00001A14">
      <w:pPr>
        <w:numPr>
          <w:ilvl w:val="0"/>
          <w:numId w:val="263"/>
        </w:numPr>
        <w:shd w:val="clear" w:color="auto" w:fill="FFFFFF"/>
        <w:spacing w:after="0" w:line="240" w:lineRule="auto"/>
        <w:rPr>
          <w:rFonts w:eastAsia="Times New Roman" w:cs="Times New Roman"/>
          <w:szCs w:val="24"/>
        </w:rPr>
      </w:pPr>
      <w:r w:rsidRPr="00AA4677">
        <w:rPr>
          <w:rFonts w:eastAsia="Times New Roman" w:cs="Times New Roman"/>
          <w:szCs w:val="24"/>
        </w:rPr>
        <w:t>Ensuring that the FDA and (for devices) any reviewing IRBs or (for drugs) all participating investigators are promptly informed of significant new information about an investigation</w:t>
      </w:r>
      <w:r w:rsidR="00F3050F" w:rsidRPr="00AA4677">
        <w:rPr>
          <w:rFonts w:eastAsia="Times New Roman" w:cs="Times New Roman"/>
          <w:szCs w:val="24"/>
        </w:rPr>
        <w:t xml:space="preserve">; </w:t>
      </w:r>
      <w:r w:rsidRPr="00AA4677">
        <w:rPr>
          <w:rFonts w:eastAsia="Times New Roman" w:cs="Times New Roman"/>
          <w:szCs w:val="24"/>
        </w:rPr>
        <w:t xml:space="preserve">and </w:t>
      </w:r>
    </w:p>
    <w:p w14:paraId="6C4C27CF" w14:textId="187DE87F" w:rsidR="00001A14" w:rsidRPr="00AA4677" w:rsidRDefault="00F3050F">
      <w:pPr>
        <w:numPr>
          <w:ilvl w:val="0"/>
          <w:numId w:val="263"/>
        </w:numPr>
        <w:shd w:val="clear" w:color="auto" w:fill="FFFFFF"/>
        <w:spacing w:after="0" w:line="240" w:lineRule="auto"/>
        <w:rPr>
          <w:rFonts w:eastAsia="Times New Roman" w:cs="Times New Roman"/>
          <w:szCs w:val="24"/>
        </w:rPr>
      </w:pPr>
      <w:r w:rsidRPr="00AA4677">
        <w:rPr>
          <w:rFonts w:eastAsia="Times New Roman" w:cs="Times New Roman"/>
          <w:szCs w:val="24"/>
        </w:rPr>
        <w:t>R</w:t>
      </w:r>
      <w:r w:rsidR="00001A14" w:rsidRPr="00AA4677">
        <w:rPr>
          <w:rFonts w:eastAsia="Times New Roman" w:cs="Times New Roman"/>
          <w:szCs w:val="24"/>
        </w:rPr>
        <w:t>eporting requirements to the FDA</w:t>
      </w:r>
      <w:r w:rsidRPr="00AA4677">
        <w:rPr>
          <w:rFonts w:eastAsia="Times New Roman" w:cs="Times New Roman"/>
          <w:szCs w:val="24"/>
        </w:rPr>
        <w:t>.</w:t>
      </w:r>
      <w:r w:rsidR="00001A14" w:rsidRPr="00AA4677">
        <w:rPr>
          <w:rFonts w:eastAsia="Times New Roman" w:cs="Times New Roman"/>
          <w:szCs w:val="24"/>
        </w:rPr>
        <w:t xml:space="preserve"> </w:t>
      </w:r>
    </w:p>
    <w:p w14:paraId="583201FF" w14:textId="3585762B" w:rsidR="00001A14" w:rsidRPr="00AA4677" w:rsidRDefault="00001A14">
      <w:pPr>
        <w:pStyle w:val="Default"/>
        <w:numPr>
          <w:ilvl w:val="0"/>
          <w:numId w:val="131"/>
        </w:numPr>
        <w:ind w:right="-720"/>
        <w:jc w:val="both"/>
        <w:rPr>
          <w:rFonts w:asciiTheme="minorHAnsi" w:hAnsiTheme="minorHAnsi"/>
          <w:color w:val="auto"/>
        </w:rPr>
      </w:pPr>
      <w:r w:rsidRPr="00AA4677">
        <w:rPr>
          <w:rFonts w:asciiTheme="minorHAnsi" w:hAnsiTheme="minorHAnsi"/>
          <w:color w:val="auto"/>
        </w:rPr>
        <w:t>Sponsor-investigators wh</w:t>
      </w:r>
      <w:r w:rsidR="00C20D68" w:rsidRPr="00AA4677">
        <w:rPr>
          <w:rFonts w:asciiTheme="minorHAnsi" w:hAnsiTheme="minorHAnsi"/>
          <w:color w:val="auto"/>
        </w:rPr>
        <w:t>o submit protocols to SBU’s IRB</w:t>
      </w:r>
      <w:r w:rsidRPr="00AA4677">
        <w:rPr>
          <w:rFonts w:asciiTheme="minorHAnsi" w:hAnsiTheme="minorHAnsi"/>
          <w:color w:val="auto"/>
        </w:rPr>
        <w:t xml:space="preserve"> involving FDA test articles must include supporting FDA documentation for their IND or IDE. </w:t>
      </w:r>
    </w:p>
    <w:p w14:paraId="69FE773F" w14:textId="77777777" w:rsidR="00001A14" w:rsidRPr="00AA4677" w:rsidRDefault="00001A14">
      <w:pPr>
        <w:pStyle w:val="Default"/>
        <w:numPr>
          <w:ilvl w:val="0"/>
          <w:numId w:val="131"/>
        </w:numPr>
        <w:ind w:right="-720"/>
        <w:jc w:val="both"/>
        <w:rPr>
          <w:rFonts w:asciiTheme="minorHAnsi" w:hAnsiTheme="minorHAnsi"/>
          <w:color w:val="auto"/>
        </w:rPr>
      </w:pPr>
      <w:r w:rsidRPr="00AA4677">
        <w:rPr>
          <w:rFonts w:asciiTheme="minorHAnsi" w:hAnsiTheme="minorHAnsi"/>
          <w:color w:val="auto"/>
        </w:rPr>
        <w:t xml:space="preserve">If the IND or IDE product will be manufactured at Stony Brook University, the clinical investigator must submit documentation that the product preparation and manufacture </w:t>
      </w:r>
      <w:proofErr w:type="gramStart"/>
      <w:r w:rsidRPr="00AA4677">
        <w:rPr>
          <w:rFonts w:asciiTheme="minorHAnsi" w:hAnsiTheme="minorHAnsi"/>
          <w:color w:val="auto"/>
        </w:rPr>
        <w:t>meets</w:t>
      </w:r>
      <w:proofErr w:type="gramEnd"/>
      <w:r w:rsidRPr="00AA4677">
        <w:rPr>
          <w:rFonts w:asciiTheme="minorHAnsi" w:hAnsiTheme="minorHAnsi"/>
          <w:color w:val="auto"/>
        </w:rPr>
        <w:t xml:space="preserve"> the standards for current Good Manufacturing Practice (GMP), or any modification to those standards approved by the FDA in issuing the IND or IDE. This documentation will be subject to review by appropriate SBU entities, as determined by the Office of Research Compliance. </w:t>
      </w:r>
    </w:p>
    <w:p w14:paraId="29AC53B6" w14:textId="77777777" w:rsidR="00A9553E" w:rsidRPr="00AA4677" w:rsidRDefault="00001A14">
      <w:pPr>
        <w:pStyle w:val="Default"/>
        <w:numPr>
          <w:ilvl w:val="0"/>
          <w:numId w:val="131"/>
        </w:numPr>
        <w:ind w:right="-720"/>
        <w:jc w:val="both"/>
        <w:rPr>
          <w:rFonts w:asciiTheme="minorHAnsi" w:hAnsiTheme="minorHAnsi"/>
          <w:color w:val="auto"/>
        </w:rPr>
      </w:pPr>
      <w:r w:rsidRPr="00AA4677">
        <w:rPr>
          <w:rFonts w:asciiTheme="minorHAnsi" w:hAnsiTheme="minorHAnsi"/>
          <w:color w:val="auto"/>
        </w:rPr>
        <w:t xml:space="preserve">The IND or IDE product must be stored, secured, dispensed, and documented as indicated in the submission materials to the IRB, and in accordance with the requirements referenced in the preceding sections. </w:t>
      </w:r>
    </w:p>
    <w:p w14:paraId="50DF8F5F" w14:textId="01FBD3E8" w:rsidR="00001A14" w:rsidRPr="00AA4677" w:rsidRDefault="00A9553E">
      <w:pPr>
        <w:pStyle w:val="Default"/>
        <w:numPr>
          <w:ilvl w:val="0"/>
          <w:numId w:val="131"/>
        </w:numPr>
        <w:ind w:right="-720"/>
        <w:jc w:val="both"/>
        <w:rPr>
          <w:rFonts w:asciiTheme="minorHAnsi" w:hAnsiTheme="minorHAnsi"/>
          <w:color w:val="auto"/>
        </w:rPr>
      </w:pPr>
      <w:r w:rsidRPr="00AA4677">
        <w:rPr>
          <w:rFonts w:asciiTheme="minorHAnsi" w:hAnsiTheme="minorHAnsi"/>
          <w:color w:val="auto"/>
        </w:rPr>
        <w:t xml:space="preserve">Comply with the University Support Services submission requirements below (See section </w:t>
      </w:r>
      <w:r w:rsidR="00001A14" w:rsidRPr="00AA4677">
        <w:rPr>
          <w:rFonts w:asciiTheme="minorHAnsi" w:hAnsiTheme="minorHAnsi"/>
          <w:color w:val="auto"/>
        </w:rPr>
        <w:t xml:space="preserve"> </w:t>
      </w:r>
      <w:r w:rsidRPr="00AA4677">
        <w:rPr>
          <w:rFonts w:asciiTheme="minorHAnsi" w:hAnsiTheme="minorHAnsi"/>
          <w:color w:val="auto"/>
        </w:rPr>
        <w:t>7.5.1.5 below)</w:t>
      </w:r>
    </w:p>
    <w:p w14:paraId="62421599" w14:textId="77777777" w:rsidR="00F3050F" w:rsidRPr="00AA4677" w:rsidRDefault="00F3050F" w:rsidP="00F3050F">
      <w:pPr>
        <w:pStyle w:val="Default"/>
        <w:ind w:left="360" w:right="-720"/>
        <w:jc w:val="both"/>
        <w:rPr>
          <w:rFonts w:asciiTheme="minorHAnsi" w:hAnsiTheme="minorHAnsi"/>
          <w:color w:val="auto"/>
        </w:rPr>
      </w:pPr>
    </w:p>
    <w:p w14:paraId="1E0F94BC" w14:textId="735C8686" w:rsidR="00001A14" w:rsidRPr="00AA4677" w:rsidRDefault="00001A14">
      <w:pPr>
        <w:pStyle w:val="ListParagraph"/>
        <w:numPr>
          <w:ilvl w:val="0"/>
          <w:numId w:val="133"/>
        </w:numPr>
        <w:autoSpaceDE w:val="0"/>
        <w:autoSpaceDN w:val="0"/>
        <w:adjustRightInd w:val="0"/>
        <w:rPr>
          <w:rFonts w:cs="Arial"/>
          <w:b/>
          <w:bCs/>
        </w:rPr>
      </w:pPr>
      <w:r w:rsidRPr="00AA4677">
        <w:rPr>
          <w:rFonts w:cs="Arial"/>
          <w:b/>
          <w:bCs/>
        </w:rPr>
        <w:t>Sponsors-Investigators: IDE’s</w:t>
      </w:r>
    </w:p>
    <w:p w14:paraId="6C837C08" w14:textId="1A547D59" w:rsidR="00001A14" w:rsidRPr="00AA4677" w:rsidRDefault="004F3023">
      <w:pPr>
        <w:pStyle w:val="Default"/>
        <w:numPr>
          <w:ilvl w:val="0"/>
          <w:numId w:val="131"/>
        </w:numPr>
        <w:ind w:right="-720"/>
        <w:jc w:val="both"/>
        <w:rPr>
          <w:rFonts w:asciiTheme="minorHAnsi" w:hAnsiTheme="minorHAnsi"/>
          <w:color w:val="auto"/>
        </w:rPr>
      </w:pPr>
      <w:r w:rsidRPr="00AA4677">
        <w:rPr>
          <w:rFonts w:asciiTheme="minorHAnsi" w:hAnsiTheme="minorHAnsi"/>
          <w:color w:val="auto"/>
        </w:rPr>
        <w:t>A sponsor-investigator for an IDE protocol must follow the FDA regulations in 21 CFR 812 applicable to sponsor responsibilities, particularly Subpart C. This includes:</w:t>
      </w:r>
    </w:p>
    <w:p w14:paraId="6721E4D4" w14:textId="7993C058" w:rsidR="004F3023" w:rsidRPr="00AA4677" w:rsidRDefault="004F3023">
      <w:pPr>
        <w:numPr>
          <w:ilvl w:val="0"/>
          <w:numId w:val="262"/>
        </w:numPr>
        <w:shd w:val="clear" w:color="auto" w:fill="FFFFFF"/>
        <w:spacing w:after="0" w:line="240" w:lineRule="auto"/>
        <w:rPr>
          <w:rFonts w:eastAsia="Times New Roman" w:cs="Times New Roman"/>
          <w:szCs w:val="24"/>
        </w:rPr>
      </w:pPr>
      <w:r w:rsidRPr="00AA4677">
        <w:rPr>
          <w:rFonts w:eastAsia="Times New Roman" w:cs="Times New Roman"/>
          <w:szCs w:val="24"/>
        </w:rPr>
        <w:t>The record keeping requirements of 21 CFR 812.140(b), and</w:t>
      </w:r>
    </w:p>
    <w:p w14:paraId="77A52780" w14:textId="235499EC" w:rsidR="00F3050F" w:rsidRPr="00AA4677" w:rsidRDefault="004F3023">
      <w:pPr>
        <w:numPr>
          <w:ilvl w:val="0"/>
          <w:numId w:val="262"/>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required notification under 21 CFR 812.150(b)(1) to the FDA </w:t>
      </w:r>
      <w:proofErr w:type="gramStart"/>
      <w:r w:rsidRPr="00AA4677">
        <w:rPr>
          <w:rFonts w:eastAsia="Times New Roman" w:cs="Times New Roman"/>
          <w:szCs w:val="24"/>
        </w:rPr>
        <w:t>an</w:t>
      </w:r>
      <w:proofErr w:type="gramEnd"/>
      <w:r w:rsidRPr="00AA4677">
        <w:rPr>
          <w:rFonts w:eastAsia="Times New Roman" w:cs="Times New Roman"/>
          <w:szCs w:val="24"/>
        </w:rPr>
        <w:t xml:space="preserve"> all participating investigators of any evaluation of an unanticipated device effect within 10 days of first receiving notice of the effect.</w:t>
      </w:r>
    </w:p>
    <w:p w14:paraId="55555A83" w14:textId="4ED2CA38" w:rsidR="004F3023" w:rsidRPr="00AA4677" w:rsidRDefault="004F3023">
      <w:pPr>
        <w:pStyle w:val="Default"/>
        <w:numPr>
          <w:ilvl w:val="0"/>
          <w:numId w:val="131"/>
        </w:numPr>
        <w:ind w:right="-720"/>
        <w:jc w:val="both"/>
        <w:rPr>
          <w:rFonts w:asciiTheme="minorHAnsi" w:hAnsiTheme="minorHAnsi"/>
          <w:color w:val="auto"/>
        </w:rPr>
      </w:pPr>
      <w:r w:rsidRPr="00AA4677">
        <w:rPr>
          <w:rFonts w:asciiTheme="minorHAnsi" w:hAnsiTheme="minorHAnsi"/>
          <w:color w:val="auto"/>
        </w:rPr>
        <w:t>An investigation of a device other than a significant risk device is considered to have an approved application for IDE, unless FDA has given notice under 812.20(a) that approval of an application is required, if the device is not a banned device and the sponsor:</w:t>
      </w:r>
    </w:p>
    <w:p w14:paraId="467E39F1" w14:textId="0C6D7956" w:rsidR="004F3023" w:rsidRPr="00AA4677" w:rsidRDefault="004F3023">
      <w:pPr>
        <w:pStyle w:val="ListParagraph"/>
        <w:numPr>
          <w:ilvl w:val="0"/>
          <w:numId w:val="132"/>
        </w:numPr>
        <w:autoSpaceDE w:val="0"/>
        <w:autoSpaceDN w:val="0"/>
        <w:adjustRightInd w:val="0"/>
        <w:ind w:left="810" w:hanging="270"/>
        <w:rPr>
          <w:rFonts w:cs="Arial"/>
        </w:rPr>
      </w:pPr>
      <w:r w:rsidRPr="00AA4677">
        <w:rPr>
          <w:rFonts w:cs="Arial"/>
        </w:rPr>
        <w:t xml:space="preserve">Labels the device in accordance with </w:t>
      </w:r>
      <w:proofErr w:type="gramStart"/>
      <w:r w:rsidRPr="00AA4677">
        <w:rPr>
          <w:rFonts w:cs="Arial"/>
        </w:rPr>
        <w:t>812.5;</w:t>
      </w:r>
      <w:proofErr w:type="gramEnd"/>
    </w:p>
    <w:p w14:paraId="7381B108" w14:textId="3FA1AA61" w:rsidR="004F3023" w:rsidRPr="00AA4677" w:rsidRDefault="004F3023">
      <w:pPr>
        <w:pStyle w:val="ListParagraph"/>
        <w:numPr>
          <w:ilvl w:val="0"/>
          <w:numId w:val="132"/>
        </w:numPr>
        <w:autoSpaceDE w:val="0"/>
        <w:autoSpaceDN w:val="0"/>
        <w:adjustRightInd w:val="0"/>
        <w:ind w:left="810" w:hanging="270"/>
        <w:rPr>
          <w:rFonts w:cs="Arial"/>
        </w:rPr>
      </w:pPr>
      <w:r w:rsidRPr="00AA4677">
        <w:rPr>
          <w:rFonts w:cs="Arial"/>
        </w:rPr>
        <w:t xml:space="preserve">Obtains IRB approval of the investigation after presenting the reviewing IRB with a brief explanation of why the device is not a significant risk device, and maintains such </w:t>
      </w:r>
      <w:proofErr w:type="gramStart"/>
      <w:r w:rsidRPr="00AA4677">
        <w:rPr>
          <w:rFonts w:cs="Arial"/>
        </w:rPr>
        <w:t>approval;</w:t>
      </w:r>
      <w:proofErr w:type="gramEnd"/>
    </w:p>
    <w:p w14:paraId="517181FB" w14:textId="38123410" w:rsidR="004F3023" w:rsidRPr="00AA4677" w:rsidRDefault="004F3023">
      <w:pPr>
        <w:pStyle w:val="ListParagraph"/>
        <w:numPr>
          <w:ilvl w:val="0"/>
          <w:numId w:val="132"/>
        </w:numPr>
        <w:autoSpaceDE w:val="0"/>
        <w:autoSpaceDN w:val="0"/>
        <w:adjustRightInd w:val="0"/>
        <w:ind w:left="810" w:hanging="270"/>
        <w:rPr>
          <w:rFonts w:cs="Arial"/>
        </w:rPr>
      </w:pPr>
      <w:r w:rsidRPr="00AA4677">
        <w:rPr>
          <w:rFonts w:cs="Arial"/>
        </w:rPr>
        <w:t>(Ensures that each investigator participating in an investigation of the device obtains from each subject under the investigator's care, informed consent under part 50 and documents it, unless documentation is waived by an IRB under 56.109(c).</w:t>
      </w:r>
    </w:p>
    <w:p w14:paraId="0A94609D" w14:textId="2D642813" w:rsidR="004F3023" w:rsidRPr="00AA4677" w:rsidRDefault="004F3023">
      <w:pPr>
        <w:pStyle w:val="ListParagraph"/>
        <w:numPr>
          <w:ilvl w:val="0"/>
          <w:numId w:val="132"/>
        </w:numPr>
        <w:autoSpaceDE w:val="0"/>
        <w:autoSpaceDN w:val="0"/>
        <w:adjustRightInd w:val="0"/>
        <w:ind w:left="810" w:hanging="270"/>
        <w:rPr>
          <w:rFonts w:cs="Arial"/>
        </w:rPr>
      </w:pPr>
      <w:proofErr w:type="gramStart"/>
      <w:r w:rsidRPr="00AA4677">
        <w:rPr>
          <w:rFonts w:cs="Arial"/>
        </w:rPr>
        <w:t>Complies</w:t>
      </w:r>
      <w:proofErr w:type="gramEnd"/>
      <w:r w:rsidRPr="00AA4677">
        <w:rPr>
          <w:rFonts w:cs="Arial"/>
        </w:rPr>
        <w:t xml:space="preserve"> with the requirements of 812.46 with respect to monitoring </w:t>
      </w:r>
      <w:proofErr w:type="gramStart"/>
      <w:r w:rsidRPr="00AA4677">
        <w:rPr>
          <w:rFonts w:cs="Arial"/>
        </w:rPr>
        <w:t>investigations;</w:t>
      </w:r>
      <w:proofErr w:type="gramEnd"/>
    </w:p>
    <w:p w14:paraId="794B261F" w14:textId="766227B5" w:rsidR="004F3023" w:rsidRPr="00AA4677" w:rsidRDefault="004F3023">
      <w:pPr>
        <w:pStyle w:val="ListParagraph"/>
        <w:numPr>
          <w:ilvl w:val="0"/>
          <w:numId w:val="132"/>
        </w:numPr>
        <w:autoSpaceDE w:val="0"/>
        <w:autoSpaceDN w:val="0"/>
        <w:adjustRightInd w:val="0"/>
        <w:ind w:left="810" w:hanging="270"/>
        <w:rPr>
          <w:rFonts w:cs="Arial"/>
        </w:rPr>
      </w:pPr>
      <w:r w:rsidRPr="00AA4677">
        <w:rPr>
          <w:rFonts w:cs="Arial"/>
        </w:rPr>
        <w:lastRenderedPageBreak/>
        <w:t>Maintains the records required under 812.140(b) (4) and (5) and makes the reports required under 812.150(b) (1) through (3) and (5) through (10</w:t>
      </w:r>
      <w:proofErr w:type="gramStart"/>
      <w:r w:rsidRPr="00AA4677">
        <w:rPr>
          <w:rFonts w:cs="Arial"/>
        </w:rPr>
        <w:t>);</w:t>
      </w:r>
      <w:proofErr w:type="gramEnd"/>
    </w:p>
    <w:p w14:paraId="53027137" w14:textId="2E9A3D8C" w:rsidR="004F3023" w:rsidRPr="00AA4677" w:rsidRDefault="004F3023">
      <w:pPr>
        <w:pStyle w:val="ListParagraph"/>
        <w:numPr>
          <w:ilvl w:val="0"/>
          <w:numId w:val="132"/>
        </w:numPr>
        <w:autoSpaceDE w:val="0"/>
        <w:autoSpaceDN w:val="0"/>
        <w:adjustRightInd w:val="0"/>
        <w:ind w:left="810" w:hanging="270"/>
        <w:rPr>
          <w:rFonts w:cs="Arial"/>
        </w:rPr>
      </w:pPr>
      <w:proofErr w:type="gramStart"/>
      <w:r w:rsidRPr="00AA4677">
        <w:rPr>
          <w:rFonts w:cs="Arial"/>
        </w:rPr>
        <w:t>Ensures</w:t>
      </w:r>
      <w:proofErr w:type="gramEnd"/>
      <w:r w:rsidRPr="00AA4677">
        <w:rPr>
          <w:rFonts w:cs="Arial"/>
        </w:rPr>
        <w:t xml:space="preserve"> that participating investigators maintain the records required by 812.140(a)(3)(i) and make the reports required under 812.150(a) (1), (2), (5), and (7); and</w:t>
      </w:r>
    </w:p>
    <w:p w14:paraId="1FBE31DC" w14:textId="6E37E1D3" w:rsidR="004F3023" w:rsidRPr="00AA4677" w:rsidRDefault="004F3023">
      <w:pPr>
        <w:pStyle w:val="ListParagraph"/>
        <w:numPr>
          <w:ilvl w:val="0"/>
          <w:numId w:val="132"/>
        </w:numPr>
        <w:autoSpaceDE w:val="0"/>
        <w:autoSpaceDN w:val="0"/>
        <w:adjustRightInd w:val="0"/>
        <w:ind w:left="810" w:hanging="270"/>
        <w:rPr>
          <w:rFonts w:cs="Arial"/>
        </w:rPr>
      </w:pPr>
      <w:proofErr w:type="gramStart"/>
      <w:r w:rsidRPr="00AA4677">
        <w:rPr>
          <w:rFonts w:cs="Arial"/>
        </w:rPr>
        <w:t>Complies</w:t>
      </w:r>
      <w:proofErr w:type="gramEnd"/>
      <w:r w:rsidRPr="00AA4677">
        <w:rPr>
          <w:rFonts w:cs="Arial"/>
        </w:rPr>
        <w:t xml:space="preserve"> with the prohibitions in 812.7 against promotion and other practices.</w:t>
      </w:r>
    </w:p>
    <w:p w14:paraId="34BFD1F4" w14:textId="77777777" w:rsidR="007C28A5" w:rsidRPr="00AA4677" w:rsidRDefault="007C28A5" w:rsidP="007C28A5">
      <w:pPr>
        <w:pStyle w:val="ListParagraph"/>
        <w:autoSpaceDE w:val="0"/>
        <w:autoSpaceDN w:val="0"/>
        <w:adjustRightInd w:val="0"/>
        <w:ind w:left="810"/>
        <w:rPr>
          <w:rFonts w:cs="Arial"/>
        </w:rPr>
      </w:pPr>
    </w:p>
    <w:p w14:paraId="7E176CF8" w14:textId="70DF3DCE" w:rsidR="004F3023" w:rsidRPr="00AA4677" w:rsidRDefault="004F3023">
      <w:pPr>
        <w:pStyle w:val="ListParagraph"/>
        <w:numPr>
          <w:ilvl w:val="0"/>
          <w:numId w:val="133"/>
        </w:numPr>
        <w:autoSpaceDE w:val="0"/>
        <w:autoSpaceDN w:val="0"/>
        <w:adjustRightInd w:val="0"/>
        <w:rPr>
          <w:rFonts w:cs="Arial"/>
          <w:b/>
          <w:bCs/>
        </w:rPr>
      </w:pPr>
      <w:r w:rsidRPr="00AA4677">
        <w:rPr>
          <w:rFonts w:cs="Arial"/>
          <w:b/>
          <w:bCs/>
        </w:rPr>
        <w:t xml:space="preserve">Sponsor-Investigators: IND’s </w:t>
      </w:r>
    </w:p>
    <w:p w14:paraId="29D878BC" w14:textId="3A18993C" w:rsidR="004F3023" w:rsidRPr="00AA4677" w:rsidRDefault="004F3023">
      <w:pPr>
        <w:pStyle w:val="Default"/>
        <w:numPr>
          <w:ilvl w:val="0"/>
          <w:numId w:val="131"/>
        </w:numPr>
        <w:ind w:right="-720"/>
        <w:jc w:val="both"/>
        <w:rPr>
          <w:color w:val="auto"/>
        </w:rPr>
      </w:pPr>
      <w:r w:rsidRPr="00AA4677">
        <w:rPr>
          <w:rFonts w:asciiTheme="minorHAnsi" w:hAnsiTheme="minorHAnsi"/>
          <w:color w:val="auto"/>
        </w:rPr>
        <w:t>A sponsor-investigator for an IND protocol must follow the FDA regulations in 21 CFR 312 applicable to sponsor responsibilities, particularly Subpart D. This includes:</w:t>
      </w:r>
    </w:p>
    <w:p w14:paraId="709C86FB" w14:textId="3F53063E" w:rsidR="004F3023" w:rsidRPr="00AA4677" w:rsidRDefault="00F3050F">
      <w:pPr>
        <w:numPr>
          <w:ilvl w:val="0"/>
          <w:numId w:val="261"/>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4F3023" w:rsidRPr="00AA4677">
        <w:rPr>
          <w:rFonts w:eastAsia="Times New Roman" w:cs="Times New Roman"/>
          <w:szCs w:val="24"/>
        </w:rPr>
        <w:t>he record keeping requirements of 21 CFR 312.57, and</w:t>
      </w:r>
    </w:p>
    <w:p w14:paraId="3FF33E59" w14:textId="547A1507" w:rsidR="004F3023" w:rsidRPr="00AA4677" w:rsidRDefault="00F3050F">
      <w:pPr>
        <w:numPr>
          <w:ilvl w:val="0"/>
          <w:numId w:val="261"/>
        </w:numPr>
        <w:shd w:val="clear" w:color="auto" w:fill="FFFFFF"/>
        <w:spacing w:after="0" w:line="240" w:lineRule="auto"/>
        <w:rPr>
          <w:rFonts w:eastAsia="Times New Roman" w:cs="Times New Roman"/>
          <w:szCs w:val="24"/>
        </w:rPr>
      </w:pPr>
      <w:r w:rsidRPr="00AA4677">
        <w:rPr>
          <w:rFonts w:eastAsia="Times New Roman" w:cs="Times New Roman"/>
          <w:szCs w:val="24"/>
        </w:rPr>
        <w:t>P</w:t>
      </w:r>
      <w:r w:rsidR="004F3023" w:rsidRPr="00AA4677">
        <w:rPr>
          <w:rFonts w:eastAsia="Times New Roman" w:cs="Times New Roman"/>
          <w:szCs w:val="24"/>
        </w:rPr>
        <w:t>romptly reporting as required in 21 CFR 312.55(b) to the FDA and all participating investigators of significant new adverse effects or risks with respect to the drug or biologic.</w:t>
      </w:r>
    </w:p>
    <w:p w14:paraId="6A858DF9" w14:textId="77777777" w:rsidR="007E3362" w:rsidRPr="00AA4677" w:rsidRDefault="007E3362" w:rsidP="007E3362">
      <w:pPr>
        <w:shd w:val="clear" w:color="auto" w:fill="FFFFFF"/>
        <w:spacing w:after="0" w:line="240" w:lineRule="auto"/>
        <w:ind w:left="720"/>
        <w:rPr>
          <w:rFonts w:eastAsia="Times New Roman" w:cs="Times New Roman"/>
          <w:szCs w:val="24"/>
        </w:rPr>
      </w:pPr>
    </w:p>
    <w:p w14:paraId="71ABBD36" w14:textId="35D43139" w:rsidR="004F3023" w:rsidRPr="00AA4677" w:rsidRDefault="004F3023">
      <w:pPr>
        <w:pStyle w:val="ListParagraph"/>
        <w:numPr>
          <w:ilvl w:val="0"/>
          <w:numId w:val="133"/>
        </w:numPr>
        <w:autoSpaceDE w:val="0"/>
        <w:autoSpaceDN w:val="0"/>
        <w:adjustRightInd w:val="0"/>
        <w:rPr>
          <w:rFonts w:cs="Arial"/>
          <w:b/>
          <w:bCs/>
        </w:rPr>
      </w:pPr>
      <w:r w:rsidRPr="00AA4677">
        <w:rPr>
          <w:rFonts w:cs="Arial"/>
          <w:b/>
          <w:bCs/>
        </w:rPr>
        <w:t>FDA regulations for investigators assuming the sponsor function by holding an IND or IDE</w:t>
      </w:r>
    </w:p>
    <w:p w14:paraId="6486BB7F" w14:textId="287118F9" w:rsidR="004F3023" w:rsidRPr="00AA4677" w:rsidRDefault="004F3023" w:rsidP="007E3362">
      <w:pPr>
        <w:autoSpaceDE w:val="0"/>
        <w:autoSpaceDN w:val="0"/>
        <w:adjustRightInd w:val="0"/>
        <w:rPr>
          <w:rFonts w:cs="Arial"/>
        </w:rPr>
      </w:pPr>
      <w:r w:rsidRPr="00AA4677">
        <w:rPr>
          <w:rFonts w:cs="Arial"/>
        </w:rPr>
        <w:t xml:space="preserve">Drugs or devices: </w:t>
      </w:r>
    </w:p>
    <w:p w14:paraId="1FD3F325" w14:textId="77777777" w:rsidR="004F3023" w:rsidRPr="00AA4677" w:rsidRDefault="004F3023" w:rsidP="007E3362">
      <w:pPr>
        <w:autoSpaceDE w:val="0"/>
        <w:autoSpaceDN w:val="0"/>
        <w:adjustRightInd w:val="0"/>
        <w:rPr>
          <w:rFonts w:cs="Arial"/>
        </w:rPr>
      </w:pPr>
      <w:r w:rsidRPr="00AA4677">
        <w:rPr>
          <w:rFonts w:cs="Arial"/>
        </w:rPr>
        <w:t xml:space="preserve">* 21 CFR §11 (Electronic records and electronic signature) </w:t>
      </w:r>
    </w:p>
    <w:p w14:paraId="066E50BE" w14:textId="6E0DF85D" w:rsidR="003A6D52" w:rsidRPr="00AA4677" w:rsidRDefault="004F3023" w:rsidP="007E3362">
      <w:pPr>
        <w:autoSpaceDE w:val="0"/>
        <w:autoSpaceDN w:val="0"/>
        <w:adjustRightInd w:val="0"/>
        <w:rPr>
          <w:rFonts w:cs="Arial"/>
        </w:rPr>
      </w:pPr>
      <w:r w:rsidRPr="00AA4677">
        <w:rPr>
          <w:rFonts w:cs="Arial"/>
        </w:rPr>
        <w:t xml:space="preserve">* 21 CFR §54 (Financial Disclosure by Clinical Investigators) </w:t>
      </w:r>
    </w:p>
    <w:p w14:paraId="46907CF2" w14:textId="15D7C3F4" w:rsidR="004F3023" w:rsidRPr="00AA4677" w:rsidRDefault="004F3023" w:rsidP="007E3362">
      <w:pPr>
        <w:autoSpaceDE w:val="0"/>
        <w:autoSpaceDN w:val="0"/>
        <w:adjustRightInd w:val="0"/>
        <w:rPr>
          <w:rFonts w:cs="Arial"/>
        </w:rPr>
      </w:pPr>
      <w:r w:rsidRPr="00AA4677">
        <w:rPr>
          <w:rFonts w:cs="Arial"/>
        </w:rPr>
        <w:t xml:space="preserve">Drugs and Biologics: </w:t>
      </w:r>
    </w:p>
    <w:p w14:paraId="30162110" w14:textId="77777777" w:rsidR="004F3023" w:rsidRPr="00AA4677" w:rsidRDefault="004F3023" w:rsidP="007E3362">
      <w:pPr>
        <w:autoSpaceDE w:val="0"/>
        <w:autoSpaceDN w:val="0"/>
        <w:adjustRightInd w:val="0"/>
        <w:ind w:left="180" w:hanging="180"/>
        <w:rPr>
          <w:rFonts w:cs="Arial"/>
        </w:rPr>
      </w:pPr>
      <w:r w:rsidRPr="00AA4677">
        <w:rPr>
          <w:rFonts w:cs="Arial"/>
        </w:rPr>
        <w:t xml:space="preserve">* 21 CFR §210 (Current Good Manufacturing Practice </w:t>
      </w:r>
      <w:proofErr w:type="gramStart"/>
      <w:r w:rsidRPr="00AA4677">
        <w:rPr>
          <w:rFonts w:cs="Arial"/>
        </w:rPr>
        <w:t>In</w:t>
      </w:r>
      <w:proofErr w:type="gramEnd"/>
      <w:r w:rsidRPr="00AA4677">
        <w:rPr>
          <w:rFonts w:cs="Arial"/>
        </w:rPr>
        <w:t xml:space="preserve"> Manufacturing, Processing, Packing, Or Holding of Drugs; General)</w:t>
      </w:r>
    </w:p>
    <w:p w14:paraId="5BFF31C9" w14:textId="77777777" w:rsidR="004F3023" w:rsidRPr="00AA4677" w:rsidRDefault="004F3023" w:rsidP="007E3362">
      <w:pPr>
        <w:autoSpaceDE w:val="0"/>
        <w:autoSpaceDN w:val="0"/>
        <w:adjustRightInd w:val="0"/>
        <w:rPr>
          <w:rFonts w:cs="Arial"/>
        </w:rPr>
      </w:pPr>
      <w:r w:rsidRPr="00AA4677">
        <w:rPr>
          <w:rFonts w:cs="Arial"/>
        </w:rPr>
        <w:t xml:space="preserve">* 21 CFR §211 (Current Good Manufacturing Practice for Finished Pharmaceuticals) </w:t>
      </w:r>
    </w:p>
    <w:p w14:paraId="6825D717" w14:textId="77777777" w:rsidR="004F3023" w:rsidRPr="00AA4677" w:rsidRDefault="004F3023" w:rsidP="007E3362">
      <w:pPr>
        <w:autoSpaceDE w:val="0"/>
        <w:autoSpaceDN w:val="0"/>
        <w:adjustRightInd w:val="0"/>
        <w:rPr>
          <w:rFonts w:cs="Arial"/>
        </w:rPr>
      </w:pPr>
      <w:r w:rsidRPr="00AA4677">
        <w:rPr>
          <w:rFonts w:cs="Arial"/>
        </w:rPr>
        <w:t xml:space="preserve">* 21 CFR §312 (Investigational New Drug Application) </w:t>
      </w:r>
    </w:p>
    <w:p w14:paraId="0EB97CDA" w14:textId="77777777" w:rsidR="004F3023" w:rsidRPr="00AA4677" w:rsidRDefault="004F3023" w:rsidP="007E3362">
      <w:pPr>
        <w:autoSpaceDE w:val="0"/>
        <w:autoSpaceDN w:val="0"/>
        <w:adjustRightInd w:val="0"/>
        <w:rPr>
          <w:rFonts w:cs="Arial"/>
        </w:rPr>
      </w:pPr>
      <w:r w:rsidRPr="00AA4677">
        <w:rPr>
          <w:rFonts w:cs="Arial"/>
        </w:rPr>
        <w:t xml:space="preserve">* 21 CFR §314 (Drugs for Human Use) </w:t>
      </w:r>
    </w:p>
    <w:p w14:paraId="7CF77575" w14:textId="77777777" w:rsidR="004F3023" w:rsidRPr="00AA4677" w:rsidRDefault="004F3023" w:rsidP="007E3362">
      <w:pPr>
        <w:autoSpaceDE w:val="0"/>
        <w:autoSpaceDN w:val="0"/>
        <w:adjustRightInd w:val="0"/>
        <w:rPr>
          <w:rFonts w:cs="Arial"/>
        </w:rPr>
      </w:pPr>
      <w:r w:rsidRPr="00AA4677">
        <w:rPr>
          <w:rFonts w:cs="Arial"/>
        </w:rPr>
        <w:t xml:space="preserve">* 21 CFR §320 (Bioavailability and Bioequivalence Requirements) </w:t>
      </w:r>
    </w:p>
    <w:p w14:paraId="3C620789" w14:textId="77777777" w:rsidR="004F3023" w:rsidRPr="00AA4677" w:rsidRDefault="004F3023" w:rsidP="007E3362">
      <w:pPr>
        <w:autoSpaceDE w:val="0"/>
        <w:autoSpaceDN w:val="0"/>
        <w:adjustRightInd w:val="0"/>
        <w:ind w:left="180" w:hanging="180"/>
        <w:rPr>
          <w:rFonts w:cs="Arial"/>
        </w:rPr>
      </w:pPr>
      <w:r w:rsidRPr="00AA4677">
        <w:rPr>
          <w:rFonts w:cs="Arial"/>
        </w:rPr>
        <w:t>* 21 CFR §330 (</w:t>
      </w:r>
      <w:proofErr w:type="gramStart"/>
      <w:r w:rsidRPr="00AA4677">
        <w:rPr>
          <w:rFonts w:cs="Arial"/>
        </w:rPr>
        <w:t>Over-The-Counter</w:t>
      </w:r>
      <w:proofErr w:type="gramEnd"/>
      <w:r w:rsidRPr="00AA4677">
        <w:rPr>
          <w:rFonts w:cs="Arial"/>
        </w:rPr>
        <w:t xml:space="preserve"> (OTC) Human Drugs Which are Generally Recognized as Safe and Effective and Not Misbranded)</w:t>
      </w:r>
    </w:p>
    <w:p w14:paraId="2BF50932" w14:textId="50D5904D" w:rsidR="00261BA4" w:rsidRPr="00AA4677" w:rsidRDefault="004F3023" w:rsidP="007E3362">
      <w:pPr>
        <w:autoSpaceDE w:val="0"/>
        <w:autoSpaceDN w:val="0"/>
        <w:adjustRightInd w:val="0"/>
        <w:rPr>
          <w:rFonts w:cs="Arial"/>
        </w:rPr>
      </w:pPr>
      <w:r w:rsidRPr="00AA4677">
        <w:rPr>
          <w:rFonts w:cs="Arial"/>
        </w:rPr>
        <w:t xml:space="preserve">* 21 </w:t>
      </w:r>
      <w:r w:rsidR="007E3362" w:rsidRPr="00AA4677">
        <w:rPr>
          <w:rFonts w:cs="Arial"/>
        </w:rPr>
        <w:t xml:space="preserve">CFR §601 (Biologics Licensing) </w:t>
      </w:r>
    </w:p>
    <w:p w14:paraId="14C3920A" w14:textId="4BF34782" w:rsidR="004F3023" w:rsidRPr="00AA4677" w:rsidRDefault="004F3023" w:rsidP="00CB0C0B">
      <w:pPr>
        <w:autoSpaceDE w:val="0"/>
        <w:autoSpaceDN w:val="0"/>
        <w:adjustRightInd w:val="0"/>
        <w:rPr>
          <w:rFonts w:cs="Arial"/>
        </w:rPr>
      </w:pPr>
      <w:r w:rsidRPr="00AA4677">
        <w:rPr>
          <w:rFonts w:cs="Arial"/>
        </w:rPr>
        <w:t xml:space="preserve">Devices: </w:t>
      </w:r>
    </w:p>
    <w:p w14:paraId="2DC6492C" w14:textId="4275213F" w:rsidR="004F3023" w:rsidRPr="00AA4677" w:rsidRDefault="004F3023" w:rsidP="001D3801">
      <w:pPr>
        <w:autoSpaceDE w:val="0"/>
        <w:autoSpaceDN w:val="0"/>
        <w:adjustRightInd w:val="0"/>
        <w:ind w:left="180" w:hanging="180"/>
        <w:rPr>
          <w:rFonts w:cs="Arial"/>
        </w:rPr>
      </w:pPr>
      <w:r w:rsidRPr="00AA4677">
        <w:rPr>
          <w:rFonts w:cs="Arial"/>
        </w:rPr>
        <w:t>* 21 CFR §812 (Establishment Registration and Device Listing for Manuf</w:t>
      </w:r>
      <w:r w:rsidR="00C20D68" w:rsidRPr="00AA4677">
        <w:rPr>
          <w:rFonts w:cs="Arial"/>
        </w:rPr>
        <w:t>acturers and Initial Importers o</w:t>
      </w:r>
      <w:r w:rsidRPr="00AA4677">
        <w:rPr>
          <w:rFonts w:cs="Arial"/>
        </w:rPr>
        <w:t xml:space="preserve">f Devices) </w:t>
      </w:r>
    </w:p>
    <w:p w14:paraId="2AF1F806" w14:textId="77777777" w:rsidR="004F3023" w:rsidRPr="00AA4677" w:rsidRDefault="004F3023" w:rsidP="001D3801">
      <w:pPr>
        <w:autoSpaceDE w:val="0"/>
        <w:autoSpaceDN w:val="0"/>
        <w:adjustRightInd w:val="0"/>
        <w:rPr>
          <w:rFonts w:cs="Arial"/>
        </w:rPr>
      </w:pPr>
      <w:r w:rsidRPr="00AA4677">
        <w:rPr>
          <w:rFonts w:cs="Arial"/>
        </w:rPr>
        <w:lastRenderedPageBreak/>
        <w:t xml:space="preserve">* 21 CFR §812 (Investigational Device Exemptions) </w:t>
      </w:r>
    </w:p>
    <w:p w14:paraId="1FC4CC42" w14:textId="77777777" w:rsidR="004F3023" w:rsidRPr="00AA4677" w:rsidRDefault="004F3023" w:rsidP="001D3801">
      <w:pPr>
        <w:autoSpaceDE w:val="0"/>
        <w:autoSpaceDN w:val="0"/>
        <w:adjustRightInd w:val="0"/>
        <w:rPr>
          <w:rFonts w:cs="Arial"/>
        </w:rPr>
      </w:pPr>
      <w:r w:rsidRPr="00AA4677">
        <w:rPr>
          <w:rFonts w:cs="Arial"/>
        </w:rPr>
        <w:t xml:space="preserve">* 21 CFR §814 (Premarket Approval of Medical Devices) </w:t>
      </w:r>
    </w:p>
    <w:p w14:paraId="5BDCBDCB" w14:textId="77777777" w:rsidR="004F3023" w:rsidRPr="00AA4677" w:rsidRDefault="004F3023" w:rsidP="001D3801">
      <w:pPr>
        <w:autoSpaceDE w:val="0"/>
        <w:autoSpaceDN w:val="0"/>
        <w:adjustRightInd w:val="0"/>
        <w:rPr>
          <w:rFonts w:cs="Arial"/>
        </w:rPr>
      </w:pPr>
      <w:r w:rsidRPr="00AA4677">
        <w:rPr>
          <w:rFonts w:cs="Arial"/>
        </w:rPr>
        <w:t xml:space="preserve">* 21 CFR §820 (Quality System Regulation) </w:t>
      </w:r>
    </w:p>
    <w:p w14:paraId="3E69E8F7" w14:textId="77777777" w:rsidR="004F3023" w:rsidRPr="00AA4677" w:rsidRDefault="004F3023" w:rsidP="001D3801">
      <w:pPr>
        <w:autoSpaceDE w:val="0"/>
        <w:autoSpaceDN w:val="0"/>
        <w:adjustRightInd w:val="0"/>
        <w:rPr>
          <w:rFonts w:cs="Arial"/>
        </w:rPr>
      </w:pPr>
      <w:r w:rsidRPr="00AA4677">
        <w:rPr>
          <w:rFonts w:cs="Arial"/>
        </w:rPr>
        <w:t xml:space="preserve">* 21 CFR §860 (Medical Device Classification Procedures) </w:t>
      </w:r>
    </w:p>
    <w:p w14:paraId="5D08158C" w14:textId="73AFE4B5" w:rsidR="004F3023" w:rsidRPr="00AA4677" w:rsidRDefault="004F3023" w:rsidP="001D3801">
      <w:pPr>
        <w:pStyle w:val="Heading4"/>
      </w:pPr>
      <w:bookmarkStart w:id="273" w:name="_Hlk192161074"/>
      <w:r w:rsidRPr="00AA4677">
        <w:t>7.</w:t>
      </w:r>
      <w:r w:rsidR="001C1323" w:rsidRPr="00AA4677">
        <w:t>7</w:t>
      </w:r>
      <w:r w:rsidRPr="00AA4677">
        <w:t xml:space="preserve">.1.5 University Support Services for Sponsor-Investigators </w:t>
      </w:r>
    </w:p>
    <w:bookmarkEnd w:id="273"/>
    <w:p w14:paraId="4F4F05AF" w14:textId="148B2927" w:rsidR="004F3023" w:rsidRPr="00AA4677" w:rsidRDefault="004F3023" w:rsidP="004F3023">
      <w:r w:rsidRPr="00AA4677">
        <w:t xml:space="preserve">The Office of Research Compliance provides support services for investigators who also act as a Sponsor of INDs (and IND-BB’s), and IDEs. Regulatory support includes guidance and assistance on pre-submission FDA interactions, IND and IDE submissions and associated reports to the FDA and the IRB. </w:t>
      </w:r>
    </w:p>
    <w:p w14:paraId="2599E59D" w14:textId="332EA385" w:rsidR="004F3023" w:rsidRPr="00AA4677" w:rsidRDefault="00CD3B8F" w:rsidP="004F3023">
      <w:r w:rsidRPr="00AA4677">
        <w:t xml:space="preserve">The following assistance is provided upon request: </w:t>
      </w:r>
    </w:p>
    <w:p w14:paraId="6016004F" w14:textId="5C34EC7A" w:rsidR="00CD3B8F" w:rsidRPr="00AA4677" w:rsidRDefault="00CD3B8F">
      <w:pPr>
        <w:pStyle w:val="ListParagraph"/>
        <w:numPr>
          <w:ilvl w:val="0"/>
          <w:numId w:val="128"/>
        </w:numPr>
        <w:ind w:left="360"/>
      </w:pPr>
      <w:r w:rsidRPr="00AA4677">
        <w:t>D</w:t>
      </w:r>
      <w:r w:rsidR="004F3023" w:rsidRPr="00AA4677">
        <w:t xml:space="preserve">etermination of </w:t>
      </w:r>
      <w:r w:rsidRPr="00AA4677">
        <w:t>applicability of an IND or IDE (</w:t>
      </w:r>
      <w:r w:rsidR="004F3023" w:rsidRPr="00AA4677">
        <w:t>IRB oversight continues to</w:t>
      </w:r>
      <w:r w:rsidRPr="00AA4677">
        <w:t xml:space="preserve"> apply)</w:t>
      </w:r>
    </w:p>
    <w:p w14:paraId="4A477131" w14:textId="2F96F6F6" w:rsidR="00CD3B8F" w:rsidRPr="00AA4677" w:rsidRDefault="00CD3B8F">
      <w:pPr>
        <w:pStyle w:val="ListParagraph"/>
        <w:numPr>
          <w:ilvl w:val="0"/>
          <w:numId w:val="128"/>
        </w:numPr>
        <w:ind w:left="360"/>
      </w:pPr>
      <w:r w:rsidRPr="00AA4677">
        <w:t xml:space="preserve">Training in </w:t>
      </w:r>
      <w:r w:rsidR="004F3023" w:rsidRPr="00AA4677">
        <w:t>the obligations of a sponsor-investigator</w:t>
      </w:r>
    </w:p>
    <w:p w14:paraId="3CC484EA" w14:textId="7FC80DD1" w:rsidR="004F3023" w:rsidRPr="00AA4677" w:rsidRDefault="00CD3B8F">
      <w:pPr>
        <w:pStyle w:val="ListParagraph"/>
        <w:numPr>
          <w:ilvl w:val="0"/>
          <w:numId w:val="128"/>
        </w:numPr>
        <w:ind w:left="360"/>
      </w:pPr>
      <w:r w:rsidRPr="00AA4677">
        <w:t>P</w:t>
      </w:r>
      <w:r w:rsidR="004F3023" w:rsidRPr="00AA4677">
        <w:t>re-IND</w:t>
      </w:r>
      <w:r w:rsidRPr="00AA4677">
        <w:t>, IDE</w:t>
      </w:r>
      <w:r w:rsidR="004F3023" w:rsidRPr="00AA4677">
        <w:t xml:space="preserve"> consult</w:t>
      </w:r>
      <w:r w:rsidR="00C20D68" w:rsidRPr="00AA4677">
        <w:t>ation with FDA and participation</w:t>
      </w:r>
      <w:r w:rsidR="004F3023" w:rsidRPr="00AA4677">
        <w:t xml:space="preserve"> in </w:t>
      </w:r>
      <w:r w:rsidRPr="00AA4677">
        <w:t xml:space="preserve">on-going </w:t>
      </w:r>
      <w:r w:rsidR="004F3023" w:rsidRPr="00AA4677">
        <w:t xml:space="preserve">communication with the </w:t>
      </w:r>
      <w:r w:rsidRPr="00AA4677">
        <w:t xml:space="preserve">agency </w:t>
      </w:r>
      <w:r w:rsidR="004F3023" w:rsidRPr="00AA4677">
        <w:t xml:space="preserve">as </w:t>
      </w:r>
      <w:r w:rsidRPr="00AA4677">
        <w:t>required</w:t>
      </w:r>
    </w:p>
    <w:p w14:paraId="5A2BE524" w14:textId="52999663" w:rsidR="004F3023" w:rsidRPr="00AA4677" w:rsidRDefault="004F3023">
      <w:pPr>
        <w:pStyle w:val="ListParagraph"/>
        <w:numPr>
          <w:ilvl w:val="0"/>
          <w:numId w:val="128"/>
        </w:numPr>
        <w:ind w:left="360"/>
      </w:pPr>
      <w:r w:rsidRPr="00AA4677">
        <w:t>Assistance with submission of IND</w:t>
      </w:r>
      <w:r w:rsidR="00CD3B8F" w:rsidRPr="00AA4677">
        <w:t>, IDE</w:t>
      </w:r>
      <w:r w:rsidRPr="00AA4677">
        <w:t xml:space="preserve"> to FDA to ensure all required forms are included.</w:t>
      </w:r>
    </w:p>
    <w:p w14:paraId="610271A4" w14:textId="77777777" w:rsidR="004F3023" w:rsidRPr="00AA4677" w:rsidRDefault="004F3023">
      <w:pPr>
        <w:pStyle w:val="ListParagraph"/>
        <w:numPr>
          <w:ilvl w:val="0"/>
          <w:numId w:val="128"/>
        </w:numPr>
        <w:ind w:left="360"/>
      </w:pPr>
      <w:r w:rsidRPr="00AA4677">
        <w:t xml:space="preserve">Assistance with fulfilling IND reporting requirements to ensure the study is conducted according to the current approved protocol.  </w:t>
      </w:r>
    </w:p>
    <w:p w14:paraId="35CE7912" w14:textId="0C35678E" w:rsidR="004F3023" w:rsidRPr="00AA4677" w:rsidRDefault="004F3023" w:rsidP="004F3023">
      <w:bookmarkStart w:id="274" w:name="_Hlk192161137"/>
      <w:r w:rsidRPr="00AA4677">
        <w:t xml:space="preserve">The University has accountability obligations for all sponsor-investigator drug, device, or biologic research at the University. </w:t>
      </w:r>
      <w:r w:rsidRPr="00AA4677">
        <w:rPr>
          <w:b/>
        </w:rPr>
        <w:t>To promote compliance with FDA, IND, and IDE regulations</w:t>
      </w:r>
      <w:r w:rsidR="00DC1199" w:rsidRPr="00AA4677">
        <w:rPr>
          <w:b/>
        </w:rPr>
        <w:t>,</w:t>
      </w:r>
      <w:r w:rsidRPr="00AA4677">
        <w:t xml:space="preserve"> </w:t>
      </w:r>
      <w:r w:rsidRPr="00AA4677">
        <w:rPr>
          <w:b/>
        </w:rPr>
        <w:t xml:space="preserve">the following documents must be submitted with the IRB protocol through the </w:t>
      </w:r>
      <w:r w:rsidR="00DC5138" w:rsidRPr="00AA4677">
        <w:rPr>
          <w:b/>
        </w:rPr>
        <w:t>electronic management system</w:t>
      </w:r>
      <w:r w:rsidRPr="00AA4677">
        <w:rPr>
          <w:b/>
        </w:rPr>
        <w:t>:</w:t>
      </w:r>
    </w:p>
    <w:p w14:paraId="4D076EDF" w14:textId="77777777" w:rsidR="004F3023" w:rsidRPr="00AA4677" w:rsidRDefault="004F3023">
      <w:pPr>
        <w:pStyle w:val="ListParagraph"/>
        <w:numPr>
          <w:ilvl w:val="0"/>
          <w:numId w:val="129"/>
        </w:numPr>
        <w:spacing w:after="0"/>
        <w:ind w:left="360"/>
      </w:pPr>
      <w:r w:rsidRPr="00AA4677">
        <w:t>FDA Form 1571 – Investigational New Drug Application</w:t>
      </w:r>
    </w:p>
    <w:p w14:paraId="313537DB" w14:textId="77777777" w:rsidR="004F3023" w:rsidRPr="00AA4677" w:rsidRDefault="004F3023">
      <w:pPr>
        <w:pStyle w:val="ListParagraph"/>
        <w:numPr>
          <w:ilvl w:val="0"/>
          <w:numId w:val="129"/>
        </w:numPr>
        <w:spacing w:after="0"/>
        <w:ind w:left="360"/>
      </w:pPr>
      <w:r w:rsidRPr="00AA4677">
        <w:t>FDA Form 1572 – Statement of Investigator</w:t>
      </w:r>
    </w:p>
    <w:p w14:paraId="61AC940A" w14:textId="77777777" w:rsidR="004F3023" w:rsidRPr="00AA4677" w:rsidRDefault="004F3023">
      <w:pPr>
        <w:pStyle w:val="ListParagraph"/>
        <w:numPr>
          <w:ilvl w:val="0"/>
          <w:numId w:val="129"/>
        </w:numPr>
        <w:spacing w:after="0"/>
        <w:ind w:left="360"/>
      </w:pPr>
      <w:r w:rsidRPr="00AA4677">
        <w:t>FDA Form 3674 – Certificate of Compliance</w:t>
      </w:r>
      <w:bookmarkEnd w:id="274"/>
    </w:p>
    <w:p w14:paraId="34B8286A" w14:textId="4E926B96" w:rsidR="004F3023" w:rsidRPr="00AA4677" w:rsidRDefault="007E3362" w:rsidP="008B3BF5">
      <w:pPr>
        <w:pStyle w:val="ListParagraph"/>
        <w:spacing w:after="0"/>
        <w:ind w:left="360" w:hanging="360"/>
        <w:rPr>
          <w:b/>
        </w:rPr>
      </w:pPr>
      <w:r w:rsidRPr="00AA4677">
        <w:rPr>
          <w:b/>
        </w:rPr>
        <w:t>Or</w:t>
      </w:r>
    </w:p>
    <w:p w14:paraId="17F329C0" w14:textId="77777777" w:rsidR="004F3023" w:rsidRPr="00AA4677" w:rsidRDefault="004F3023">
      <w:pPr>
        <w:pStyle w:val="ListParagraph"/>
        <w:numPr>
          <w:ilvl w:val="0"/>
          <w:numId w:val="129"/>
        </w:numPr>
        <w:spacing w:after="0"/>
        <w:ind w:left="360"/>
      </w:pPr>
      <w:r w:rsidRPr="00AA4677">
        <w:t>FDA Form 3926 – Individual Patient Expanded Access Application with Physician CV to confirm qualifications</w:t>
      </w:r>
    </w:p>
    <w:p w14:paraId="669569EA" w14:textId="77777777" w:rsidR="004F3023" w:rsidRPr="00AA4677" w:rsidRDefault="004F3023">
      <w:pPr>
        <w:pStyle w:val="ListParagraph"/>
        <w:numPr>
          <w:ilvl w:val="0"/>
          <w:numId w:val="129"/>
        </w:numPr>
        <w:spacing w:after="0"/>
        <w:ind w:left="360"/>
      </w:pPr>
      <w:r w:rsidRPr="00AA4677">
        <w:t>IND Annual renewal report</w:t>
      </w:r>
    </w:p>
    <w:p w14:paraId="0D0D1492" w14:textId="77777777" w:rsidR="004F3023" w:rsidRPr="00AA4677" w:rsidRDefault="004F3023">
      <w:pPr>
        <w:pStyle w:val="ListParagraph"/>
        <w:numPr>
          <w:ilvl w:val="0"/>
          <w:numId w:val="129"/>
        </w:numPr>
        <w:spacing w:after="0"/>
        <w:ind w:left="360"/>
      </w:pPr>
      <w:r w:rsidRPr="00AA4677">
        <w:t>Copy of SAE report within 3 days of submission to FDA</w:t>
      </w:r>
    </w:p>
    <w:p w14:paraId="6A7EB8D7" w14:textId="3DE5F9A7" w:rsidR="00FC174E" w:rsidRPr="00AA4677" w:rsidRDefault="00FC174E" w:rsidP="00C57C98">
      <w:pPr>
        <w:pStyle w:val="Heading3"/>
      </w:pPr>
      <w:r w:rsidRPr="00AA4677">
        <w:lastRenderedPageBreak/>
        <w:t>7.</w:t>
      </w:r>
      <w:r w:rsidR="001C1323" w:rsidRPr="00AA4677">
        <w:t>7</w:t>
      </w:r>
      <w:r w:rsidRPr="00AA4677">
        <w:t>.2</w:t>
      </w:r>
      <w:r w:rsidR="00C20D68" w:rsidRPr="00AA4677">
        <w:t xml:space="preserve"> </w:t>
      </w:r>
      <w:r w:rsidRPr="00AA4677">
        <w:t> </w:t>
      </w:r>
      <w:r w:rsidR="00EE7207" w:rsidRPr="00AA4677">
        <w:t>IRB</w:t>
      </w:r>
    </w:p>
    <w:p w14:paraId="1A85F842" w14:textId="64ABEA4D" w:rsidR="00FC174E" w:rsidRPr="00AA4677" w:rsidRDefault="00F75218" w:rsidP="00C129F1">
      <w:pPr>
        <w:numPr>
          <w:ilvl w:val="0"/>
          <w:numId w:val="4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will review the research in accordance with the following requirements and the same criteria it would use in considering approval of any research involving an FDA-regulated product (21 CFR 56.111).</w:t>
      </w:r>
    </w:p>
    <w:p w14:paraId="2091C1E3" w14:textId="77777777" w:rsidR="00FC174E" w:rsidRPr="00AA4677" w:rsidRDefault="00FC174E" w:rsidP="00C129F1">
      <w:pPr>
        <w:numPr>
          <w:ilvl w:val="0"/>
          <w:numId w:val="41"/>
        </w:numPr>
        <w:shd w:val="clear" w:color="auto" w:fill="FFFFFF"/>
        <w:spacing w:after="0" w:line="240" w:lineRule="auto"/>
        <w:rPr>
          <w:rFonts w:eastAsia="Times New Roman" w:cs="Times New Roman"/>
          <w:szCs w:val="24"/>
        </w:rPr>
      </w:pPr>
      <w:r w:rsidRPr="00AA4677">
        <w:rPr>
          <w:rFonts w:eastAsia="Times New Roman" w:cs="Times New Roman"/>
          <w:szCs w:val="24"/>
        </w:rPr>
        <w:t>For research involving investigational devices:</w:t>
      </w:r>
    </w:p>
    <w:p w14:paraId="12C7E700" w14:textId="6AE17085" w:rsidR="00FC174E" w:rsidRPr="00AA4677" w:rsidRDefault="00FC174E" w:rsidP="008B3BF5">
      <w:p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Unless the FDA has already made a risk determination for the study, </w:t>
      </w:r>
      <w:r w:rsidR="00F75218"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will review NSR studies and determine if the device represents significant or non-significant risk and </w:t>
      </w:r>
      <w:r w:rsidR="00C97C55" w:rsidRPr="00AA4677">
        <w:rPr>
          <w:rFonts w:eastAsia="Times New Roman" w:cs="Times New Roman"/>
          <w:szCs w:val="24"/>
        </w:rPr>
        <w:t xml:space="preserve">will document its findings. </w:t>
      </w:r>
      <w:r w:rsidR="00F75218" w:rsidRPr="00AA4677">
        <w:rPr>
          <w:rFonts w:eastAsia="Times New Roman" w:cs="Times New Roman"/>
          <w:szCs w:val="24"/>
        </w:rPr>
        <w:t xml:space="preserve"> The </w:t>
      </w:r>
      <w:r w:rsidR="00EE7207" w:rsidRPr="00AA4677">
        <w:rPr>
          <w:rFonts w:eastAsia="Times New Roman" w:cs="Times New Roman"/>
          <w:szCs w:val="24"/>
        </w:rPr>
        <w:t>IRB</w:t>
      </w:r>
      <w:r w:rsidRPr="00AA4677">
        <w:rPr>
          <w:rFonts w:eastAsia="Times New Roman" w:cs="Times New Roman"/>
          <w:szCs w:val="24"/>
        </w:rPr>
        <w:t xml:space="preserve"> will consider the risks and benefits of the medical device compared to the risks and benefits of alternative devices or procedures.  Non-significant risk device studies do not require submission of an IDE application but must be conducted in accordance with the abbreviated requirements of IDE regulations</w:t>
      </w:r>
      <w:r w:rsidR="00C97C55" w:rsidRPr="00AA4677">
        <w:rPr>
          <w:rFonts w:eastAsia="Times New Roman" w:cs="Times New Roman"/>
          <w:szCs w:val="24"/>
        </w:rPr>
        <w:t xml:space="preserve">: </w:t>
      </w:r>
    </w:p>
    <w:p w14:paraId="02095AC0" w14:textId="77777777" w:rsidR="00FC174E" w:rsidRPr="00AA4677" w:rsidRDefault="00FC174E">
      <w:pPr>
        <w:numPr>
          <w:ilvl w:val="1"/>
          <w:numId w:val="105"/>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The device is not a banned device.</w:t>
      </w:r>
    </w:p>
    <w:p w14:paraId="3BEB2D2D" w14:textId="77777777" w:rsidR="00FC174E" w:rsidRPr="00AA4677" w:rsidRDefault="00FC174E">
      <w:pPr>
        <w:numPr>
          <w:ilvl w:val="1"/>
          <w:numId w:val="105"/>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The sponsor labels the device in accordance with 21 CFR 812.5.</w:t>
      </w:r>
    </w:p>
    <w:p w14:paraId="4830DE62" w14:textId="77777777" w:rsidR="00FC174E" w:rsidRPr="00AA4677" w:rsidRDefault="00FC174E">
      <w:pPr>
        <w:numPr>
          <w:ilvl w:val="1"/>
          <w:numId w:val="105"/>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 xml:space="preserve">The sponsor obtains IRB approval of the investigation after presenting the reviewing IRB with a brief explanation of why the device was not a significant risk </w:t>
      </w:r>
      <w:proofErr w:type="gramStart"/>
      <w:r w:rsidRPr="00AA4677">
        <w:rPr>
          <w:rFonts w:eastAsia="Times New Roman" w:cs="Times New Roman"/>
          <w:szCs w:val="24"/>
        </w:rPr>
        <w:t>device, and</w:t>
      </w:r>
      <w:proofErr w:type="gramEnd"/>
      <w:r w:rsidRPr="00AA4677">
        <w:rPr>
          <w:rFonts w:eastAsia="Times New Roman" w:cs="Times New Roman"/>
          <w:szCs w:val="24"/>
        </w:rPr>
        <w:t xml:space="preserve"> maintains such approval.</w:t>
      </w:r>
    </w:p>
    <w:p w14:paraId="15D02793" w14:textId="77777777" w:rsidR="00FC174E" w:rsidRPr="00AA4677" w:rsidRDefault="00FC174E">
      <w:pPr>
        <w:numPr>
          <w:ilvl w:val="1"/>
          <w:numId w:val="105"/>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 xml:space="preserve">The sponsor ensures that each investigator participating in an investigation of the device obtains from each subject under the investigator’s care, consent under 21 CFR 50 and documents it, unless documentation </w:t>
      </w:r>
      <w:proofErr w:type="gramStart"/>
      <w:r w:rsidRPr="00AA4677">
        <w:rPr>
          <w:rFonts w:eastAsia="Times New Roman" w:cs="Times New Roman"/>
          <w:szCs w:val="24"/>
        </w:rPr>
        <w:t>was</w:t>
      </w:r>
      <w:proofErr w:type="gramEnd"/>
      <w:r w:rsidRPr="00AA4677">
        <w:rPr>
          <w:rFonts w:eastAsia="Times New Roman" w:cs="Times New Roman"/>
          <w:szCs w:val="24"/>
        </w:rPr>
        <w:t xml:space="preserve"> waived.</w:t>
      </w:r>
    </w:p>
    <w:p w14:paraId="6D8B014D" w14:textId="77777777" w:rsidR="00FC174E" w:rsidRPr="00AA4677" w:rsidRDefault="00FC174E">
      <w:pPr>
        <w:numPr>
          <w:ilvl w:val="1"/>
          <w:numId w:val="105"/>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The sponsor complies with the requirements of 21 CFR 812.46 with respect to monitoring investigations.</w:t>
      </w:r>
    </w:p>
    <w:p w14:paraId="08BDCB15" w14:textId="77777777" w:rsidR="00FC174E" w:rsidRPr="00AA4677" w:rsidRDefault="00FC174E">
      <w:pPr>
        <w:numPr>
          <w:ilvl w:val="1"/>
          <w:numId w:val="105"/>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The sponsor maintains the records required under 21 CFR 812.140(b)(4) and (5) and makes the reports required under 21 CFR 812.150 (b)(1) through (3) and (5) through (10).</w:t>
      </w:r>
    </w:p>
    <w:p w14:paraId="74248B84" w14:textId="77777777" w:rsidR="00FC174E" w:rsidRPr="00AA4677" w:rsidRDefault="00FC174E">
      <w:pPr>
        <w:numPr>
          <w:ilvl w:val="1"/>
          <w:numId w:val="105"/>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The sponsor ensures that participating investigators maintain the records required by 21 CFR 812.140(a)(3)(i) and make the reports required under 812.150(a)(1), (2), (5) and (7).</w:t>
      </w:r>
    </w:p>
    <w:p w14:paraId="39092B35" w14:textId="77777777" w:rsidR="00FC174E" w:rsidRPr="00AA4677" w:rsidRDefault="00FC174E">
      <w:pPr>
        <w:numPr>
          <w:ilvl w:val="1"/>
          <w:numId w:val="105"/>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The sponsor complies with the prohibitions in 21 CFR 812.7 against promotion and other practices.</w:t>
      </w:r>
    </w:p>
    <w:p w14:paraId="2FCB6B98" w14:textId="408FCEEE" w:rsidR="00FC174E" w:rsidRPr="00AA4677" w:rsidRDefault="00FC174E">
      <w:pPr>
        <w:numPr>
          <w:ilvl w:val="1"/>
          <w:numId w:val="105"/>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 xml:space="preserve">If the study that has been submitted as NSR is considered SR, </w:t>
      </w:r>
      <w:r w:rsidR="00F75218" w:rsidRPr="00AA4677">
        <w:rPr>
          <w:rFonts w:eastAsia="Times New Roman" w:cs="Times New Roman"/>
          <w:szCs w:val="24"/>
        </w:rPr>
        <w:t xml:space="preserve">the </w:t>
      </w:r>
      <w:r w:rsidR="00EE7207" w:rsidRPr="00AA4677">
        <w:rPr>
          <w:rFonts w:eastAsia="Times New Roman" w:cs="Times New Roman"/>
          <w:szCs w:val="24"/>
        </w:rPr>
        <w:t>IRB</w:t>
      </w:r>
      <w:r w:rsidR="00F75218" w:rsidRPr="00AA4677">
        <w:rPr>
          <w:rFonts w:eastAsia="Times New Roman" w:cs="Times New Roman"/>
          <w:szCs w:val="24"/>
        </w:rPr>
        <w:t xml:space="preserve"> may</w:t>
      </w:r>
      <w:r w:rsidRPr="00AA4677">
        <w:rPr>
          <w:rFonts w:eastAsia="Times New Roman" w:cs="Times New Roman"/>
          <w:szCs w:val="24"/>
        </w:rPr>
        <w:t xml:space="preserve"> approve the study, but the study cannot begin until an IDE is obtained.  </w:t>
      </w:r>
    </w:p>
    <w:p w14:paraId="29EB69CE" w14:textId="68025EB8" w:rsidR="00FC174E" w:rsidRPr="00AA4677" w:rsidRDefault="00F75218" w:rsidP="00E05118">
      <w:pPr>
        <w:numPr>
          <w:ilvl w:val="0"/>
          <w:numId w:val="4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will not review protocols involving significant risk devices under expedited review.</w:t>
      </w:r>
    </w:p>
    <w:p w14:paraId="4746D788" w14:textId="00D2A312" w:rsidR="00FC174E" w:rsidRPr="00AA4677" w:rsidRDefault="00F75218" w:rsidP="00E05118">
      <w:pPr>
        <w:numPr>
          <w:ilvl w:val="0"/>
          <w:numId w:val="41"/>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will document in the minutes </w:t>
      </w:r>
      <w:r w:rsidR="00C97C55" w:rsidRPr="00AA4677">
        <w:rPr>
          <w:rFonts w:eastAsia="Times New Roman" w:cs="Times New Roman"/>
          <w:szCs w:val="24"/>
        </w:rPr>
        <w:t xml:space="preserve">the </w:t>
      </w:r>
      <w:r w:rsidR="00FC174E" w:rsidRPr="00AA4677">
        <w:rPr>
          <w:rFonts w:eastAsia="Times New Roman" w:cs="Times New Roman"/>
          <w:szCs w:val="24"/>
        </w:rPr>
        <w:t>rationale for determining whether a device is classified as NSR/SR.</w:t>
      </w:r>
    </w:p>
    <w:p w14:paraId="03C75221" w14:textId="2BC6A555" w:rsidR="00FC174E" w:rsidRPr="00AA4677" w:rsidRDefault="00FC174E" w:rsidP="00E05118">
      <w:pPr>
        <w:numPr>
          <w:ilvl w:val="0"/>
          <w:numId w:val="41"/>
        </w:numPr>
        <w:shd w:val="clear" w:color="auto" w:fill="FFFFFF"/>
        <w:spacing w:after="0" w:line="240" w:lineRule="auto"/>
        <w:rPr>
          <w:rFonts w:eastAsia="Times New Roman" w:cs="Times New Roman"/>
          <w:szCs w:val="24"/>
        </w:rPr>
      </w:pPr>
      <w:r w:rsidRPr="00AA4677">
        <w:rPr>
          <w:rFonts w:eastAsia="Times New Roman" w:cs="Times New Roman"/>
          <w:szCs w:val="24"/>
        </w:rPr>
        <w:t>If the FDA has already made the SR or NSR determination for the study, the agenc</w:t>
      </w:r>
      <w:r w:rsidR="00F75218" w:rsidRPr="00AA4677">
        <w:rPr>
          <w:rFonts w:eastAsia="Times New Roman" w:cs="Times New Roman"/>
          <w:szCs w:val="24"/>
        </w:rPr>
        <w:t xml:space="preserve">y’s determination is </w:t>
      </w:r>
      <w:proofErr w:type="gramStart"/>
      <w:r w:rsidR="00F75218" w:rsidRPr="00AA4677">
        <w:rPr>
          <w:rFonts w:eastAsia="Times New Roman" w:cs="Times New Roman"/>
          <w:szCs w:val="24"/>
        </w:rPr>
        <w:t>final</w:t>
      </w:r>
      <w:proofErr w:type="gramEnd"/>
      <w:r w:rsidR="00F75218" w:rsidRPr="00AA4677">
        <w:rPr>
          <w:rFonts w:eastAsia="Times New Roman" w:cs="Times New Roman"/>
          <w:szCs w:val="24"/>
        </w:rPr>
        <w:t xml:space="preserve"> and the </w:t>
      </w:r>
      <w:r w:rsidR="00EE7207" w:rsidRPr="00AA4677">
        <w:rPr>
          <w:rFonts w:eastAsia="Times New Roman" w:cs="Times New Roman"/>
          <w:szCs w:val="24"/>
        </w:rPr>
        <w:t>IRB</w:t>
      </w:r>
      <w:r w:rsidRPr="00AA4677">
        <w:rPr>
          <w:rFonts w:eastAsia="Times New Roman" w:cs="Times New Roman"/>
          <w:szCs w:val="24"/>
        </w:rPr>
        <w:t xml:space="preserve"> does not need to make a risk determination.</w:t>
      </w:r>
    </w:p>
    <w:p w14:paraId="4BFBB897" w14:textId="77777777" w:rsidR="00E05118" w:rsidRPr="00AA4677" w:rsidRDefault="00E05118" w:rsidP="00696B35">
      <w:pPr>
        <w:pStyle w:val="Heading2"/>
      </w:pPr>
    </w:p>
    <w:p w14:paraId="5C1560BB" w14:textId="4B6A66EF" w:rsidR="005155CA" w:rsidRPr="00AA4677" w:rsidRDefault="00055CCD" w:rsidP="00696B35">
      <w:pPr>
        <w:pStyle w:val="Heading2"/>
      </w:pPr>
      <w:bookmarkStart w:id="275" w:name="_Toc192678228"/>
      <w:r w:rsidRPr="00AA4677">
        <w:t>7</w:t>
      </w:r>
      <w:r w:rsidR="00FC174E" w:rsidRPr="00AA4677">
        <w:t>.8 Policy o</w:t>
      </w:r>
      <w:r w:rsidR="005252EA" w:rsidRPr="00AA4677">
        <w:t xml:space="preserve">n </w:t>
      </w:r>
      <w:r w:rsidR="00FC174E" w:rsidRPr="00AA4677">
        <w:t>Research with Dietary Supplements</w:t>
      </w:r>
      <w:bookmarkEnd w:id="275"/>
    </w:p>
    <w:p w14:paraId="005DA277" w14:textId="77777777" w:rsidR="00E05118" w:rsidRPr="00AA4677" w:rsidRDefault="00E05118" w:rsidP="00E05118">
      <w:pPr>
        <w:spacing w:after="0" w:line="240" w:lineRule="auto"/>
      </w:pPr>
    </w:p>
    <w:p w14:paraId="3B2CBF66" w14:textId="12E54390" w:rsidR="005155CA" w:rsidRPr="00AA4677" w:rsidRDefault="005155CA" w:rsidP="00E05118">
      <w:pPr>
        <w:spacing w:after="0" w:line="240" w:lineRule="auto"/>
      </w:pPr>
      <w:r w:rsidRPr="00AA4677">
        <w:lastRenderedPageBreak/>
        <w:t xml:space="preserve">Research involving dietary supplements may or may not fall under FDA regulations.  Under the Dietary Supplement Health and Education Act (DSHEA) of 1994, a dietary supplement is not considered a drug and is not subject to the premarket approval requirements for drugs if the intended use for which it is marketed is only to affect the structure or any function of the body (i.e., not intended to be used for a therapeutic purpose). Whether a study falls under FDA oversight is determined by the intent of the clinical investigation. If the clinical investigation is intended only to evaluate the dietary supplement’s effect on the structure or function of the body, FDA research regulations do not apply. However, if the study is intended to evaluate the dietary supplement’s ability to diagnose, cure, mitigate, treat, or prevent a disease, then FDA regulations do apply. Studies involving the ingestion of dietary supplements that are not subject to FDA oversight are still </w:t>
      </w:r>
      <w:proofErr w:type="gramStart"/>
      <w:r w:rsidRPr="00AA4677">
        <w:t>research, and</w:t>
      </w:r>
      <w:proofErr w:type="gramEnd"/>
      <w:r w:rsidRPr="00AA4677">
        <w:t xml:space="preserve"> therefore must be reviewed by the IRB.</w:t>
      </w:r>
    </w:p>
    <w:p w14:paraId="3C9BF8A3" w14:textId="77777777" w:rsidR="00E05118" w:rsidRPr="00AA4677" w:rsidRDefault="00E05118" w:rsidP="00E05118">
      <w:pPr>
        <w:spacing w:after="0" w:line="240" w:lineRule="auto"/>
      </w:pPr>
    </w:p>
    <w:p w14:paraId="3EB78140" w14:textId="01372BE7" w:rsidR="005155CA" w:rsidRPr="00AA4677" w:rsidRDefault="005155CA" w:rsidP="00E05118">
      <w:pPr>
        <w:spacing w:after="0" w:line="240" w:lineRule="auto"/>
      </w:pPr>
      <w:r w:rsidRPr="00AA4677">
        <w:t xml:space="preserve">Similarly, whether an IND is needed for a study evaluating a dietary supplement is determined by the intent of the study. If the study is intended only to evaluate the dietary supplement’s effect on the structure or function of the body, an IND is not required.  However, if the study is intended to evaluate the dietary supplement’s ability to diagnose, cure, mitigate, treat, or prevent a disease, an IND is required under part 312. </w:t>
      </w:r>
    </w:p>
    <w:p w14:paraId="435B689D" w14:textId="77777777" w:rsidR="00E05118" w:rsidRPr="00AA4677" w:rsidRDefault="00E05118" w:rsidP="00E05118">
      <w:pPr>
        <w:spacing w:after="0" w:line="240" w:lineRule="auto"/>
      </w:pPr>
    </w:p>
    <w:p w14:paraId="0100FDD0" w14:textId="469E5623" w:rsidR="005155CA" w:rsidRPr="00AA4677" w:rsidRDefault="005155CA" w:rsidP="00E05118">
      <w:pPr>
        <w:spacing w:after="0" w:line="240" w:lineRule="auto"/>
      </w:pPr>
      <w:r w:rsidRPr="00AA4677">
        <w:t xml:space="preserve">As with any research involving a test article, the investigator must supply the IRB with sufficient information to determine that the criteria for approval are satisfied and to determine or verify whether the research requires an IND. Applications should provide detail consistent with that expected on a drug protocol and consistent with the level of risk associated or anticipated with the research. At a minimum, the research plan should provide the following information regarding the supplement: Name, Manufacturer, Formulation, Dosage, Method/Route of Administration, Mechanism of Action, Known Drug Interactions, Risk Profile, IND number (or justification for why an IND is unnecessary), documentation of approval for use in humans, documentation or certification of Quality or Purity. As with drugs and devices there should be an accountability plan for the product describing where the product will be stored and how it will be dispensed, usage tracked, and disposal or return. If the study entails greater than minimal risk, a plan for Data and Safety Monitoring must be included. </w:t>
      </w:r>
    </w:p>
    <w:p w14:paraId="6D2A6455" w14:textId="77777777" w:rsidR="00E05118" w:rsidRPr="00AA4677" w:rsidRDefault="00E05118" w:rsidP="005920B2">
      <w:pPr>
        <w:pStyle w:val="Heading1"/>
      </w:pPr>
    </w:p>
    <w:p w14:paraId="268A18DC" w14:textId="59354F27" w:rsidR="00FC174E" w:rsidRPr="00AA4677" w:rsidRDefault="00FC174E" w:rsidP="005920B2">
      <w:pPr>
        <w:pStyle w:val="Heading1"/>
      </w:pPr>
      <w:bookmarkStart w:id="276" w:name="_Toc192678229"/>
      <w:r w:rsidRPr="00AA4677">
        <w:t>8 Unanticipated Problems Involving Risks to Subjects or Others</w:t>
      </w:r>
      <w:r w:rsidR="009A265B" w:rsidRPr="00AA4677">
        <w:t xml:space="preserve"> (a</w:t>
      </w:r>
      <w:r w:rsidR="00D22742" w:rsidRPr="00AA4677">
        <w:t xml:space="preserve"> type of </w:t>
      </w:r>
      <w:r w:rsidR="009A265B" w:rsidRPr="00AA4677">
        <w:t>‘Reportable New Information</w:t>
      </w:r>
      <w:r w:rsidR="00254001" w:rsidRPr="00AA4677">
        <w:t>-RNI</w:t>
      </w:r>
      <w:r w:rsidR="009A265B" w:rsidRPr="00AA4677">
        <w:t>’)</w:t>
      </w:r>
      <w:bookmarkEnd w:id="276"/>
    </w:p>
    <w:p w14:paraId="72FE78F2" w14:textId="77777777" w:rsidR="00F21F33" w:rsidRPr="00AA4677" w:rsidRDefault="00F21F33" w:rsidP="00696B35">
      <w:pPr>
        <w:pStyle w:val="Heading2"/>
      </w:pPr>
      <w:bookmarkStart w:id="277" w:name="_Toc101430857"/>
      <w:bookmarkStart w:id="278" w:name="_Toc132201515"/>
      <w:bookmarkEnd w:id="277"/>
    </w:p>
    <w:p w14:paraId="71F48557" w14:textId="13848F4C" w:rsidR="001668DC" w:rsidRPr="00AA4677" w:rsidRDefault="00F21F33" w:rsidP="00696B35">
      <w:pPr>
        <w:pStyle w:val="Heading2"/>
      </w:pPr>
      <w:bookmarkStart w:id="279" w:name="_Toc192678230"/>
      <w:r w:rsidRPr="00AA4677">
        <w:t>8.1 Policy</w:t>
      </w:r>
      <w:bookmarkEnd w:id="278"/>
      <w:bookmarkEnd w:id="279"/>
    </w:p>
    <w:p w14:paraId="69CA69AD" w14:textId="77777777" w:rsidR="001668DC" w:rsidRPr="00AA4677" w:rsidRDefault="001668DC" w:rsidP="00696B35">
      <w:pPr>
        <w:pStyle w:val="Heading2"/>
      </w:pPr>
    </w:p>
    <w:p w14:paraId="15A754D5" w14:textId="20A841E4" w:rsidR="00F21F33" w:rsidRPr="00AA4677" w:rsidRDefault="00F21F33" w:rsidP="00F21F33">
      <w:r w:rsidRPr="00AA4677">
        <w:t>The University complies with DHHS and FDA regulations which state that institutions must have written policies on reporting unanticipated problems involving risks to subjects or others to the IRB, institutional officials and relevant federal agencies and departments.</w:t>
      </w:r>
    </w:p>
    <w:p w14:paraId="4F6E33F0" w14:textId="77777777" w:rsidR="00F21F33" w:rsidRPr="00AA4677" w:rsidRDefault="00F21F33" w:rsidP="00696B35">
      <w:pPr>
        <w:pStyle w:val="Heading2"/>
      </w:pPr>
      <w:bookmarkStart w:id="280" w:name="_Toc132201516"/>
      <w:bookmarkStart w:id="281" w:name="_Toc192678231"/>
      <w:r w:rsidRPr="00AA4677">
        <w:lastRenderedPageBreak/>
        <w:t>8.2 Definitions</w:t>
      </w:r>
      <w:bookmarkEnd w:id="280"/>
      <w:bookmarkEnd w:id="281"/>
    </w:p>
    <w:p w14:paraId="0BDF6078" w14:textId="77777777" w:rsidR="001668DC" w:rsidRPr="00AA4677" w:rsidRDefault="001668DC" w:rsidP="00F21F33">
      <w:pPr>
        <w:shd w:val="clear" w:color="auto" w:fill="FFFFFF"/>
        <w:spacing w:after="0" w:line="240" w:lineRule="auto"/>
        <w:rPr>
          <w:rFonts w:eastAsia="Times New Roman" w:cs="Times New Roman"/>
          <w:b/>
          <w:bCs/>
          <w:szCs w:val="24"/>
        </w:rPr>
      </w:pPr>
    </w:p>
    <w:p w14:paraId="51CB5FBE" w14:textId="4CAC5FAD" w:rsidR="00F21F33" w:rsidRPr="00AA4677" w:rsidRDefault="00F21F33" w:rsidP="00F21F33">
      <w:pPr>
        <w:shd w:val="clear" w:color="auto" w:fill="FFFFFF"/>
        <w:spacing w:after="0" w:line="240" w:lineRule="auto"/>
        <w:rPr>
          <w:rFonts w:eastAsia="Times New Roman" w:cs="Times New Roman"/>
          <w:szCs w:val="24"/>
        </w:rPr>
      </w:pPr>
      <w:r w:rsidRPr="00AA4677">
        <w:rPr>
          <w:rFonts w:eastAsia="Times New Roman" w:cs="Times New Roman"/>
          <w:b/>
          <w:bCs/>
          <w:szCs w:val="24"/>
        </w:rPr>
        <w:t xml:space="preserve">Unanticipated Problem Involving Risk to Subjects or </w:t>
      </w:r>
      <w:proofErr w:type="gramStart"/>
      <w:r w:rsidRPr="00AA4677">
        <w:rPr>
          <w:rFonts w:eastAsia="Times New Roman" w:cs="Times New Roman"/>
          <w:b/>
          <w:bCs/>
          <w:szCs w:val="24"/>
        </w:rPr>
        <w:t>Others:</w:t>
      </w:r>
      <w:proofErr w:type="gramEnd"/>
      <w:r w:rsidRPr="00AA4677">
        <w:rPr>
          <w:rFonts w:eastAsia="Times New Roman" w:cs="Times New Roman"/>
          <w:szCs w:val="24"/>
        </w:rPr>
        <w:t xml:space="preserve"> refers to any problem, event, or new information that:</w:t>
      </w:r>
    </w:p>
    <w:p w14:paraId="0224E8E6" w14:textId="77777777" w:rsidR="00F21F33" w:rsidRPr="00AA4677" w:rsidRDefault="00F21F33" w:rsidP="00F21F33">
      <w:pPr>
        <w:shd w:val="clear" w:color="auto" w:fill="FFFFFF"/>
        <w:spacing w:after="0" w:line="240" w:lineRule="auto"/>
        <w:ind w:left="360" w:hanging="360"/>
        <w:rPr>
          <w:rFonts w:eastAsia="Times New Roman" w:cs="Times New Roman"/>
          <w:szCs w:val="24"/>
        </w:rPr>
      </w:pPr>
      <w:r w:rsidRPr="00AA4677">
        <w:rPr>
          <w:rFonts w:eastAsia="Times New Roman" w:cs="Times New Roman"/>
          <w:szCs w:val="24"/>
        </w:rPr>
        <w:t>1.    Is unexpected (in terms of nature, severity, or frequency) given the research procedures that are described in the protocol-related documents, such as the IRB approved research protocol and informed consent documents; and the characteristics of the subject population being studied; and</w:t>
      </w:r>
    </w:p>
    <w:p w14:paraId="5D07701B" w14:textId="77777777" w:rsidR="00F21F33" w:rsidRPr="00AA4677" w:rsidRDefault="00F21F33" w:rsidP="00F21F33">
      <w:pPr>
        <w:shd w:val="clear" w:color="auto" w:fill="FFFFFF"/>
        <w:spacing w:after="0" w:line="240" w:lineRule="auto"/>
        <w:ind w:left="360" w:hanging="360"/>
        <w:rPr>
          <w:rFonts w:eastAsia="Times New Roman" w:cs="Times New Roman"/>
          <w:szCs w:val="24"/>
        </w:rPr>
      </w:pPr>
      <w:r w:rsidRPr="00AA4677">
        <w:rPr>
          <w:rFonts w:eastAsia="Times New Roman" w:cs="Times New Roman"/>
          <w:szCs w:val="24"/>
        </w:rPr>
        <w:t>2.    Indicates that subjects or others are at a greater risk of harm (including physical, psychological, economic, or social harm) than was previously known or recognized.</w:t>
      </w:r>
    </w:p>
    <w:p w14:paraId="0164B0A1" w14:textId="77777777" w:rsidR="00F21F33" w:rsidRPr="00AA4677" w:rsidRDefault="00F21F33" w:rsidP="00F21F33">
      <w:pPr>
        <w:shd w:val="clear" w:color="auto" w:fill="FFFFFF"/>
        <w:tabs>
          <w:tab w:val="left" w:pos="360"/>
        </w:tabs>
        <w:spacing w:after="0" w:line="240" w:lineRule="auto"/>
        <w:ind w:left="360" w:hanging="360"/>
        <w:rPr>
          <w:rFonts w:eastAsia="Times New Roman" w:cs="Times New Roman"/>
          <w:szCs w:val="24"/>
        </w:rPr>
      </w:pPr>
      <w:r w:rsidRPr="00AA4677">
        <w:rPr>
          <w:rFonts w:eastAsia="Times New Roman" w:cs="Times New Roman"/>
          <w:szCs w:val="24"/>
        </w:rPr>
        <w:t>3.</w:t>
      </w:r>
      <w:r w:rsidRPr="00AA4677">
        <w:rPr>
          <w:rFonts w:eastAsia="Times New Roman" w:cs="Times New Roman"/>
          <w:szCs w:val="24"/>
        </w:rPr>
        <w:tab/>
        <w:t>Is possibly or probably related to the research procedures described in the protocol-related documents.</w:t>
      </w:r>
    </w:p>
    <w:p w14:paraId="0ED8BB6D"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i/>
          <w:iCs/>
          <w:szCs w:val="24"/>
        </w:rPr>
        <w:t>Note: Unanticipated problems occurring in subjects whose participation in the study ended within 30 days of the unanticipated problems are considered applicable to this policy </w:t>
      </w:r>
    </w:p>
    <w:p w14:paraId="2B9AFB26"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bookmarkStart w:id="282" w:name="_Hlk161917037"/>
      <w:r w:rsidRPr="00AA4677">
        <w:rPr>
          <w:rFonts w:eastAsia="Times New Roman" w:cs="Times New Roman"/>
          <w:b/>
          <w:bCs/>
          <w:szCs w:val="24"/>
        </w:rPr>
        <w:t xml:space="preserve">Adverse Event (AE): </w:t>
      </w:r>
      <w:r w:rsidRPr="00AA4677">
        <w:rPr>
          <w:rFonts w:eastAsia="Times New Roman" w:cs="Times New Roman"/>
          <w:bCs/>
          <w:szCs w:val="24"/>
        </w:rPr>
        <w:t>A</w:t>
      </w:r>
      <w:r w:rsidRPr="00AA4677">
        <w:rPr>
          <w:rFonts w:eastAsia="Times New Roman" w:cs="Times New Roman"/>
          <w:szCs w:val="24"/>
        </w:rPr>
        <w:t xml:space="preserve">ny untoward physical or psychological occurrence in a human subject participating in research. An AE can be any unfavorable or unintended event including abnormal laboratory finding, </w:t>
      </w:r>
      <w:proofErr w:type="gramStart"/>
      <w:r w:rsidRPr="00AA4677">
        <w:rPr>
          <w:rFonts w:eastAsia="Times New Roman" w:cs="Times New Roman"/>
          <w:szCs w:val="24"/>
        </w:rPr>
        <w:t>symptom</w:t>
      </w:r>
      <w:proofErr w:type="gramEnd"/>
      <w:r w:rsidRPr="00AA4677">
        <w:rPr>
          <w:rFonts w:eastAsia="Times New Roman" w:cs="Times New Roman"/>
          <w:szCs w:val="24"/>
        </w:rPr>
        <w:t xml:space="preserve"> or disease associated with the research or the use of a medical </w:t>
      </w:r>
      <w:proofErr w:type="gramStart"/>
      <w:r w:rsidRPr="00AA4677">
        <w:rPr>
          <w:rFonts w:eastAsia="Times New Roman" w:cs="Times New Roman"/>
          <w:szCs w:val="24"/>
        </w:rPr>
        <w:t>investigational</w:t>
      </w:r>
      <w:proofErr w:type="gramEnd"/>
      <w:r w:rsidRPr="00AA4677">
        <w:rPr>
          <w:rFonts w:eastAsia="Times New Roman" w:cs="Times New Roman"/>
          <w:szCs w:val="24"/>
        </w:rPr>
        <w:t xml:space="preserve"> test article.</w:t>
      </w:r>
    </w:p>
    <w:p w14:paraId="73A1A8C5"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Serious Adverse Event (SAE): </w:t>
      </w:r>
      <w:r w:rsidRPr="00AA4677">
        <w:rPr>
          <w:rFonts w:eastAsia="Times New Roman" w:cs="Times New Roman"/>
          <w:bCs/>
          <w:szCs w:val="24"/>
        </w:rPr>
        <w:t>A</w:t>
      </w:r>
      <w:r w:rsidRPr="00AA4677">
        <w:rPr>
          <w:rFonts w:eastAsia="Times New Roman" w:cs="Times New Roman"/>
          <w:szCs w:val="24"/>
        </w:rPr>
        <w:t xml:space="preserve"> life threatening experience; hospitalization (for a person not already hospitalized); prolongation of hospitalization (for a patient already hospitalized); persistent or significant disability or incapacity; congenital anomaly and/or birth defects; or an event that jeopardizes the subject and may require medical or surgical treatment to prevent one of the preceding outcomes.</w:t>
      </w:r>
      <w:bookmarkEnd w:id="282"/>
    </w:p>
    <w:p w14:paraId="1BD48C76"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bookmarkStart w:id="283" w:name="_Hlk161917056"/>
      <w:r w:rsidRPr="00AA4677">
        <w:rPr>
          <w:rFonts w:eastAsia="Times New Roman" w:cs="Times New Roman"/>
          <w:b/>
          <w:bCs/>
          <w:szCs w:val="24"/>
        </w:rPr>
        <w:t>Unexpected Adverse Event (UAE): </w:t>
      </w:r>
      <w:r w:rsidRPr="00AA4677">
        <w:rPr>
          <w:rFonts w:eastAsia="Times New Roman" w:cs="Times New Roman"/>
          <w:szCs w:val="24"/>
        </w:rPr>
        <w:t> Any adverse event and/or reaction, the specificity or severity of which is not consistent with the informed consent, current investigator brochure or product labeling. Further, it is not consistent with the risk information described in the general investigational plan or proposal.</w:t>
      </w:r>
    </w:p>
    <w:p w14:paraId="441D428A"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bookmarkStart w:id="284" w:name="_Hlk161917064"/>
      <w:bookmarkEnd w:id="283"/>
      <w:r w:rsidRPr="00AA4677">
        <w:rPr>
          <w:rFonts w:eastAsia="Times New Roman" w:cs="Times New Roman"/>
          <w:b/>
          <w:bCs/>
          <w:szCs w:val="24"/>
        </w:rPr>
        <w:t>Adverse Device Effect (ADE):</w:t>
      </w:r>
      <w:r w:rsidRPr="00AA4677">
        <w:rPr>
          <w:rFonts w:eastAsia="Times New Roman" w:cs="Times New Roman"/>
          <w:szCs w:val="24"/>
        </w:rPr>
        <w:t> Any adverse event/effect caused by or associated with the use of a device that is unanticipated and has not been included in the protocol or the Investigator’s Brochure.</w:t>
      </w:r>
    </w:p>
    <w:bookmarkEnd w:id="284"/>
    <w:p w14:paraId="318E8066"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Related: </w:t>
      </w:r>
      <w:r w:rsidRPr="00AA4677">
        <w:rPr>
          <w:rFonts w:eastAsia="Times New Roman" w:cs="Times New Roman"/>
          <w:szCs w:val="24"/>
        </w:rPr>
        <w:t>An event is “related” if it is likely to have been caused by the research procedures.</w:t>
      </w:r>
    </w:p>
    <w:p w14:paraId="42E0A1D8"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lastRenderedPageBreak/>
        <w:t>Unexpected Death: </w:t>
      </w:r>
      <w:r w:rsidRPr="00AA4677">
        <w:rPr>
          <w:rFonts w:eastAsia="Times New Roman" w:cs="Times New Roman"/>
          <w:szCs w:val="24"/>
        </w:rPr>
        <w:t>The death of a research subject in which a high risk of death is not projected, as indicated by the written protocol, informed consent form, or sponsor brochure. This definition does not include deaths associated with a terminal condition unless the research intervention clearly hastened the subject’s death. A subject’s death that is determined to be clearly not associated with the research is also not an “unexpected death” for purposes of the reporting requirements of these procedures.</w:t>
      </w:r>
    </w:p>
    <w:p w14:paraId="143FE081" w14:textId="71946963" w:rsidR="001668DC" w:rsidRPr="00AA4677" w:rsidRDefault="00F21F33" w:rsidP="00696B35">
      <w:pPr>
        <w:pStyle w:val="Heading2"/>
      </w:pPr>
      <w:bookmarkStart w:id="285" w:name="_Toc132201517"/>
      <w:bookmarkStart w:id="286" w:name="_Toc192678232"/>
      <w:r w:rsidRPr="00AA4677">
        <w:t>8.3 Procedures</w:t>
      </w:r>
      <w:bookmarkEnd w:id="285"/>
      <w:bookmarkEnd w:id="286"/>
    </w:p>
    <w:p w14:paraId="28257EA7" w14:textId="77777777" w:rsidR="001668DC" w:rsidRPr="00AA4677" w:rsidRDefault="001668DC" w:rsidP="00696B35">
      <w:pPr>
        <w:pStyle w:val="Heading2"/>
      </w:pPr>
    </w:p>
    <w:p w14:paraId="2A78B935" w14:textId="15450790" w:rsidR="00F21F33" w:rsidRPr="00AA4677" w:rsidRDefault="00F21F33" w:rsidP="00F21F33">
      <w:r w:rsidRPr="00AA4677">
        <w:t xml:space="preserve">The following procedures describe how unanticipated problems involving risk to subjects or others are handled in research conducted under the auspices of the University. </w:t>
      </w:r>
    </w:p>
    <w:p w14:paraId="7465EF3B" w14:textId="77777777" w:rsidR="00F21F33" w:rsidRPr="00AA4677" w:rsidRDefault="00F21F33" w:rsidP="00F21F33">
      <w:pPr>
        <w:pStyle w:val="Heading3"/>
      </w:pPr>
      <w:bookmarkStart w:id="287" w:name="_Hlk161131575"/>
      <w:r w:rsidRPr="00AA4677">
        <w:t>8.3.1 </w:t>
      </w:r>
      <w:bookmarkStart w:id="288" w:name="_Hlk161917087"/>
      <w:r w:rsidRPr="00AA4677">
        <w:t>What must be reported</w:t>
      </w:r>
    </w:p>
    <w:p w14:paraId="0597A77E" w14:textId="77777777" w:rsidR="00F21F33" w:rsidRPr="00AA4677" w:rsidRDefault="00F21F33" w:rsidP="00F21F33">
      <w:pPr>
        <w:shd w:val="clear" w:color="auto" w:fill="FFFFFF"/>
        <w:spacing w:after="0" w:line="240" w:lineRule="auto"/>
        <w:rPr>
          <w:rFonts w:eastAsia="Times New Roman" w:cs="Times New Roman"/>
          <w:szCs w:val="24"/>
        </w:rPr>
      </w:pPr>
      <w:r w:rsidRPr="00AA4677">
        <w:rPr>
          <w:rFonts w:eastAsia="Times New Roman" w:cs="Times New Roman"/>
          <w:szCs w:val="24"/>
        </w:rPr>
        <w:t>Investigators must report the following problems to the IRB (see Section 8.3.2 for timelines)</w:t>
      </w:r>
    </w:p>
    <w:p w14:paraId="26014665"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Serious adverse events which in the opinion of the principal investigator are both unexpected and related to the research activity.</w:t>
      </w:r>
    </w:p>
    <w:p w14:paraId="19F65E52"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Adverse events (other than SAEs) which in the opinion of the principal investigator meet the criteria for an unanticipated problem involving risk to subjects or others (unanticipated, related to the research and increase risk to subjects).</w:t>
      </w:r>
    </w:p>
    <w:p w14:paraId="1B8D2A29"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An unanticipated event related to the research that exposes subjects to potential risk.</w:t>
      </w:r>
    </w:p>
    <w:p w14:paraId="11972D7B"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An unanticipated event related to the research that exposes individuals other than the research subjects (e.g., investigators, research assistants, students, the public, etc.) to potential risk.</w:t>
      </w:r>
    </w:p>
    <w:p w14:paraId="6FB87F34"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Information that indicates a change to the risks or potential benefits of the research. For example:</w:t>
      </w:r>
    </w:p>
    <w:p w14:paraId="13F4DE96" w14:textId="77777777" w:rsidR="00F21F33" w:rsidRPr="00AA4677" w:rsidRDefault="00F21F33">
      <w:pPr>
        <w:numPr>
          <w:ilvl w:val="0"/>
          <w:numId w:val="106"/>
        </w:numPr>
        <w:shd w:val="clear" w:color="auto" w:fill="FFFFFF"/>
        <w:spacing w:after="0" w:line="240" w:lineRule="auto"/>
        <w:rPr>
          <w:rFonts w:eastAsia="Times New Roman" w:cs="Times New Roman"/>
          <w:szCs w:val="24"/>
        </w:rPr>
      </w:pPr>
      <w:r w:rsidRPr="00AA4677">
        <w:rPr>
          <w:rFonts w:eastAsia="Times New Roman" w:cs="Times New Roman"/>
          <w:szCs w:val="24"/>
        </w:rPr>
        <w:t>An interim analysis or safety monitoring report indicates that frequency or magnitude of harms or benefits may be different than initially presented to the IRB.</w:t>
      </w:r>
    </w:p>
    <w:p w14:paraId="340BDB29" w14:textId="77777777" w:rsidR="00F21F33" w:rsidRPr="00AA4677" w:rsidRDefault="00F21F33">
      <w:pPr>
        <w:numPr>
          <w:ilvl w:val="0"/>
          <w:numId w:val="106"/>
        </w:numPr>
        <w:shd w:val="clear" w:color="auto" w:fill="FFFFFF"/>
        <w:spacing w:after="0" w:line="240" w:lineRule="auto"/>
        <w:rPr>
          <w:rFonts w:eastAsia="Times New Roman" w:cs="Times New Roman"/>
          <w:szCs w:val="24"/>
        </w:rPr>
      </w:pPr>
      <w:r w:rsidRPr="00AA4677">
        <w:rPr>
          <w:rFonts w:eastAsia="Times New Roman" w:cs="Times New Roman"/>
          <w:szCs w:val="24"/>
        </w:rPr>
        <w:t>A paper is published from another study that shows that the risks or potential benefits of the research may be different than initially presented to the IRB.</w:t>
      </w:r>
    </w:p>
    <w:p w14:paraId="45E3965A"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A breach of confidentiality.</w:t>
      </w:r>
    </w:p>
    <w:p w14:paraId="470BC819"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Incarceration of a subject in a protocol not approved to enroll prisoners.</w:t>
      </w:r>
    </w:p>
    <w:p w14:paraId="2A0832E9"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Changes increasing the risk </w:t>
      </w:r>
      <w:proofErr w:type="gramStart"/>
      <w:r w:rsidRPr="00AA4677">
        <w:rPr>
          <w:rFonts w:eastAsia="Times New Roman" w:cs="Times New Roman"/>
          <w:szCs w:val="24"/>
        </w:rPr>
        <w:t>to</w:t>
      </w:r>
      <w:proofErr w:type="gramEnd"/>
      <w:r w:rsidRPr="00AA4677">
        <w:rPr>
          <w:rFonts w:eastAsia="Times New Roman" w:cs="Times New Roman"/>
          <w:szCs w:val="24"/>
        </w:rPr>
        <w:t xml:space="preserve"> subjects and/or significantly affecting the conduct of the trial.</w:t>
      </w:r>
    </w:p>
    <w:p w14:paraId="1795E798"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Change to the protocol taken without prior IRB review to eliminate an apparent immediate hazard to a research subject.</w:t>
      </w:r>
    </w:p>
    <w:p w14:paraId="6CE2689D"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Complaint of a subject when the complaint indicates unexpected risks or cannot be resolved by the research team.</w:t>
      </w:r>
    </w:p>
    <w:p w14:paraId="44D44A4B"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Protocol violation (meaning an accidental or unintentional change to the IRB approved protocol) that harmed subjects or others or that indicates subjects or others may be at increased risk of harm.</w:t>
      </w:r>
    </w:p>
    <w:p w14:paraId="1F32F172"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Event that requires prompt reporting to the sponsor.</w:t>
      </w:r>
    </w:p>
    <w:p w14:paraId="00655FDC"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Sponsor imposed suspension for risk.</w:t>
      </w:r>
    </w:p>
    <w:p w14:paraId="4C1B2C4D"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Change in FDA labeling or withdrawal from marketing of a drug, device, or biologic used in a research protocol.</w:t>
      </w:r>
    </w:p>
    <w:p w14:paraId="497F5459" w14:textId="77777777" w:rsidR="00F21F33" w:rsidRPr="00AA4677" w:rsidRDefault="00F21F33" w:rsidP="00F21F33">
      <w:pPr>
        <w:numPr>
          <w:ilvl w:val="0"/>
          <w:numId w:val="42"/>
        </w:numPr>
        <w:shd w:val="clear" w:color="auto" w:fill="FFFFFF"/>
        <w:spacing w:after="0" w:line="240" w:lineRule="auto"/>
        <w:rPr>
          <w:rFonts w:eastAsia="Times New Roman" w:cs="Times New Roman"/>
          <w:szCs w:val="24"/>
        </w:rPr>
      </w:pPr>
      <w:r w:rsidRPr="00AA4677">
        <w:rPr>
          <w:rFonts w:eastAsia="Times New Roman" w:cs="Times New Roman"/>
          <w:szCs w:val="24"/>
        </w:rPr>
        <w:t>Unanticipated adverse device effect -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 (21 CFR 812.150(a).</w:t>
      </w:r>
    </w:p>
    <w:p w14:paraId="47071BD3" w14:textId="77777777" w:rsidR="0075417B" w:rsidRPr="00AA4677" w:rsidRDefault="0075417B" w:rsidP="00F21F33">
      <w:pPr>
        <w:shd w:val="clear" w:color="auto" w:fill="FFFFFF"/>
        <w:spacing w:after="0" w:line="240" w:lineRule="auto"/>
        <w:rPr>
          <w:rFonts w:eastAsia="Times New Roman" w:cs="Times New Roman"/>
          <w:szCs w:val="24"/>
        </w:rPr>
      </w:pPr>
    </w:p>
    <w:p w14:paraId="34D3C269" w14:textId="403EDF3E" w:rsidR="00F21F33" w:rsidRPr="00AA4677" w:rsidRDefault="00F21F33" w:rsidP="00F21F33">
      <w:pPr>
        <w:shd w:val="clear" w:color="auto" w:fill="FFFFFF"/>
        <w:spacing w:after="0" w:line="240" w:lineRule="auto"/>
        <w:rPr>
          <w:rFonts w:eastAsia="Times New Roman" w:cs="Times New Roman"/>
          <w:szCs w:val="24"/>
        </w:rPr>
      </w:pPr>
      <w:r w:rsidRPr="00AA4677">
        <w:rPr>
          <w:rFonts w:eastAsia="Times New Roman" w:cs="Times New Roman"/>
          <w:szCs w:val="24"/>
        </w:rPr>
        <w:t>Any other event that indicates subject or others might be at risk of serious, unanticipated harms that are reasonably related to the research.</w:t>
      </w:r>
    </w:p>
    <w:bookmarkEnd w:id="287"/>
    <w:bookmarkEnd w:id="288"/>
    <w:p w14:paraId="3AD5F516" w14:textId="77777777" w:rsidR="00F21F33" w:rsidRPr="00AA4677" w:rsidRDefault="00F21F33" w:rsidP="00F21F33">
      <w:pPr>
        <w:pStyle w:val="Heading3"/>
      </w:pPr>
      <w:r w:rsidRPr="00AA4677">
        <w:t>8.3.2 Report Filing Deadlines</w:t>
      </w:r>
    </w:p>
    <w:p w14:paraId="3D2816A6"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Unanticipated </w:t>
      </w:r>
      <w:proofErr w:type="gramStart"/>
      <w:r w:rsidRPr="00AA4677">
        <w:rPr>
          <w:rFonts w:eastAsia="Times New Roman" w:cs="Times New Roman"/>
          <w:szCs w:val="24"/>
        </w:rPr>
        <w:t>Problem (‘</w:t>
      </w:r>
      <w:proofErr w:type="gramEnd"/>
      <w:r w:rsidRPr="00AA4677">
        <w:rPr>
          <w:rFonts w:eastAsia="Times New Roman" w:cs="Times New Roman"/>
          <w:szCs w:val="24"/>
        </w:rPr>
        <w:t>Reportable New Information’) Reports should be submitted to ORC as soon as possible after they have occurred, but within </w:t>
      </w:r>
      <w:r w:rsidRPr="00AA4677">
        <w:rPr>
          <w:rFonts w:eastAsia="Times New Roman" w:cs="Times New Roman"/>
          <w:b/>
          <w:szCs w:val="24"/>
        </w:rPr>
        <w:t>five (</w:t>
      </w:r>
      <w:r w:rsidRPr="00AA4677">
        <w:rPr>
          <w:rFonts w:eastAsia="Times New Roman" w:cs="Times New Roman"/>
          <w:b/>
          <w:bCs/>
          <w:szCs w:val="24"/>
        </w:rPr>
        <w:t>5) working days</w:t>
      </w:r>
      <w:r w:rsidRPr="00AA4677">
        <w:rPr>
          <w:rFonts w:eastAsia="Times New Roman" w:cs="Times New Roman"/>
          <w:szCs w:val="24"/>
        </w:rPr>
        <w:t> of occurrence, or of receipt by University Investigator (if non-University subject).</w:t>
      </w:r>
    </w:p>
    <w:p w14:paraId="45F9A6FC"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Problems/AE’s/SAE’s that occur that are anticipated </w:t>
      </w:r>
      <w:r w:rsidRPr="00AA4677">
        <w:rPr>
          <w:rFonts w:eastAsia="Times New Roman" w:cs="Times New Roman"/>
          <w:bCs/>
          <w:szCs w:val="24"/>
        </w:rPr>
        <w:t>should be submitted as a</w:t>
      </w:r>
      <w:r w:rsidRPr="00AA4677">
        <w:rPr>
          <w:rFonts w:eastAsia="Times New Roman" w:cs="Times New Roman"/>
          <w:b/>
          <w:bCs/>
          <w:szCs w:val="24"/>
        </w:rPr>
        <w:t xml:space="preserve"> </w:t>
      </w:r>
      <w:r w:rsidRPr="00AA4677">
        <w:rPr>
          <w:rFonts w:eastAsia="Times New Roman" w:cs="Times New Roman"/>
          <w:szCs w:val="24"/>
        </w:rPr>
        <w:t>cumulative summary report (by sponsor, if applicable) required at time of Continuing Review.</w:t>
      </w:r>
    </w:p>
    <w:p w14:paraId="1587F2BB" w14:textId="77777777" w:rsidR="00F21F33" w:rsidRPr="00AA4677" w:rsidRDefault="00F21F33" w:rsidP="00F21F33">
      <w:pPr>
        <w:pStyle w:val="Heading3"/>
      </w:pPr>
      <w:r w:rsidRPr="00AA4677">
        <w:t>8.3.3 IRB Procedures for Handling Reports of Possible Unanticipated Problems</w:t>
      </w:r>
    </w:p>
    <w:p w14:paraId="1B77B9F7" w14:textId="77777777" w:rsidR="00F21F33" w:rsidRPr="00AA4677" w:rsidRDefault="00F21F33" w:rsidP="00F21F33">
      <w:pPr>
        <w:pStyle w:val="Heading4"/>
      </w:pPr>
      <w:r w:rsidRPr="00AA4677">
        <w:t>8.3.3.1 Review of Unanticipated Problem Reports: University Subjects</w:t>
      </w:r>
    </w:p>
    <w:p w14:paraId="5B25FDE3"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Unanticipated Problem Reports</w:t>
      </w:r>
      <w:r w:rsidRPr="00AA4677">
        <w:rPr>
          <w:rFonts w:eastAsia="Times New Roman" w:cs="Times New Roman"/>
          <w:szCs w:val="24"/>
        </w:rPr>
        <w:t> will be reviewed by IRB staff to confirm that the reported incident constitutes an unanticipated problem (in consultation with the IRB Chair or AVP-RC, as needed), and will make an initial determination regarding action.</w:t>
      </w:r>
    </w:p>
    <w:p w14:paraId="5B89E067"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it is determined that immediate action may be required, the unanticipated problem will be forwarded to the chair for review. If the IRB Chair deems it necessary to </w:t>
      </w:r>
      <w:proofErr w:type="gramStart"/>
      <w:r w:rsidRPr="00AA4677">
        <w:rPr>
          <w:rFonts w:eastAsia="Times New Roman" w:cs="Times New Roman"/>
          <w:szCs w:val="24"/>
        </w:rPr>
        <w:t>take action</w:t>
      </w:r>
      <w:proofErr w:type="gramEnd"/>
      <w:r w:rsidRPr="00AA4677">
        <w:rPr>
          <w:rFonts w:eastAsia="Times New Roman" w:cs="Times New Roman"/>
          <w:szCs w:val="24"/>
        </w:rPr>
        <w:t xml:space="preserve"> before the IRB meeting (e.g., suspension etc.), the PI will be notified regarding steps to be taken to ensure protection of rights/welfare of subjects (or staff, as appropriate), pending review and action by the full committee. If the IRB Chair is not available, the AVP-RC or the IO will make the determination regarding immediate actions to be taken to protect subjects. If immediate action is not required, </w:t>
      </w:r>
      <w:r w:rsidRPr="00AA4677">
        <w:rPr>
          <w:rFonts w:eastAsia="Times New Roman" w:cs="Times New Roman"/>
          <w:szCs w:val="24"/>
        </w:rPr>
        <w:lastRenderedPageBreak/>
        <w:t xml:space="preserve">the unanticipated problem will be placed </w:t>
      </w:r>
      <w:proofErr w:type="gramStart"/>
      <w:r w:rsidRPr="00AA4677">
        <w:rPr>
          <w:rFonts w:eastAsia="Times New Roman" w:cs="Times New Roman"/>
          <w:szCs w:val="24"/>
        </w:rPr>
        <w:t>in</w:t>
      </w:r>
      <w:proofErr w:type="gramEnd"/>
      <w:r w:rsidRPr="00AA4677">
        <w:rPr>
          <w:rFonts w:eastAsia="Times New Roman" w:cs="Times New Roman"/>
          <w:szCs w:val="24"/>
        </w:rPr>
        <w:t xml:space="preserve"> the agenda for full review at the next IRB meeting. Pre-review may be conducted by one (1) or more IRB members. All members will receive the study documents.</w:t>
      </w:r>
    </w:p>
    <w:p w14:paraId="5372C1AF" w14:textId="77777777" w:rsidR="00F21F33" w:rsidRPr="00AA4677" w:rsidRDefault="00F21F33" w:rsidP="00F21F33">
      <w:pPr>
        <w:pStyle w:val="Heading4"/>
      </w:pPr>
      <w:r w:rsidRPr="00AA4677">
        <w:t>8.3.3.2 Review of UP Reports: Non-SBU Subjects</w:t>
      </w:r>
    </w:p>
    <w:p w14:paraId="747D307C"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Unanticipated Problem Reports concerning subjects or others not enrolled through the University </w:t>
      </w:r>
      <w:r w:rsidRPr="00AA4677">
        <w:rPr>
          <w:rFonts w:eastAsia="Times New Roman" w:cs="Times New Roman"/>
          <w:szCs w:val="24"/>
        </w:rPr>
        <w:t>will be reviewed by IRB staff.  If the definition of a UP is met, review will be conducted to confirm that sponsor and FDA have been notified (per unanticipated problem (UP)/USAE form). OHRP will be notified by the IO per the requirements of the FWA, and the report and study history will be placed on the agenda for the applicable IRB meeting.</w:t>
      </w:r>
    </w:p>
    <w:p w14:paraId="01BA040E" w14:textId="77777777" w:rsidR="00F21F33" w:rsidRPr="00AA4677" w:rsidRDefault="00F21F33"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regarding a study with External IRB oversight, the report will be placed on the next available meeting agenda and the form will be filed in the applicable IRB file. The ORC reviewer may, at his/her discretion, send the USAE to an IRB member or full committee for review. An acknowledgement letter regarding these submitted USAE's will not be sent to PI unless the IRB determines that further action or clarification is required.</w:t>
      </w:r>
    </w:p>
    <w:p w14:paraId="583A3C11" w14:textId="77777777" w:rsidR="00F21F33" w:rsidRPr="00AA4677" w:rsidRDefault="00F21F33" w:rsidP="00F21F33">
      <w:pPr>
        <w:pStyle w:val="Heading3"/>
      </w:pPr>
      <w:r w:rsidRPr="00AA4677">
        <w:t>8.3.4</w:t>
      </w:r>
    </w:p>
    <w:p w14:paraId="4D1F2DBF" w14:textId="77777777" w:rsidR="00F21F33" w:rsidRPr="00AA4677" w:rsidRDefault="00F21F33" w:rsidP="00F21F33">
      <w:pPr>
        <w:pStyle w:val="Heading3"/>
      </w:pPr>
      <w:r w:rsidRPr="00AA4677">
        <w:t> Review Outcomes</w:t>
      </w:r>
    </w:p>
    <w:p w14:paraId="402AD380" w14:textId="77777777" w:rsidR="00F21F33" w:rsidRPr="00AA4677" w:rsidRDefault="00F21F33" w:rsidP="00F21F33">
      <w:pPr>
        <w:numPr>
          <w:ilvl w:val="0"/>
          <w:numId w:val="43"/>
        </w:numPr>
        <w:shd w:val="clear" w:color="auto" w:fill="FFFFFF"/>
        <w:spacing w:after="0" w:line="240" w:lineRule="auto"/>
        <w:rPr>
          <w:rFonts w:eastAsia="Times New Roman" w:cs="Times New Roman"/>
          <w:szCs w:val="24"/>
        </w:rPr>
      </w:pPr>
      <w:r w:rsidRPr="00AA4677">
        <w:rPr>
          <w:rFonts w:eastAsia="Times New Roman" w:cs="Times New Roman"/>
          <w:szCs w:val="24"/>
        </w:rPr>
        <w:t>If the IRB finds that the event is an unanticipated problem involving risks to subjects or others, according to the definition in the policy, the IRB may recommend any of the following actions:</w:t>
      </w:r>
    </w:p>
    <w:p w14:paraId="4600AA8B"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Requiring modifications to the protocol</w:t>
      </w:r>
    </w:p>
    <w:p w14:paraId="229B768E"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Revising the continuing review timetable</w:t>
      </w:r>
    </w:p>
    <w:p w14:paraId="411FFA2E"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Modifying the consent process</w:t>
      </w:r>
    </w:p>
    <w:p w14:paraId="02CD9354"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Modifying the consent document</w:t>
      </w:r>
    </w:p>
    <w:p w14:paraId="23999E1D"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Providing additional information to current subjects (e.g. whenever the information may relate to the subject’s willingness to continue participation)</w:t>
      </w:r>
    </w:p>
    <w:p w14:paraId="57537289"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Providing additional information </w:t>
      </w:r>
      <w:proofErr w:type="gramStart"/>
      <w:r w:rsidRPr="00AA4677">
        <w:rPr>
          <w:rFonts w:eastAsia="Times New Roman" w:cs="Times New Roman"/>
          <w:szCs w:val="24"/>
        </w:rPr>
        <w:t>to</w:t>
      </w:r>
      <w:proofErr w:type="gramEnd"/>
      <w:r w:rsidRPr="00AA4677">
        <w:rPr>
          <w:rFonts w:eastAsia="Times New Roman" w:cs="Times New Roman"/>
          <w:szCs w:val="24"/>
        </w:rPr>
        <w:t xml:space="preserve"> past subjects</w:t>
      </w:r>
    </w:p>
    <w:p w14:paraId="375DE4DC"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Requiring additional training of the investigator and/or study staff</w:t>
      </w:r>
    </w:p>
    <w:p w14:paraId="2821A5C3"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Reconsidering approval</w:t>
      </w:r>
    </w:p>
    <w:p w14:paraId="2DE0FB83"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Requirement that current subject’s re-consent to participation</w:t>
      </w:r>
    </w:p>
    <w:p w14:paraId="2B1DA9FB"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Monitoring of the research</w:t>
      </w:r>
    </w:p>
    <w:p w14:paraId="2C0ED069"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Monitoring of the consent</w:t>
      </w:r>
    </w:p>
    <w:p w14:paraId="4F5E17E5"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Referral to other organizational entities in writing (e.g., legal counsel, risk management, institutional official)</w:t>
      </w:r>
    </w:p>
    <w:p w14:paraId="67C79E88"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Suspending the research</w:t>
      </w:r>
    </w:p>
    <w:p w14:paraId="7019A849"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lastRenderedPageBreak/>
        <w:t>Terminating the research</w:t>
      </w:r>
    </w:p>
    <w:p w14:paraId="2359F367" w14:textId="77777777" w:rsidR="00F21F33" w:rsidRPr="00AA4677" w:rsidRDefault="00F21F33">
      <w:pPr>
        <w:numPr>
          <w:ilvl w:val="0"/>
          <w:numId w:val="10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Other actions appropriate for the local context</w:t>
      </w:r>
    </w:p>
    <w:p w14:paraId="4CDB8C10" w14:textId="77777777" w:rsidR="00F21F33" w:rsidRPr="00AA4677" w:rsidRDefault="00F21F33" w:rsidP="00F21F33">
      <w:pPr>
        <w:numPr>
          <w:ilvl w:val="0"/>
          <w:numId w:val="43"/>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If a report suggests that subject safety is at risk, the IRB may immediately suspend or terminate the research.  Any suspension or termination of research by the IRB will be promptly reported in writing to OHRP, and FDA (if research is FDA-regulated) by the IO. </w:t>
      </w:r>
    </w:p>
    <w:p w14:paraId="1D990CE5" w14:textId="77777777" w:rsidR="00F21F33" w:rsidRPr="00AA4677" w:rsidRDefault="00F21F33" w:rsidP="00F21F33">
      <w:pPr>
        <w:numPr>
          <w:ilvl w:val="0"/>
          <w:numId w:val="43"/>
        </w:numPr>
        <w:shd w:val="clear" w:color="auto" w:fill="FFFFFF"/>
        <w:spacing w:after="0" w:line="240" w:lineRule="auto"/>
        <w:rPr>
          <w:rFonts w:eastAsia="Times New Roman" w:cs="Times New Roman"/>
          <w:szCs w:val="24"/>
        </w:rPr>
      </w:pPr>
      <w:r w:rsidRPr="00AA4677">
        <w:rPr>
          <w:rFonts w:eastAsia="Times New Roman" w:cs="Times New Roman"/>
          <w:szCs w:val="24"/>
        </w:rPr>
        <w:t>If, after reviewing a report, the IRB finds that the event is an unanticipated problem involving risks to subjects or others or that suspension or termination of approval is warranted, the IRB will (within 30 days):</w:t>
      </w:r>
    </w:p>
    <w:p w14:paraId="139060D2" w14:textId="77777777" w:rsidR="00F21F33" w:rsidRPr="00AA4677" w:rsidRDefault="00F21F33">
      <w:pPr>
        <w:numPr>
          <w:ilvl w:val="1"/>
          <w:numId w:val="260"/>
        </w:numPr>
        <w:shd w:val="clear" w:color="auto" w:fill="FFFFFF"/>
        <w:spacing w:after="0" w:line="240" w:lineRule="auto"/>
        <w:ind w:left="360"/>
        <w:rPr>
          <w:rFonts w:eastAsia="Times New Roman" w:cs="Times New Roman"/>
          <w:szCs w:val="24"/>
        </w:rPr>
      </w:pPr>
      <w:r w:rsidRPr="00AA4677">
        <w:rPr>
          <w:rFonts w:eastAsia="Times New Roman" w:cs="Times New Roman"/>
          <w:szCs w:val="24"/>
        </w:rPr>
        <w:t>Notify the investigator in writing of its findings, with copies to the chair of the investigator’s department and/or research unit, and the investigator’s supervisor; and</w:t>
      </w:r>
    </w:p>
    <w:p w14:paraId="24DF1189" w14:textId="77777777" w:rsidR="00F21F33" w:rsidRPr="00AA4677" w:rsidRDefault="00F21F33">
      <w:pPr>
        <w:numPr>
          <w:ilvl w:val="1"/>
          <w:numId w:val="260"/>
        </w:numPr>
        <w:shd w:val="clear" w:color="auto" w:fill="FFFFFF"/>
        <w:spacing w:after="0" w:line="240" w:lineRule="auto"/>
        <w:ind w:left="360"/>
        <w:rPr>
          <w:rFonts w:eastAsia="Times New Roman" w:cs="Times New Roman"/>
          <w:szCs w:val="24"/>
        </w:rPr>
      </w:pPr>
      <w:proofErr w:type="gramStart"/>
      <w:r w:rsidRPr="00AA4677">
        <w:rPr>
          <w:rFonts w:eastAsia="Times New Roman" w:cs="Times New Roman"/>
          <w:szCs w:val="24"/>
        </w:rPr>
        <w:t>Report</w:t>
      </w:r>
      <w:proofErr w:type="gramEnd"/>
      <w:r w:rsidRPr="00AA4677">
        <w:rPr>
          <w:rFonts w:eastAsia="Times New Roman" w:cs="Times New Roman"/>
          <w:szCs w:val="24"/>
        </w:rPr>
        <w:t xml:space="preserve"> its findings and recommendations to the IO for further reporting to the appropriate federal officials as applicable (OHRP and FDA). Reports only need to be sent to OHRP and the FDA if these agencies have oversight of the research. If not, no reports need to be sent.</w:t>
      </w:r>
    </w:p>
    <w:p w14:paraId="1CB085EB" w14:textId="77777777" w:rsidR="00F21F33" w:rsidRPr="00AA4677" w:rsidRDefault="00F21F33" w:rsidP="00F21F33">
      <w:pPr>
        <w:shd w:val="clear" w:color="auto" w:fill="FFFFFF"/>
        <w:spacing w:after="0" w:line="240" w:lineRule="auto"/>
        <w:rPr>
          <w:rFonts w:eastAsia="Times New Roman" w:cs="Times New Roman"/>
          <w:szCs w:val="24"/>
        </w:rPr>
      </w:pPr>
    </w:p>
    <w:p w14:paraId="3B0E5759" w14:textId="77777777" w:rsidR="00F21F33" w:rsidRPr="00AA4677" w:rsidRDefault="00F21F33" w:rsidP="00F21F33">
      <w:pPr>
        <w:shd w:val="clear" w:color="auto" w:fill="FFFFFF"/>
        <w:spacing w:after="0" w:line="240" w:lineRule="auto"/>
        <w:rPr>
          <w:rFonts w:eastAsia="Times New Roman" w:cs="Times New Roman"/>
          <w:szCs w:val="24"/>
        </w:rPr>
      </w:pPr>
      <w:r w:rsidRPr="00AA4677">
        <w:rPr>
          <w:rFonts w:eastAsia="Times New Roman" w:cs="Times New Roman"/>
          <w:szCs w:val="24"/>
        </w:rPr>
        <w:t>Any unanticipated problems involving risks to subjects or others occurring in DoD-supported research will be reported within thirty (30) days to the DoD human research protection officer.</w:t>
      </w:r>
    </w:p>
    <w:p w14:paraId="4AC52FC0" w14:textId="77777777" w:rsidR="004A6B91" w:rsidRPr="00AA4677" w:rsidRDefault="004A6B91" w:rsidP="00F21F33">
      <w:pPr>
        <w:shd w:val="clear" w:color="auto" w:fill="FFFFFF"/>
        <w:spacing w:after="0" w:line="240" w:lineRule="auto"/>
        <w:rPr>
          <w:rFonts w:eastAsia="Times New Roman" w:cs="Times New Roman"/>
          <w:szCs w:val="24"/>
        </w:rPr>
      </w:pPr>
    </w:p>
    <w:p w14:paraId="03499B09" w14:textId="221E8D6F" w:rsidR="004A6B91" w:rsidRPr="00AA4677" w:rsidRDefault="004A6B91" w:rsidP="00F21F33">
      <w:pPr>
        <w:shd w:val="clear" w:color="auto" w:fill="FFFFFF"/>
        <w:spacing w:after="0" w:line="240" w:lineRule="auto"/>
        <w:rPr>
          <w:rFonts w:eastAsia="Times New Roman" w:cs="Times New Roman"/>
          <w:b/>
          <w:bCs/>
          <w:szCs w:val="24"/>
        </w:rPr>
      </w:pPr>
      <w:bookmarkStart w:id="289" w:name="_Hlk163484383"/>
      <w:r w:rsidRPr="00AA4677">
        <w:rPr>
          <w:rFonts w:eastAsia="Times New Roman" w:cs="Times New Roman"/>
          <w:b/>
          <w:bCs/>
          <w:szCs w:val="24"/>
        </w:rPr>
        <w:t>8.3.5</w:t>
      </w:r>
    </w:p>
    <w:p w14:paraId="4BA445E4" w14:textId="77777777" w:rsidR="001668DC" w:rsidRPr="00AA4677" w:rsidRDefault="001668DC" w:rsidP="005920B2">
      <w:pPr>
        <w:pStyle w:val="Heading1"/>
      </w:pPr>
    </w:p>
    <w:p w14:paraId="72BBC11F" w14:textId="77777777" w:rsidR="00944F7C" w:rsidRPr="00944F7C" w:rsidRDefault="00944F7C" w:rsidP="0030581A">
      <w:pPr>
        <w:rPr>
          <w:b/>
          <w:bCs/>
        </w:rPr>
      </w:pPr>
      <w:r w:rsidRPr="00944F7C">
        <w:rPr>
          <w:b/>
          <w:bCs/>
        </w:rPr>
        <w:t>Batching of Events</w:t>
      </w:r>
    </w:p>
    <w:p w14:paraId="1176E763" w14:textId="66DE2198" w:rsidR="004A6B91" w:rsidRPr="00AA4677" w:rsidRDefault="004A6B91" w:rsidP="0030581A">
      <w:r w:rsidRPr="00AA4677">
        <w:t>Adverse events that do not meet the criteria of serious, unanticipated and related may be batched, summarized and submitted at the time of continuing review.</w:t>
      </w:r>
      <w:bookmarkEnd w:id="289"/>
    </w:p>
    <w:p w14:paraId="1856D529" w14:textId="658EAA90" w:rsidR="00FC174E" w:rsidRPr="00AA4677" w:rsidRDefault="00FC174E" w:rsidP="005920B2">
      <w:pPr>
        <w:pStyle w:val="Heading1"/>
      </w:pPr>
      <w:bookmarkStart w:id="290" w:name="_Toc192678233"/>
      <w:r w:rsidRPr="00AA4677">
        <w:t xml:space="preserve">9 </w:t>
      </w:r>
      <w:r w:rsidR="00C20D68" w:rsidRPr="00AA4677">
        <w:t xml:space="preserve"> </w:t>
      </w:r>
      <w:r w:rsidRPr="00AA4677">
        <w:t>Protocol Exceptions or Deviations</w:t>
      </w:r>
      <w:bookmarkEnd w:id="290"/>
    </w:p>
    <w:p w14:paraId="1679216F" w14:textId="77777777" w:rsidR="00F21F33" w:rsidRPr="00AA4677" w:rsidRDefault="00F21F33" w:rsidP="00696B35">
      <w:pPr>
        <w:pStyle w:val="Heading2"/>
      </w:pPr>
    </w:p>
    <w:p w14:paraId="563C39BE" w14:textId="71BA631C" w:rsidR="00FC174E" w:rsidRPr="00AA4677" w:rsidRDefault="00FC174E" w:rsidP="00696B35">
      <w:pPr>
        <w:pStyle w:val="Heading2"/>
      </w:pPr>
      <w:bookmarkStart w:id="291" w:name="_Toc192678234"/>
      <w:proofErr w:type="gramStart"/>
      <w:r w:rsidRPr="00AA4677">
        <w:t xml:space="preserve">9.1 </w:t>
      </w:r>
      <w:r w:rsidR="00C20D68" w:rsidRPr="00AA4677">
        <w:t xml:space="preserve"> </w:t>
      </w:r>
      <w:r w:rsidRPr="00AA4677">
        <w:t>Policy</w:t>
      </w:r>
      <w:bookmarkEnd w:id="291"/>
      <w:proofErr w:type="gramEnd"/>
    </w:p>
    <w:p w14:paraId="51B9CCEB" w14:textId="2BB685D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bookmarkStart w:id="292" w:name="_Hlk161916836"/>
      <w:r w:rsidRPr="00AA4677">
        <w:rPr>
          <w:rFonts w:eastAsia="Times New Roman" w:cs="Times New Roman"/>
          <w:szCs w:val="24"/>
        </w:rPr>
        <w:t xml:space="preserve">It is the policy of the </w:t>
      </w:r>
      <w:r w:rsidR="00EE7207" w:rsidRPr="00AA4677">
        <w:rPr>
          <w:rFonts w:eastAsia="Times New Roman" w:cs="Times New Roman"/>
          <w:szCs w:val="24"/>
        </w:rPr>
        <w:t>IRB</w:t>
      </w:r>
      <w:r w:rsidRPr="00AA4677">
        <w:rPr>
          <w:rFonts w:eastAsia="Times New Roman" w:cs="Times New Roman"/>
          <w:szCs w:val="24"/>
        </w:rPr>
        <w:t xml:space="preserve"> to be notified of any protocol deviations or exceptions that result in an increase in risk or a decrease in benefit to </w:t>
      </w:r>
      <w:r w:rsidR="00BF7470" w:rsidRPr="00AA4677">
        <w:rPr>
          <w:rFonts w:eastAsia="Times New Roman" w:cs="Times New Roman"/>
          <w:szCs w:val="24"/>
        </w:rPr>
        <w:t>subject</w:t>
      </w:r>
      <w:r w:rsidRPr="00AA4677">
        <w:rPr>
          <w:rFonts w:eastAsia="Times New Roman" w:cs="Times New Roman"/>
          <w:szCs w:val="24"/>
        </w:rPr>
        <w:t>s.</w:t>
      </w:r>
    </w:p>
    <w:bookmarkEnd w:id="292"/>
    <w:p w14:paraId="0599A0CC" w14:textId="77777777" w:rsidR="00F21F33" w:rsidRPr="00AA4677" w:rsidRDefault="00FC174E" w:rsidP="00F21F3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following procedures describe how protocol exceptions and deviations are reported to </w:t>
      </w:r>
      <w:r w:rsidR="001840D0" w:rsidRPr="00AA4677">
        <w:rPr>
          <w:rFonts w:eastAsia="Times New Roman" w:cs="Times New Roman"/>
          <w:szCs w:val="24"/>
        </w:rPr>
        <w:t xml:space="preserve">the </w:t>
      </w:r>
      <w:r w:rsidR="00EE7207" w:rsidRPr="00AA4677">
        <w:rPr>
          <w:rFonts w:eastAsia="Times New Roman" w:cs="Times New Roman"/>
          <w:szCs w:val="24"/>
        </w:rPr>
        <w:t>IRB</w:t>
      </w:r>
      <w:r w:rsidR="001840D0" w:rsidRPr="00AA4677">
        <w:rPr>
          <w:rFonts w:eastAsia="Times New Roman" w:cs="Times New Roman"/>
          <w:szCs w:val="24"/>
        </w:rPr>
        <w:t xml:space="preserve">. </w:t>
      </w:r>
    </w:p>
    <w:p w14:paraId="2718931A" w14:textId="69629276" w:rsidR="00FC174E" w:rsidRPr="00AA4677" w:rsidRDefault="00FC174E" w:rsidP="00F21F33">
      <w:pPr>
        <w:shd w:val="clear" w:color="auto" w:fill="FFFFFF"/>
        <w:spacing w:before="100" w:beforeAutospacing="1" w:after="100" w:afterAutospacing="1" w:line="240" w:lineRule="auto"/>
        <w:rPr>
          <w:rFonts w:eastAsia="Times New Roman" w:cs="Times New Roman"/>
          <w:szCs w:val="24"/>
        </w:rPr>
      </w:pPr>
      <w:r w:rsidRPr="00AA4677">
        <w:t>9.2 Protocol Exceptions</w:t>
      </w:r>
    </w:p>
    <w:p w14:paraId="7014934B" w14:textId="42AB6B66"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Protocol exceptions</w:t>
      </w:r>
      <w:r w:rsidR="001840D0" w:rsidRPr="00AA4677">
        <w:rPr>
          <w:rFonts w:eastAsia="Times New Roman" w:cs="Times New Roman"/>
          <w:b/>
          <w:bCs/>
          <w:szCs w:val="24"/>
        </w:rPr>
        <w:t xml:space="preserve">: </w:t>
      </w:r>
      <w:r w:rsidR="001840D0" w:rsidRPr="00AA4677">
        <w:rPr>
          <w:rFonts w:eastAsia="Times New Roman" w:cs="Times New Roman"/>
          <w:bCs/>
          <w:szCs w:val="24"/>
        </w:rPr>
        <w:t>C</w:t>
      </w:r>
      <w:r w:rsidRPr="00AA4677">
        <w:rPr>
          <w:rFonts w:eastAsia="Times New Roman" w:cs="Times New Roman"/>
          <w:szCs w:val="24"/>
        </w:rPr>
        <w:t>ircumstances in which the specific procedures called for in a protocol are not in the best interests of a specific subject (e.g.</w:t>
      </w:r>
      <w:r w:rsidR="001840D0" w:rsidRPr="00AA4677">
        <w:rPr>
          <w:rFonts w:eastAsia="Times New Roman" w:cs="Times New Roman"/>
          <w:szCs w:val="24"/>
        </w:rPr>
        <w:t xml:space="preserve"> </w:t>
      </w:r>
      <w:r w:rsidRPr="00AA4677">
        <w:rPr>
          <w:rFonts w:eastAsia="Times New Roman" w:cs="Times New Roman"/>
          <w:szCs w:val="24"/>
        </w:rPr>
        <w:t>subject is allergic to one of the medications provided as supportive care).</w:t>
      </w:r>
    </w:p>
    <w:p w14:paraId="606393F6" w14:textId="5C6BF76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lastRenderedPageBreak/>
        <w:t>Exceptions are planned, and the investigator gets approval from the sponsor and the</w:t>
      </w:r>
      <w:r w:rsidR="001840D0" w:rsidRPr="00AA4677">
        <w:rPr>
          <w:rFonts w:eastAsia="Times New Roman" w:cs="Times New Roman"/>
          <w:b/>
          <w:bCs/>
          <w:szCs w:val="24"/>
        </w:rPr>
        <w:t xml:space="preserve"> </w:t>
      </w:r>
      <w:r w:rsidR="00EE7207" w:rsidRPr="00AA4677">
        <w:rPr>
          <w:rFonts w:eastAsia="Times New Roman" w:cs="Times New Roman"/>
          <w:b/>
          <w:bCs/>
          <w:szCs w:val="24"/>
        </w:rPr>
        <w:t>IRB</w:t>
      </w:r>
      <w:r w:rsidRPr="00AA4677">
        <w:rPr>
          <w:rFonts w:eastAsia="Times New Roman" w:cs="Times New Roman"/>
          <w:b/>
          <w:bCs/>
          <w:szCs w:val="24"/>
        </w:rPr>
        <w:t xml:space="preserve"> ahead of time</w:t>
      </w:r>
      <w:r w:rsidR="000C20F4" w:rsidRPr="00AA4677">
        <w:rPr>
          <w:rFonts w:eastAsia="Times New Roman" w:cs="Times New Roman"/>
          <w:b/>
          <w:bCs/>
          <w:szCs w:val="24"/>
        </w:rPr>
        <w:t xml:space="preserve">. </w:t>
      </w:r>
      <w:r w:rsidR="000C20F4" w:rsidRPr="00AA4677">
        <w:rPr>
          <w:rFonts w:eastAsia="Times New Roman" w:cs="Times New Roman"/>
          <w:bCs/>
          <w:szCs w:val="24"/>
        </w:rPr>
        <w:t>These should be submitted</w:t>
      </w:r>
      <w:r w:rsidR="000C20F4" w:rsidRPr="00AA4677">
        <w:rPr>
          <w:rFonts w:eastAsia="Times New Roman" w:cs="Times New Roman"/>
          <w:b/>
          <w:bCs/>
          <w:szCs w:val="24"/>
        </w:rPr>
        <w:t xml:space="preserve"> </w:t>
      </w:r>
      <w:proofErr w:type="gramStart"/>
      <w:r w:rsidR="00CE4B01" w:rsidRPr="00AA4677">
        <w:rPr>
          <w:rFonts w:eastAsia="Times New Roman" w:cs="Times New Roman"/>
          <w:szCs w:val="24"/>
        </w:rPr>
        <w:t>i</w:t>
      </w:r>
      <w:r w:rsidR="000C20F4" w:rsidRPr="00AA4677">
        <w:rPr>
          <w:rFonts w:eastAsia="Times New Roman" w:cs="Times New Roman"/>
          <w:szCs w:val="24"/>
        </w:rPr>
        <w:t>n</w:t>
      </w:r>
      <w:proofErr w:type="gramEnd"/>
      <w:r w:rsidRPr="00AA4677">
        <w:rPr>
          <w:rFonts w:eastAsia="Times New Roman" w:cs="Times New Roman"/>
          <w:szCs w:val="24"/>
        </w:rPr>
        <w:t xml:space="preserve"> the </w:t>
      </w:r>
      <w:r w:rsidR="00DC5138" w:rsidRPr="00AA4677">
        <w:rPr>
          <w:rFonts w:eastAsia="Times New Roman" w:cs="Times New Roman"/>
          <w:szCs w:val="24"/>
        </w:rPr>
        <w:t>electronic management system</w:t>
      </w:r>
      <w:r w:rsidRPr="00AA4677">
        <w:rPr>
          <w:rFonts w:eastAsia="Times New Roman" w:cs="Times New Roman"/>
          <w:szCs w:val="24"/>
        </w:rPr>
        <w:t>.  Depending on the nature of the exception, an expedited review is possible. </w:t>
      </w:r>
      <w:proofErr w:type="gramStart"/>
      <w:r w:rsidRPr="00AA4677">
        <w:rPr>
          <w:rFonts w:eastAsia="Times New Roman" w:cs="Times New Roman"/>
          <w:szCs w:val="24"/>
        </w:rPr>
        <w:t>In order to</w:t>
      </w:r>
      <w:proofErr w:type="gramEnd"/>
      <w:r w:rsidRPr="00AA4677">
        <w:rPr>
          <w:rFonts w:eastAsia="Times New Roman" w:cs="Times New Roman"/>
          <w:szCs w:val="24"/>
        </w:rPr>
        <w:t xml:space="preserve"> be approved by </w:t>
      </w:r>
      <w:r w:rsidR="001840D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exceptions must not increase risk or decrease benefit, affect the </w:t>
      </w:r>
      <w:r w:rsidR="00BF7470" w:rsidRPr="00AA4677">
        <w:rPr>
          <w:rFonts w:eastAsia="Times New Roman" w:cs="Times New Roman"/>
          <w:szCs w:val="24"/>
        </w:rPr>
        <w:t>subject</w:t>
      </w:r>
      <w:r w:rsidRPr="00AA4677">
        <w:rPr>
          <w:rFonts w:eastAsia="Times New Roman" w:cs="Times New Roman"/>
          <w:szCs w:val="24"/>
        </w:rPr>
        <w:t>’s rig</w:t>
      </w:r>
      <w:r w:rsidR="0083058D" w:rsidRPr="00AA4677">
        <w:rPr>
          <w:rFonts w:eastAsia="Times New Roman" w:cs="Times New Roman"/>
          <w:szCs w:val="24"/>
        </w:rPr>
        <w:t>hts, safety, welfare, or affect</w:t>
      </w:r>
      <w:r w:rsidRPr="00AA4677">
        <w:rPr>
          <w:rFonts w:eastAsia="Times New Roman" w:cs="Times New Roman"/>
          <w:szCs w:val="24"/>
        </w:rPr>
        <w:t xml:space="preserve"> the integrity of the result</w:t>
      </w:r>
      <w:r w:rsidR="00D14DC9" w:rsidRPr="00AA4677">
        <w:rPr>
          <w:rFonts w:eastAsia="Times New Roman" w:cs="Times New Roman"/>
          <w:szCs w:val="24"/>
        </w:rPr>
        <w:t>ing</w:t>
      </w:r>
      <w:r w:rsidRPr="00AA4677">
        <w:rPr>
          <w:rFonts w:eastAsia="Times New Roman" w:cs="Times New Roman"/>
          <w:szCs w:val="24"/>
        </w:rPr>
        <w:t xml:space="preserve"> data.</w:t>
      </w:r>
    </w:p>
    <w:p w14:paraId="67303DF9" w14:textId="4AABFBF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The only time a protocol exception wo</w:t>
      </w:r>
      <w:r w:rsidR="0083058D" w:rsidRPr="00AA4677">
        <w:rPr>
          <w:rFonts w:eastAsia="Times New Roman" w:cs="Times New Roman"/>
          <w:b/>
          <w:bCs/>
          <w:szCs w:val="24"/>
        </w:rPr>
        <w:t>uld not require prior sponsor and</w:t>
      </w:r>
      <w:r w:rsidRPr="00AA4677">
        <w:rPr>
          <w:rFonts w:eastAsia="Times New Roman" w:cs="Times New Roman"/>
          <w:b/>
          <w:bCs/>
          <w:szCs w:val="24"/>
        </w:rPr>
        <w:t xml:space="preserve"> </w:t>
      </w:r>
      <w:r w:rsidR="00EE7207" w:rsidRPr="00AA4677">
        <w:rPr>
          <w:rFonts w:eastAsia="Times New Roman" w:cs="Times New Roman"/>
          <w:b/>
          <w:bCs/>
          <w:szCs w:val="24"/>
        </w:rPr>
        <w:t>IRB</w:t>
      </w:r>
      <w:r w:rsidRPr="00AA4677">
        <w:rPr>
          <w:rFonts w:eastAsia="Times New Roman" w:cs="Times New Roman"/>
          <w:b/>
          <w:bCs/>
          <w:szCs w:val="24"/>
        </w:rPr>
        <w:t xml:space="preserve"> approval</w:t>
      </w:r>
      <w:r w:rsidRPr="00AA4677">
        <w:rPr>
          <w:rFonts w:eastAsia="Times New Roman" w:cs="Times New Roman"/>
          <w:szCs w:val="24"/>
        </w:rPr>
        <w:t xml:space="preserve"> is when it is done to avoid an immediate hazard to the </w:t>
      </w:r>
      <w:r w:rsidR="00BF7470" w:rsidRPr="00AA4677">
        <w:rPr>
          <w:rFonts w:eastAsia="Times New Roman" w:cs="Times New Roman"/>
          <w:szCs w:val="24"/>
        </w:rPr>
        <w:t>subject</w:t>
      </w:r>
      <w:r w:rsidRPr="00AA4677">
        <w:rPr>
          <w:rFonts w:eastAsia="Times New Roman" w:cs="Times New Roman"/>
          <w:szCs w:val="24"/>
        </w:rPr>
        <w:t>. The above application should be used to report the incident for</w:t>
      </w:r>
      <w:r w:rsidR="001840D0"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review.</w:t>
      </w:r>
    </w:p>
    <w:p w14:paraId="40C67218" w14:textId="7F822E8A" w:rsidR="00FC174E" w:rsidRPr="00AA4677" w:rsidRDefault="00FC174E" w:rsidP="00696B35">
      <w:pPr>
        <w:pStyle w:val="Heading2"/>
      </w:pPr>
      <w:bookmarkStart w:id="293" w:name="_Toc192678235"/>
      <w:r w:rsidRPr="00AA4677">
        <w:t>9.3 Protocol Deviations</w:t>
      </w:r>
      <w:r w:rsidR="000C20F4" w:rsidRPr="00AA4677">
        <w:t xml:space="preserve"> (a type of </w:t>
      </w:r>
      <w:r w:rsidR="00AE1F7E" w:rsidRPr="00AA4677">
        <w:t>‘Reportable New Information; RNI)</w:t>
      </w:r>
      <w:bookmarkEnd w:id="293"/>
    </w:p>
    <w:p w14:paraId="49CB109C" w14:textId="04A5EF0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bookmarkStart w:id="294" w:name="_Hlk161916851"/>
      <w:r w:rsidRPr="00AA4677">
        <w:rPr>
          <w:rFonts w:eastAsia="Times New Roman" w:cs="Times New Roman"/>
          <w:b/>
          <w:bCs/>
          <w:szCs w:val="24"/>
        </w:rPr>
        <w:t>Protocol deviations</w:t>
      </w:r>
      <w:r w:rsidR="001840D0" w:rsidRPr="00AA4677">
        <w:rPr>
          <w:rFonts w:eastAsia="Times New Roman" w:cs="Times New Roman"/>
          <w:b/>
          <w:bCs/>
          <w:szCs w:val="24"/>
        </w:rPr>
        <w:t xml:space="preserve">: </w:t>
      </w:r>
      <w:r w:rsidR="001840D0" w:rsidRPr="00AA4677">
        <w:rPr>
          <w:rFonts w:eastAsia="Times New Roman" w:cs="Times New Roman"/>
          <w:bCs/>
          <w:szCs w:val="24"/>
        </w:rPr>
        <w:t>C</w:t>
      </w:r>
      <w:r w:rsidRPr="00AA4677">
        <w:rPr>
          <w:rFonts w:eastAsia="Times New Roman" w:cs="Times New Roman"/>
          <w:szCs w:val="24"/>
        </w:rPr>
        <w:t>ircumstances that are unanticipated and happen without any prior sponsor or IRB approval. (e.g. protocol visit scheduled outside protocol window, blood work drawn outside protocol window, etc.). </w:t>
      </w:r>
    </w:p>
    <w:p w14:paraId="0E48FF6D" w14:textId="77777777" w:rsidR="00FC174E" w:rsidRPr="00AA4677" w:rsidRDefault="00FC174E" w:rsidP="001840D0">
      <w:pPr>
        <w:shd w:val="clear" w:color="auto" w:fill="FFFFFF"/>
        <w:spacing w:after="0" w:line="240" w:lineRule="auto"/>
        <w:rPr>
          <w:rFonts w:eastAsia="Times New Roman" w:cs="Times New Roman"/>
          <w:szCs w:val="24"/>
        </w:rPr>
      </w:pPr>
      <w:bookmarkStart w:id="295" w:name="_Hlk161916869"/>
      <w:bookmarkEnd w:id="294"/>
      <w:r w:rsidRPr="00AA4677">
        <w:rPr>
          <w:rFonts w:eastAsia="Times New Roman" w:cs="Times New Roman"/>
          <w:b/>
          <w:bCs/>
          <w:szCs w:val="24"/>
        </w:rPr>
        <w:t>All deviations:</w:t>
      </w:r>
    </w:p>
    <w:p w14:paraId="217BA867" w14:textId="1D2C392F" w:rsidR="00FC174E" w:rsidRPr="00AA4677" w:rsidRDefault="001840D0">
      <w:pPr>
        <w:numPr>
          <w:ilvl w:val="0"/>
          <w:numId w:val="302"/>
        </w:numPr>
        <w:shd w:val="clear" w:color="auto" w:fill="FFFFFF"/>
        <w:spacing w:after="0" w:line="240" w:lineRule="auto"/>
        <w:rPr>
          <w:rFonts w:eastAsia="Times New Roman" w:cs="Times New Roman"/>
          <w:szCs w:val="24"/>
        </w:rPr>
      </w:pPr>
      <w:r w:rsidRPr="00AA4677">
        <w:rPr>
          <w:rFonts w:eastAsia="Times New Roman" w:cs="Times New Roman"/>
          <w:szCs w:val="24"/>
        </w:rPr>
        <w:t>M</w:t>
      </w:r>
      <w:r w:rsidR="00FC174E" w:rsidRPr="00AA4677">
        <w:rPr>
          <w:rFonts w:eastAsia="Times New Roman" w:cs="Times New Roman"/>
          <w:szCs w:val="24"/>
        </w:rPr>
        <w:t xml:space="preserve">ust be reported to </w:t>
      </w:r>
      <w:r w:rsidRPr="00AA4677">
        <w:rPr>
          <w:rFonts w:eastAsia="Times New Roman" w:cs="Times New Roman"/>
          <w:szCs w:val="24"/>
        </w:rPr>
        <w:t>ORC</w:t>
      </w:r>
      <w:r w:rsidR="00FC174E" w:rsidRPr="00AA4677">
        <w:rPr>
          <w:rFonts w:eastAsia="Times New Roman" w:cs="Times New Roman"/>
          <w:szCs w:val="24"/>
        </w:rPr>
        <w:t> (</w:t>
      </w:r>
      <w:r w:rsidR="00D14DC9" w:rsidRPr="00AA4677">
        <w:rPr>
          <w:rFonts w:eastAsia="Times New Roman" w:cs="Times New Roman"/>
          <w:szCs w:val="24"/>
        </w:rPr>
        <w:t xml:space="preserve">unless the deviation consists of </w:t>
      </w:r>
      <w:r w:rsidR="00FC174E" w:rsidRPr="00AA4677">
        <w:rPr>
          <w:rFonts w:eastAsia="Times New Roman" w:cs="Times New Roman"/>
          <w:szCs w:val="24"/>
        </w:rPr>
        <w:t xml:space="preserve">minor scheduling deviations of study visits that are unavoidable and do not impact subject safety) </w:t>
      </w:r>
      <w:r w:rsidR="00CE4B01" w:rsidRPr="00AA4677">
        <w:rPr>
          <w:rFonts w:eastAsia="Times New Roman" w:cs="Times New Roman"/>
          <w:szCs w:val="24"/>
        </w:rPr>
        <w:t xml:space="preserve">in </w:t>
      </w:r>
      <w:r w:rsidR="00FC174E" w:rsidRPr="00AA4677">
        <w:rPr>
          <w:rFonts w:eastAsia="Times New Roman" w:cs="Times New Roman"/>
          <w:szCs w:val="24"/>
        </w:rPr>
        <w:t xml:space="preserve">the </w:t>
      </w:r>
      <w:r w:rsidR="00DC5138" w:rsidRPr="00AA4677">
        <w:rPr>
          <w:rFonts w:eastAsia="Times New Roman" w:cs="Times New Roman"/>
          <w:szCs w:val="24"/>
        </w:rPr>
        <w:t>electronic management system</w:t>
      </w:r>
      <w:r w:rsidR="00AE1F7E" w:rsidRPr="00AA4677">
        <w:rPr>
          <w:rFonts w:eastAsia="Times New Roman" w:cs="Times New Roman"/>
          <w:szCs w:val="24"/>
        </w:rPr>
        <w:t>.</w:t>
      </w:r>
    </w:p>
    <w:p w14:paraId="1FF84CEA" w14:textId="73A8A498" w:rsidR="00FC174E" w:rsidRPr="00AA4677" w:rsidRDefault="001840D0">
      <w:pPr>
        <w:numPr>
          <w:ilvl w:val="0"/>
          <w:numId w:val="302"/>
        </w:numPr>
        <w:shd w:val="clear" w:color="auto" w:fill="FFFFFF"/>
        <w:spacing w:after="0" w:line="240" w:lineRule="auto"/>
        <w:rPr>
          <w:rFonts w:eastAsia="Times New Roman" w:cs="Times New Roman"/>
          <w:szCs w:val="24"/>
        </w:rPr>
      </w:pPr>
      <w:r w:rsidRPr="00AA4677">
        <w:rPr>
          <w:rFonts w:eastAsia="Times New Roman" w:cs="Times New Roman"/>
          <w:szCs w:val="24"/>
        </w:rPr>
        <w:t>A</w:t>
      </w:r>
      <w:r w:rsidR="00FC174E" w:rsidRPr="00AA4677">
        <w:rPr>
          <w:rFonts w:eastAsia="Times New Roman" w:cs="Times New Roman"/>
          <w:szCs w:val="24"/>
        </w:rPr>
        <w:t>re reviewed to determine if they:</w:t>
      </w:r>
    </w:p>
    <w:p w14:paraId="13AB6A27" w14:textId="3A68FDD6" w:rsidR="00FC174E" w:rsidRPr="00AA4677" w:rsidRDefault="00FC174E">
      <w:pPr>
        <w:numPr>
          <w:ilvl w:val="1"/>
          <w:numId w:val="259"/>
        </w:numPr>
        <w:shd w:val="clear" w:color="auto" w:fill="FFFFFF"/>
        <w:tabs>
          <w:tab w:val="clear" w:pos="1080"/>
          <w:tab w:val="num" w:pos="720"/>
        </w:tabs>
        <w:spacing w:after="0" w:line="240" w:lineRule="auto"/>
        <w:ind w:left="720"/>
        <w:rPr>
          <w:rFonts w:eastAsia="Times New Roman" w:cs="Times New Roman"/>
          <w:szCs w:val="24"/>
        </w:rPr>
      </w:pPr>
      <w:r w:rsidRPr="00AA4677">
        <w:rPr>
          <w:rFonts w:eastAsia="Times New Roman" w:cs="Times New Roman"/>
          <w:szCs w:val="24"/>
        </w:rPr>
        <w:t>Are minor, and don’t impact subject safety (these are acknowledged by ORC)</w:t>
      </w:r>
      <w:r w:rsidR="00344715" w:rsidRPr="00AA4677">
        <w:rPr>
          <w:rFonts w:eastAsia="Times New Roman" w:cs="Times New Roman"/>
          <w:szCs w:val="24"/>
        </w:rPr>
        <w:t>, or</w:t>
      </w:r>
    </w:p>
    <w:p w14:paraId="32141609" w14:textId="786E36FE" w:rsidR="00FC174E" w:rsidRPr="00AA4677" w:rsidRDefault="00FC174E">
      <w:pPr>
        <w:numPr>
          <w:ilvl w:val="1"/>
          <w:numId w:val="259"/>
        </w:numPr>
        <w:shd w:val="clear" w:color="auto" w:fill="FFFFFF"/>
        <w:tabs>
          <w:tab w:val="clear" w:pos="1080"/>
          <w:tab w:val="num" w:pos="720"/>
        </w:tabs>
        <w:spacing w:after="0" w:line="240" w:lineRule="auto"/>
        <w:ind w:left="720"/>
        <w:rPr>
          <w:rFonts w:eastAsia="Times New Roman" w:cs="Times New Roman"/>
          <w:szCs w:val="24"/>
        </w:rPr>
      </w:pPr>
      <w:r w:rsidRPr="00AA4677">
        <w:rPr>
          <w:rFonts w:eastAsia="Times New Roman" w:cs="Times New Roman"/>
          <w:szCs w:val="24"/>
        </w:rPr>
        <w:t>Constitute noncompliance. In these cases, the deviations would be reviewed by the IRB for determination of non-serious, serious, or continuing noncompliance; the latter 2 must be reported to OHRP, a</w:t>
      </w:r>
      <w:r w:rsidR="001840D0" w:rsidRPr="00AA4677">
        <w:rPr>
          <w:rFonts w:eastAsia="Times New Roman" w:cs="Times New Roman"/>
          <w:szCs w:val="24"/>
        </w:rPr>
        <w:t>nd other federal agencies (e.g.</w:t>
      </w:r>
      <w:r w:rsidRPr="00AA4677">
        <w:rPr>
          <w:rFonts w:eastAsia="Times New Roman" w:cs="Times New Roman"/>
          <w:szCs w:val="24"/>
        </w:rPr>
        <w:t xml:space="preserve"> FDA etc</w:t>
      </w:r>
      <w:r w:rsidR="001840D0" w:rsidRPr="00AA4677">
        <w:rPr>
          <w:rFonts w:eastAsia="Times New Roman" w:cs="Times New Roman"/>
          <w:szCs w:val="24"/>
        </w:rPr>
        <w:t>.</w:t>
      </w:r>
      <w:r w:rsidRPr="00AA4677">
        <w:rPr>
          <w:rFonts w:eastAsia="Times New Roman" w:cs="Times New Roman"/>
          <w:szCs w:val="24"/>
        </w:rPr>
        <w:t>) and sponsors (as applicable)</w:t>
      </w:r>
      <w:r w:rsidR="00344715" w:rsidRPr="00AA4677">
        <w:rPr>
          <w:rFonts w:eastAsia="Times New Roman" w:cs="Times New Roman"/>
          <w:szCs w:val="24"/>
        </w:rPr>
        <w:t>, and/or</w:t>
      </w:r>
    </w:p>
    <w:p w14:paraId="479E3621" w14:textId="745FB8FB" w:rsidR="00FC174E" w:rsidRPr="00AA4677" w:rsidRDefault="00FC174E">
      <w:pPr>
        <w:numPr>
          <w:ilvl w:val="1"/>
          <w:numId w:val="259"/>
        </w:numPr>
        <w:shd w:val="clear" w:color="auto" w:fill="FFFFFF"/>
        <w:tabs>
          <w:tab w:val="clear" w:pos="1080"/>
          <w:tab w:val="num" w:pos="720"/>
        </w:tabs>
        <w:spacing w:after="0" w:line="240" w:lineRule="auto"/>
        <w:ind w:left="720"/>
        <w:rPr>
          <w:rFonts w:eastAsia="Times New Roman" w:cs="Times New Roman"/>
          <w:szCs w:val="24"/>
        </w:rPr>
      </w:pPr>
      <w:r w:rsidRPr="00AA4677">
        <w:rPr>
          <w:rFonts w:eastAsia="Times New Roman" w:cs="Times New Roman"/>
          <w:szCs w:val="24"/>
        </w:rPr>
        <w:t xml:space="preserve">Constitute unanticipated problems involving risks to subjects or others (UP). In these cases, the deviations are reviewed by </w:t>
      </w:r>
      <w:r w:rsidR="001840D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for confirmation of UP status. If confirmed, they m</w:t>
      </w:r>
      <w:r w:rsidR="000051C7" w:rsidRPr="00AA4677">
        <w:rPr>
          <w:rFonts w:eastAsia="Times New Roman" w:cs="Times New Roman"/>
          <w:szCs w:val="24"/>
        </w:rPr>
        <w:t xml:space="preserve">ust be reported to OHRP, </w:t>
      </w:r>
      <w:r w:rsidRPr="00AA4677">
        <w:rPr>
          <w:rFonts w:eastAsia="Times New Roman" w:cs="Times New Roman"/>
          <w:szCs w:val="24"/>
        </w:rPr>
        <w:t>other federal agencies (e.g. FDA</w:t>
      </w:r>
      <w:r w:rsidR="001840D0" w:rsidRPr="00AA4677">
        <w:rPr>
          <w:rFonts w:eastAsia="Times New Roman" w:cs="Times New Roman"/>
          <w:szCs w:val="24"/>
        </w:rPr>
        <w:t>,</w:t>
      </w:r>
      <w:r w:rsidRPr="00AA4677">
        <w:rPr>
          <w:rFonts w:eastAsia="Times New Roman" w:cs="Times New Roman"/>
          <w:szCs w:val="24"/>
        </w:rPr>
        <w:t xml:space="preserve"> etc</w:t>
      </w:r>
      <w:r w:rsidR="001840D0" w:rsidRPr="00AA4677">
        <w:rPr>
          <w:rFonts w:eastAsia="Times New Roman" w:cs="Times New Roman"/>
          <w:szCs w:val="24"/>
        </w:rPr>
        <w:t>.</w:t>
      </w:r>
      <w:r w:rsidRPr="00AA4677">
        <w:rPr>
          <w:rFonts w:eastAsia="Times New Roman" w:cs="Times New Roman"/>
          <w:szCs w:val="24"/>
        </w:rPr>
        <w:t>) and sponsors (as applicable). See section 8 for additional information on UPs.</w:t>
      </w:r>
    </w:p>
    <w:p w14:paraId="465B0625" w14:textId="77777777" w:rsidR="0075417B" w:rsidRPr="00AA4677" w:rsidRDefault="0075417B" w:rsidP="0075417B">
      <w:pPr>
        <w:shd w:val="clear" w:color="auto" w:fill="FFFFFF"/>
        <w:spacing w:after="0" w:line="240" w:lineRule="auto"/>
        <w:ind w:left="720"/>
        <w:rPr>
          <w:rFonts w:eastAsia="Times New Roman" w:cs="Times New Roman"/>
          <w:szCs w:val="24"/>
        </w:rPr>
      </w:pPr>
    </w:p>
    <w:p w14:paraId="1B8F682E" w14:textId="77777777" w:rsidR="00FC174E" w:rsidRPr="00AA4677" w:rsidRDefault="00FC174E" w:rsidP="00696B35">
      <w:pPr>
        <w:pStyle w:val="Heading2"/>
      </w:pPr>
      <w:bookmarkStart w:id="296" w:name="_Toc192678236"/>
      <w:bookmarkEnd w:id="295"/>
      <w:r w:rsidRPr="00AA4677">
        <w:t xml:space="preserve">9.4 </w:t>
      </w:r>
      <w:bookmarkStart w:id="297" w:name="_Hlk161916890"/>
      <w:r w:rsidRPr="00AA4677">
        <w:t>Reporting &amp; Review</w:t>
      </w:r>
      <w:bookmarkEnd w:id="296"/>
    </w:p>
    <w:p w14:paraId="79AF0EBB" w14:textId="690F7BA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344715" w:rsidRPr="00AA4677">
        <w:rPr>
          <w:rFonts w:eastAsia="Times New Roman" w:cs="Times New Roman"/>
          <w:szCs w:val="24"/>
        </w:rPr>
        <w:t>IRB</w:t>
      </w:r>
      <w:r w:rsidRPr="00AA4677">
        <w:rPr>
          <w:rFonts w:eastAsia="Times New Roman" w:cs="Times New Roman"/>
          <w:szCs w:val="24"/>
        </w:rPr>
        <w:t xml:space="preserve"> staff will review the </w:t>
      </w:r>
      <w:r w:rsidR="00CE4B01" w:rsidRPr="00AA4677">
        <w:rPr>
          <w:rFonts w:eastAsia="Times New Roman" w:cs="Times New Roman"/>
          <w:szCs w:val="24"/>
        </w:rPr>
        <w:t xml:space="preserve">submitted </w:t>
      </w:r>
      <w:r w:rsidRPr="00AA4677">
        <w:rPr>
          <w:rFonts w:eastAsia="Times New Roman" w:cs="Times New Roman"/>
          <w:szCs w:val="24"/>
        </w:rPr>
        <w:t xml:space="preserve">information, and either process for expedited review, </w:t>
      </w:r>
      <w:r w:rsidR="00EE7207" w:rsidRPr="00AA4677">
        <w:rPr>
          <w:rFonts w:eastAsia="Times New Roman" w:cs="Times New Roman"/>
          <w:szCs w:val="24"/>
        </w:rPr>
        <w:t>IRB</w:t>
      </w:r>
      <w:r w:rsidR="001840D0" w:rsidRPr="00AA4677">
        <w:rPr>
          <w:rFonts w:eastAsia="Times New Roman" w:cs="Times New Roman"/>
          <w:szCs w:val="24"/>
        </w:rPr>
        <w:t xml:space="preserve"> </w:t>
      </w:r>
      <w:r w:rsidRPr="00AA4677">
        <w:rPr>
          <w:rFonts w:eastAsia="Times New Roman" w:cs="Times New Roman"/>
          <w:szCs w:val="24"/>
        </w:rPr>
        <w:t xml:space="preserve">chair review, or full committee review as applicable. Outcome of review will be uploaded into </w:t>
      </w:r>
      <w:r w:rsidR="00497D75" w:rsidRPr="00AA4677">
        <w:rPr>
          <w:rFonts w:eastAsia="Times New Roman" w:cs="Times New Roman"/>
          <w:szCs w:val="24"/>
        </w:rPr>
        <w:t xml:space="preserve">the </w:t>
      </w:r>
      <w:r w:rsidR="00DC5138" w:rsidRPr="00AA4677">
        <w:rPr>
          <w:rFonts w:eastAsia="Times New Roman" w:cs="Times New Roman"/>
          <w:szCs w:val="24"/>
        </w:rPr>
        <w:t>electronic management system</w:t>
      </w:r>
      <w:r w:rsidR="00497D75" w:rsidRPr="00AA4677">
        <w:rPr>
          <w:rFonts w:eastAsia="Times New Roman" w:cs="Times New Roman"/>
          <w:szCs w:val="24"/>
        </w:rPr>
        <w:t xml:space="preserve"> </w:t>
      </w:r>
      <w:r w:rsidRPr="00AA4677">
        <w:rPr>
          <w:rFonts w:eastAsia="Times New Roman" w:cs="Times New Roman"/>
          <w:szCs w:val="24"/>
        </w:rPr>
        <w:t xml:space="preserve">for investigator review and action, if necessary. </w:t>
      </w:r>
      <w:r w:rsidR="00344715" w:rsidRPr="00AA4677">
        <w:rPr>
          <w:rFonts w:eastAsia="Times New Roman" w:cs="Times New Roman"/>
          <w:szCs w:val="24"/>
        </w:rPr>
        <w:t>If the information provided is of serious concern, the staff will involve the Chair and/</w:t>
      </w:r>
      <w:r w:rsidR="001622C3" w:rsidRPr="00AA4677">
        <w:rPr>
          <w:rFonts w:eastAsia="Times New Roman" w:cs="Times New Roman"/>
          <w:szCs w:val="24"/>
        </w:rPr>
        <w:t>or</w:t>
      </w:r>
      <w:r w:rsidR="00C66572" w:rsidRPr="00AA4677">
        <w:rPr>
          <w:rFonts w:eastAsia="Times New Roman" w:cs="Times New Roman"/>
          <w:szCs w:val="24"/>
        </w:rPr>
        <w:t xml:space="preserve"> AVP-RC</w:t>
      </w:r>
      <w:r w:rsidR="005C33BD" w:rsidRPr="00AA4677">
        <w:rPr>
          <w:rFonts w:eastAsia="Times New Roman" w:cs="Times New Roman"/>
          <w:szCs w:val="24"/>
        </w:rPr>
        <w:t xml:space="preserve"> and/or </w:t>
      </w:r>
      <w:r w:rsidR="00344715" w:rsidRPr="00AA4677">
        <w:rPr>
          <w:rFonts w:eastAsia="Times New Roman" w:cs="Times New Roman"/>
          <w:szCs w:val="24"/>
        </w:rPr>
        <w:t xml:space="preserve">IO as soon as possible, before the IRB meeting, for any action deemed necessary to protect enrolled subjects. </w:t>
      </w:r>
      <w:r w:rsidRPr="00AA4677">
        <w:rPr>
          <w:rFonts w:eastAsia="Times New Roman" w:cs="Times New Roman"/>
          <w:szCs w:val="24"/>
        </w:rPr>
        <w:t>   </w:t>
      </w:r>
    </w:p>
    <w:p w14:paraId="4BD50848" w14:textId="4D66E94A" w:rsidR="00FC174E" w:rsidRPr="00AA4677" w:rsidRDefault="00FC174E" w:rsidP="005920B2">
      <w:pPr>
        <w:pStyle w:val="Heading1"/>
      </w:pPr>
      <w:bookmarkStart w:id="298" w:name="_Toc192678237"/>
      <w:bookmarkEnd w:id="297"/>
      <w:r w:rsidRPr="00AA4677">
        <w:lastRenderedPageBreak/>
        <w:t>10 Complaints and Non-compliance</w:t>
      </w:r>
      <w:r w:rsidR="00CE4B01" w:rsidRPr="00AA4677">
        <w:t xml:space="preserve"> (</w:t>
      </w:r>
      <w:r w:rsidR="00AE1F7E" w:rsidRPr="00AA4677">
        <w:t>type</w:t>
      </w:r>
      <w:r w:rsidR="00CE4B01" w:rsidRPr="00AA4677">
        <w:t>s</w:t>
      </w:r>
      <w:r w:rsidR="00AE1F7E" w:rsidRPr="00AA4677">
        <w:t xml:space="preserve"> of ‘Reportable New Information- RNI’)</w:t>
      </w:r>
      <w:bookmarkEnd w:id="298"/>
    </w:p>
    <w:p w14:paraId="46AB7ECF" w14:textId="3B027C96" w:rsidR="00FC174E" w:rsidRPr="00AA4677" w:rsidRDefault="00FC174E" w:rsidP="00696B35">
      <w:pPr>
        <w:pStyle w:val="Heading2"/>
      </w:pPr>
      <w:bookmarkStart w:id="299" w:name="_Toc192678238"/>
      <w:r w:rsidRPr="00AA4677">
        <w:t>10.1 Policy</w:t>
      </w:r>
      <w:bookmarkEnd w:id="299"/>
    </w:p>
    <w:p w14:paraId="16B8EE56" w14:textId="55C87EAB"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As part</w:t>
      </w:r>
      <w:r w:rsidR="000051C7" w:rsidRPr="00AA4677">
        <w:rPr>
          <w:rFonts w:eastAsia="Times New Roman" w:cs="Times New Roman"/>
          <w:szCs w:val="24"/>
        </w:rPr>
        <w:t xml:space="preserve"> of its commitment to protect</w:t>
      </w:r>
      <w:r w:rsidRPr="00AA4677">
        <w:rPr>
          <w:rFonts w:eastAsia="Times New Roman" w:cs="Times New Roman"/>
          <w:szCs w:val="24"/>
        </w:rPr>
        <w:t xml:space="preserve"> the rights</w:t>
      </w:r>
      <w:r w:rsidR="000051C7" w:rsidRPr="00AA4677">
        <w:rPr>
          <w:rFonts w:eastAsia="Times New Roman" w:cs="Times New Roman"/>
          <w:szCs w:val="24"/>
        </w:rPr>
        <w:t>, safety,</w:t>
      </w:r>
      <w:r w:rsidRPr="00AA4677">
        <w:rPr>
          <w:rFonts w:eastAsia="Times New Roman" w:cs="Times New Roman"/>
          <w:szCs w:val="24"/>
        </w:rPr>
        <w:t xml:space="preserve"> and welfare of human subjects in research, </w:t>
      </w:r>
      <w:r w:rsidR="001840D0" w:rsidRPr="00AA4677">
        <w:rPr>
          <w:rFonts w:eastAsia="Times New Roman" w:cs="Times New Roman"/>
          <w:szCs w:val="24"/>
        </w:rPr>
        <w:t>the University</w:t>
      </w:r>
      <w:r w:rsidRPr="00AA4677">
        <w:rPr>
          <w:rFonts w:eastAsia="Times New Roman" w:cs="Times New Roman"/>
          <w:szCs w:val="24"/>
        </w:rPr>
        <w:t xml:space="preserve"> reviews all complaints and allegations of non-compliance and takes any necessary action to ensure the ethical conduct of research.</w:t>
      </w:r>
    </w:p>
    <w:p w14:paraId="4F9C0BE5" w14:textId="259B3FE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following procedures describe how complaints and allegations of non-</w:t>
      </w:r>
      <w:r w:rsidR="001840D0" w:rsidRPr="00AA4677">
        <w:rPr>
          <w:rFonts w:eastAsia="Times New Roman" w:cs="Times New Roman"/>
          <w:szCs w:val="24"/>
        </w:rPr>
        <w:t xml:space="preserve">compliance are handled by the </w:t>
      </w:r>
      <w:r w:rsidR="00EE7207" w:rsidRPr="00AA4677">
        <w:rPr>
          <w:rFonts w:eastAsia="Times New Roman" w:cs="Times New Roman"/>
          <w:szCs w:val="24"/>
        </w:rPr>
        <w:t>IRB</w:t>
      </w:r>
      <w:r w:rsidRPr="00AA4677">
        <w:rPr>
          <w:rFonts w:eastAsia="Times New Roman" w:cs="Times New Roman"/>
          <w:szCs w:val="24"/>
        </w:rPr>
        <w:t>.</w:t>
      </w:r>
    </w:p>
    <w:p w14:paraId="308121F0" w14:textId="77777777" w:rsidR="00FC174E" w:rsidRPr="00AA4677" w:rsidRDefault="00FC174E" w:rsidP="00696B35">
      <w:pPr>
        <w:pStyle w:val="Heading2"/>
      </w:pPr>
      <w:bookmarkStart w:id="300" w:name="_Toc192678239"/>
      <w:r w:rsidRPr="00AA4677">
        <w:t>10.2 Definitions</w:t>
      </w:r>
      <w:bookmarkEnd w:id="300"/>
    </w:p>
    <w:p w14:paraId="4589C8F7" w14:textId="2939F64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Non-compliance</w:t>
      </w:r>
      <w:r w:rsidR="003F1850" w:rsidRPr="00AA4677">
        <w:rPr>
          <w:rFonts w:eastAsia="Times New Roman" w:cs="Times New Roman"/>
          <w:szCs w:val="24"/>
        </w:rPr>
        <w:t>: F</w:t>
      </w:r>
      <w:r w:rsidRPr="00AA4677">
        <w:rPr>
          <w:rFonts w:eastAsia="Times New Roman" w:cs="Times New Roman"/>
          <w:szCs w:val="24"/>
        </w:rPr>
        <w:t>ailure</w:t>
      </w:r>
      <w:r w:rsidR="00260F2B" w:rsidRPr="00AA4677">
        <w:rPr>
          <w:rFonts w:eastAsia="Times New Roman" w:cs="Times New Roman"/>
          <w:szCs w:val="24"/>
        </w:rPr>
        <w:t xml:space="preserve"> of </w:t>
      </w:r>
      <w:r w:rsidR="00717203" w:rsidRPr="00AA4677">
        <w:rPr>
          <w:rFonts w:eastAsia="Times New Roman" w:cs="Times New Roman"/>
          <w:szCs w:val="24"/>
        </w:rPr>
        <w:t>research</w:t>
      </w:r>
      <w:r w:rsidR="00260F2B" w:rsidRPr="00AA4677">
        <w:rPr>
          <w:rFonts w:eastAsia="Times New Roman" w:cs="Times New Roman"/>
          <w:szCs w:val="24"/>
        </w:rPr>
        <w:t>ers, staff</w:t>
      </w:r>
      <w:proofErr w:type="gramStart"/>
      <w:r w:rsidR="00260F2B" w:rsidRPr="00AA4677">
        <w:rPr>
          <w:rFonts w:eastAsia="Times New Roman" w:cs="Times New Roman"/>
          <w:szCs w:val="24"/>
        </w:rPr>
        <w:t>, other</w:t>
      </w:r>
      <w:proofErr w:type="gramEnd"/>
      <w:r w:rsidR="00260F2B" w:rsidRPr="00AA4677">
        <w:rPr>
          <w:rFonts w:eastAsia="Times New Roman" w:cs="Times New Roman"/>
          <w:szCs w:val="24"/>
        </w:rPr>
        <w:t xml:space="preserve"> employees or the IRB</w:t>
      </w:r>
      <w:r w:rsidRPr="00AA4677">
        <w:rPr>
          <w:rFonts w:eastAsia="Times New Roman" w:cs="Times New Roman"/>
          <w:szCs w:val="24"/>
        </w:rPr>
        <w:t xml:space="preserve"> to comply with any of the regulations and policies described in this document and</w:t>
      </w:r>
      <w:r w:rsidR="00344715" w:rsidRPr="00AA4677">
        <w:rPr>
          <w:rFonts w:eastAsia="Times New Roman" w:cs="Times New Roman"/>
          <w:szCs w:val="24"/>
        </w:rPr>
        <w:t>/or</w:t>
      </w:r>
      <w:r w:rsidRPr="00AA4677">
        <w:rPr>
          <w:rFonts w:eastAsia="Times New Roman" w:cs="Times New Roman"/>
          <w:szCs w:val="24"/>
        </w:rPr>
        <w:t xml:space="preserve"> failure to follow the determinations of </w:t>
      </w:r>
      <w:r w:rsidR="003F185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Non-compliance may be minor or sporadic or it may be serious or continuing. </w:t>
      </w:r>
    </w:p>
    <w:p w14:paraId="51EF77DB" w14:textId="7293F7E6"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bookmarkStart w:id="301" w:name="_Hlk192161430"/>
      <w:r w:rsidRPr="00AA4677">
        <w:rPr>
          <w:rFonts w:eastAsia="Times New Roman" w:cs="Times New Roman"/>
          <w:b/>
          <w:bCs/>
          <w:szCs w:val="24"/>
        </w:rPr>
        <w:t>Serious non-compliance</w:t>
      </w:r>
      <w:r w:rsidR="003F1850" w:rsidRPr="00AA4677">
        <w:rPr>
          <w:rFonts w:eastAsia="Times New Roman" w:cs="Times New Roman"/>
          <w:b/>
          <w:bCs/>
          <w:szCs w:val="24"/>
        </w:rPr>
        <w:t xml:space="preserve">: </w:t>
      </w:r>
      <w:r w:rsidR="003F1850" w:rsidRPr="00AA4677">
        <w:rPr>
          <w:rFonts w:eastAsia="Times New Roman" w:cs="Times New Roman"/>
          <w:szCs w:val="24"/>
        </w:rPr>
        <w:t>Fa</w:t>
      </w:r>
      <w:r w:rsidRPr="00AA4677">
        <w:rPr>
          <w:rFonts w:eastAsia="Times New Roman" w:cs="Times New Roman"/>
          <w:szCs w:val="24"/>
        </w:rPr>
        <w:t xml:space="preserve">ilure to follow regulations and policies described in this document or failure to follow the determinations of </w:t>
      </w:r>
      <w:r w:rsidR="003F185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which, in the judgment of either the </w:t>
      </w:r>
      <w:r w:rsidR="00EE7207" w:rsidRPr="00AA4677">
        <w:rPr>
          <w:rFonts w:eastAsia="Times New Roman" w:cs="Times New Roman"/>
          <w:szCs w:val="24"/>
        </w:rPr>
        <w:t>IRB</w:t>
      </w:r>
      <w:r w:rsidRPr="00AA4677">
        <w:rPr>
          <w:rFonts w:eastAsia="Times New Roman" w:cs="Times New Roman"/>
          <w:szCs w:val="24"/>
        </w:rPr>
        <w:t xml:space="preserve"> Chair or the convened </w:t>
      </w:r>
      <w:r w:rsidR="00EE7207" w:rsidRPr="00AA4677">
        <w:rPr>
          <w:rFonts w:eastAsia="Times New Roman" w:cs="Times New Roman"/>
          <w:szCs w:val="24"/>
        </w:rPr>
        <w:t>IRB</w:t>
      </w:r>
      <w:r w:rsidRPr="00AA4677">
        <w:rPr>
          <w:rFonts w:eastAsia="Times New Roman" w:cs="Times New Roman"/>
          <w:szCs w:val="24"/>
        </w:rPr>
        <w:t xml:space="preserve">, increases risks to </w:t>
      </w:r>
      <w:r w:rsidR="00BF7470" w:rsidRPr="00AA4677">
        <w:rPr>
          <w:rFonts w:eastAsia="Times New Roman" w:cs="Times New Roman"/>
          <w:szCs w:val="24"/>
        </w:rPr>
        <w:t>subject</w:t>
      </w:r>
      <w:r w:rsidRPr="00AA4677">
        <w:rPr>
          <w:rFonts w:eastAsia="Times New Roman" w:cs="Times New Roman"/>
          <w:szCs w:val="24"/>
        </w:rPr>
        <w:t>s, decreases potential benefits, or compromises the integrity of the human research protection program.</w:t>
      </w:r>
      <w:r w:rsidR="00850760" w:rsidRPr="00AA4677">
        <w:rPr>
          <w:rFonts w:eastAsia="Times New Roman" w:cs="Times New Roman"/>
          <w:szCs w:val="24"/>
        </w:rPr>
        <w:t xml:space="preserve"> The IRB does not have to find that harm has occurred or was likely to occur to</w:t>
      </w:r>
      <w:r w:rsidR="00553385" w:rsidRPr="00AA4677">
        <w:rPr>
          <w:rFonts w:eastAsia="Times New Roman" w:cs="Times New Roman"/>
          <w:szCs w:val="24"/>
        </w:rPr>
        <w:t xml:space="preserve"> </w:t>
      </w:r>
      <w:proofErr w:type="gramStart"/>
      <w:r w:rsidR="00850760" w:rsidRPr="00AA4677">
        <w:rPr>
          <w:rFonts w:eastAsia="Times New Roman" w:cs="Times New Roman"/>
          <w:szCs w:val="24"/>
        </w:rPr>
        <w:t>make a determination</w:t>
      </w:r>
      <w:proofErr w:type="gramEnd"/>
      <w:r w:rsidR="00850760" w:rsidRPr="00AA4677">
        <w:rPr>
          <w:rFonts w:eastAsia="Times New Roman" w:cs="Times New Roman"/>
          <w:szCs w:val="24"/>
        </w:rPr>
        <w:t xml:space="preserve"> of serious noncompliance.</w:t>
      </w:r>
      <w:r w:rsidRPr="00AA4677">
        <w:rPr>
          <w:rFonts w:eastAsia="Times New Roman" w:cs="Times New Roman"/>
          <w:szCs w:val="24"/>
        </w:rPr>
        <w:t xml:space="preserve"> Non-exempt research being conducted without prior</w:t>
      </w:r>
      <w:r w:rsidR="003F1850"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approval, or participation of subjects in research activities without their prior consent (in studies where consent was not specifically waived by </w:t>
      </w:r>
      <w:r w:rsidR="003F1850"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is always considered serious noncompliance. </w:t>
      </w:r>
    </w:p>
    <w:bookmarkEnd w:id="301"/>
    <w:p w14:paraId="6AD5FB60" w14:textId="794E0E0C" w:rsidR="00FC174E" w:rsidRPr="00AA4677" w:rsidRDefault="00C82D07"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Continuing N</w:t>
      </w:r>
      <w:r w:rsidR="00FC174E" w:rsidRPr="00AA4677">
        <w:rPr>
          <w:rFonts w:eastAsia="Times New Roman" w:cs="Times New Roman"/>
          <w:b/>
          <w:bCs/>
          <w:szCs w:val="24"/>
        </w:rPr>
        <w:t>on-compliance</w:t>
      </w:r>
      <w:r w:rsidR="003F1850" w:rsidRPr="00AA4677">
        <w:rPr>
          <w:rFonts w:eastAsia="Times New Roman" w:cs="Times New Roman"/>
          <w:b/>
          <w:bCs/>
          <w:szCs w:val="24"/>
        </w:rPr>
        <w:t>:</w:t>
      </w:r>
      <w:r w:rsidR="00FC174E" w:rsidRPr="00AA4677">
        <w:rPr>
          <w:rFonts w:eastAsia="Times New Roman" w:cs="Times New Roman"/>
          <w:szCs w:val="24"/>
        </w:rPr>
        <w:t> </w:t>
      </w:r>
      <w:r w:rsidR="003F1850" w:rsidRPr="00AA4677">
        <w:rPr>
          <w:rFonts w:eastAsia="Times New Roman" w:cs="Times New Roman"/>
          <w:szCs w:val="24"/>
        </w:rPr>
        <w:t xml:space="preserve"> A p</w:t>
      </w:r>
      <w:r w:rsidR="00FC174E" w:rsidRPr="00AA4677">
        <w:rPr>
          <w:rFonts w:eastAsia="Times New Roman" w:cs="Times New Roman"/>
          <w:szCs w:val="24"/>
        </w:rPr>
        <w:t xml:space="preserve">attern of non-compliance that, in the judgment of the </w:t>
      </w:r>
      <w:r w:rsidR="00EE7207" w:rsidRPr="00AA4677">
        <w:rPr>
          <w:rFonts w:eastAsia="Times New Roman" w:cs="Times New Roman"/>
          <w:szCs w:val="24"/>
        </w:rPr>
        <w:t>IRB</w:t>
      </w:r>
      <w:r w:rsidR="00FC174E" w:rsidRPr="00AA4677">
        <w:rPr>
          <w:rFonts w:eastAsia="Times New Roman" w:cs="Times New Roman"/>
          <w:szCs w:val="24"/>
        </w:rPr>
        <w:t xml:space="preserve"> Chair or convened </w:t>
      </w:r>
      <w:r w:rsidR="00EE7207" w:rsidRPr="00AA4677">
        <w:rPr>
          <w:rFonts w:eastAsia="Times New Roman" w:cs="Times New Roman"/>
          <w:szCs w:val="24"/>
        </w:rPr>
        <w:t>IRB</w:t>
      </w:r>
      <w:r w:rsidR="00FC174E" w:rsidRPr="00AA4677">
        <w:rPr>
          <w:rFonts w:eastAsia="Times New Roman" w:cs="Times New Roman"/>
          <w:szCs w:val="24"/>
        </w:rPr>
        <w:t>, suggests a likelihood that instances of non-compliance will continue without intervention, or where instances of non-compliance </w:t>
      </w:r>
      <w:r w:rsidR="00FC174E" w:rsidRPr="00AA4677">
        <w:rPr>
          <w:rFonts w:eastAsia="Times New Roman" w:cs="Times New Roman"/>
          <w:b/>
          <w:bCs/>
          <w:szCs w:val="24"/>
        </w:rPr>
        <w:t>have</w:t>
      </w:r>
      <w:r w:rsidR="00FC174E" w:rsidRPr="00AA4677">
        <w:rPr>
          <w:rFonts w:eastAsia="Times New Roman" w:cs="Times New Roman"/>
          <w:szCs w:val="24"/>
        </w:rPr>
        <w:t xml:space="preserve"> continued even where intervention by the </w:t>
      </w:r>
      <w:r w:rsidR="00EE7207" w:rsidRPr="00AA4677">
        <w:rPr>
          <w:rFonts w:eastAsia="Times New Roman" w:cs="Times New Roman"/>
          <w:szCs w:val="24"/>
        </w:rPr>
        <w:t>IRB</w:t>
      </w:r>
      <w:r w:rsidR="00FC174E" w:rsidRPr="00AA4677">
        <w:rPr>
          <w:rFonts w:eastAsia="Times New Roman" w:cs="Times New Roman"/>
          <w:szCs w:val="24"/>
        </w:rPr>
        <w:t xml:space="preserve"> has occurred.  Continuing non-compliance also includes failure to respond to a request to resolve an episode of non-compliance.</w:t>
      </w:r>
    </w:p>
    <w:p w14:paraId="2E198484" w14:textId="76FCAA8B"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Allegation of Non-Compliance</w:t>
      </w:r>
      <w:r w:rsidR="003F1850" w:rsidRPr="00AA4677">
        <w:rPr>
          <w:rFonts w:eastAsia="Times New Roman" w:cs="Times New Roman"/>
          <w:b/>
          <w:bCs/>
          <w:szCs w:val="24"/>
        </w:rPr>
        <w:t>:</w:t>
      </w:r>
      <w:r w:rsidRPr="00AA4677">
        <w:rPr>
          <w:rFonts w:eastAsia="Times New Roman" w:cs="Times New Roman"/>
          <w:szCs w:val="24"/>
        </w:rPr>
        <w:t> </w:t>
      </w:r>
      <w:r w:rsidR="003F1850" w:rsidRPr="00AA4677">
        <w:rPr>
          <w:rFonts w:eastAsia="Times New Roman" w:cs="Times New Roman"/>
          <w:szCs w:val="24"/>
        </w:rPr>
        <w:t>A</w:t>
      </w:r>
      <w:r w:rsidRPr="00AA4677">
        <w:rPr>
          <w:rFonts w:eastAsia="Times New Roman" w:cs="Times New Roman"/>
          <w:szCs w:val="24"/>
        </w:rPr>
        <w:t>n unproved assertion of non-compliance.</w:t>
      </w:r>
    </w:p>
    <w:p w14:paraId="23FD927F" w14:textId="58813D8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Finding of Non-Compliance</w:t>
      </w:r>
      <w:r w:rsidR="003F1850" w:rsidRPr="00AA4677">
        <w:rPr>
          <w:rFonts w:eastAsia="Times New Roman" w:cs="Times New Roman"/>
          <w:b/>
          <w:bCs/>
          <w:szCs w:val="24"/>
        </w:rPr>
        <w:t>:</w:t>
      </w:r>
      <w:r w:rsidR="00CF544E" w:rsidRPr="00AA4677">
        <w:rPr>
          <w:rFonts w:eastAsia="Times New Roman" w:cs="Times New Roman"/>
          <w:szCs w:val="24"/>
        </w:rPr>
        <w:t xml:space="preserve"> A</w:t>
      </w:r>
      <w:r w:rsidRPr="00AA4677">
        <w:rPr>
          <w:rFonts w:eastAsia="Times New Roman" w:cs="Times New Roman"/>
          <w:szCs w:val="24"/>
        </w:rPr>
        <w:t>n allegation of non-compliance that is proven true or a report of non-co</w:t>
      </w:r>
      <w:r w:rsidR="00CF544E" w:rsidRPr="00AA4677">
        <w:rPr>
          <w:rFonts w:eastAsia="Times New Roman" w:cs="Times New Roman"/>
          <w:szCs w:val="24"/>
        </w:rPr>
        <w:t xml:space="preserve">mpliance that is clearly true. (i.e. </w:t>
      </w:r>
      <w:r w:rsidRPr="00AA4677">
        <w:rPr>
          <w:rFonts w:eastAsia="Times New Roman" w:cs="Times New Roman"/>
          <w:szCs w:val="24"/>
        </w:rPr>
        <w:t xml:space="preserve">a finding on an audit of an unsigned consent document, or an admission of an </w:t>
      </w:r>
      <w:proofErr w:type="gramStart"/>
      <w:r w:rsidRPr="00AA4677">
        <w:rPr>
          <w:rFonts w:eastAsia="Times New Roman" w:cs="Times New Roman"/>
          <w:szCs w:val="24"/>
        </w:rPr>
        <w:t>investigator of</w:t>
      </w:r>
      <w:proofErr w:type="gramEnd"/>
      <w:r w:rsidRPr="00AA4677">
        <w:rPr>
          <w:rFonts w:eastAsia="Times New Roman" w:cs="Times New Roman"/>
          <w:szCs w:val="24"/>
        </w:rPr>
        <w:t xml:space="preserve"> that the protocol was willfully not followed would represent reports of non-compliance that would require no further action to determine their truth and would therefore repre</w:t>
      </w:r>
      <w:r w:rsidR="00CF544E" w:rsidRPr="00AA4677">
        <w:rPr>
          <w:rFonts w:eastAsia="Times New Roman" w:cs="Times New Roman"/>
          <w:szCs w:val="24"/>
        </w:rPr>
        <w:t>sent findings of non-compliance</w:t>
      </w:r>
      <w:r w:rsidRPr="00AA4677">
        <w:rPr>
          <w:rFonts w:eastAsia="Times New Roman" w:cs="Times New Roman"/>
          <w:szCs w:val="24"/>
        </w:rPr>
        <w:t>). Once a finding of non-compliance is proven, it must be categorized as serious, non-serious, or continuing.</w:t>
      </w:r>
    </w:p>
    <w:p w14:paraId="51E9E41C" w14:textId="77777777" w:rsidR="00FC174E" w:rsidRPr="00AA4677" w:rsidRDefault="00FC174E" w:rsidP="00696B35">
      <w:pPr>
        <w:pStyle w:val="Heading2"/>
      </w:pPr>
      <w:bookmarkStart w:id="302" w:name="_Toc192678240"/>
      <w:r w:rsidRPr="00AA4677">
        <w:lastRenderedPageBreak/>
        <w:t>10.3 Complaints</w:t>
      </w:r>
      <w:bookmarkEnd w:id="302"/>
    </w:p>
    <w:p w14:paraId="105AF7A6" w14:textId="0B3B1EE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Complaints</w:t>
      </w:r>
      <w:r w:rsidR="00344715" w:rsidRPr="00AA4677">
        <w:rPr>
          <w:rFonts w:eastAsia="Times New Roman" w:cs="Times New Roman"/>
          <w:szCs w:val="24"/>
        </w:rPr>
        <w:t xml:space="preserve"> and</w:t>
      </w:r>
      <w:r w:rsidRPr="00AA4677">
        <w:rPr>
          <w:rFonts w:eastAsia="Times New Roman" w:cs="Times New Roman"/>
          <w:szCs w:val="24"/>
        </w:rPr>
        <w:t xml:space="preserve"> concerns</w:t>
      </w:r>
      <w:r w:rsidR="00344715" w:rsidRPr="00AA4677">
        <w:rPr>
          <w:rFonts w:eastAsia="Times New Roman" w:cs="Times New Roman"/>
          <w:szCs w:val="24"/>
        </w:rPr>
        <w:t xml:space="preserve"> </w:t>
      </w:r>
      <w:r w:rsidRPr="00AA4677">
        <w:rPr>
          <w:rFonts w:eastAsia="Times New Roman" w:cs="Times New Roman"/>
          <w:szCs w:val="24"/>
        </w:rPr>
        <w:t xml:space="preserve">received by ORC from investigators, </w:t>
      </w:r>
      <w:r w:rsidR="00BF7470" w:rsidRPr="00AA4677">
        <w:rPr>
          <w:rFonts w:eastAsia="Times New Roman" w:cs="Times New Roman"/>
          <w:szCs w:val="24"/>
        </w:rPr>
        <w:t>subject</w:t>
      </w:r>
      <w:r w:rsidRPr="00AA4677">
        <w:rPr>
          <w:rFonts w:eastAsia="Times New Roman" w:cs="Times New Roman"/>
          <w:szCs w:val="24"/>
        </w:rPr>
        <w:t>s, and others will be reviewed, in consultat</w:t>
      </w:r>
      <w:r w:rsidR="00CF544E" w:rsidRPr="00AA4677">
        <w:rPr>
          <w:rFonts w:eastAsia="Times New Roman" w:cs="Times New Roman"/>
          <w:szCs w:val="24"/>
        </w:rPr>
        <w:t xml:space="preserve">ion with the </w:t>
      </w:r>
      <w:r w:rsidR="00EE7207" w:rsidRPr="00AA4677">
        <w:rPr>
          <w:rFonts w:eastAsia="Times New Roman" w:cs="Times New Roman"/>
          <w:szCs w:val="24"/>
        </w:rPr>
        <w:t>IRB</w:t>
      </w:r>
      <w:r w:rsidR="00CF544E" w:rsidRPr="00AA4677">
        <w:rPr>
          <w:rFonts w:eastAsia="Times New Roman" w:cs="Times New Roman"/>
          <w:szCs w:val="24"/>
        </w:rPr>
        <w:t xml:space="preserve"> Chair</w:t>
      </w:r>
      <w:r w:rsidR="005C33BD" w:rsidRPr="00AA4677">
        <w:rPr>
          <w:rFonts w:eastAsia="Times New Roman" w:cs="Times New Roman"/>
          <w:szCs w:val="24"/>
        </w:rPr>
        <w:t xml:space="preserve">, </w:t>
      </w:r>
      <w:r w:rsidR="00C66572" w:rsidRPr="00AA4677">
        <w:rPr>
          <w:rFonts w:eastAsia="Times New Roman" w:cs="Times New Roman"/>
          <w:szCs w:val="24"/>
        </w:rPr>
        <w:t>AVP-RC</w:t>
      </w:r>
      <w:r w:rsidR="003C74A3" w:rsidRPr="00AA4677">
        <w:rPr>
          <w:rFonts w:eastAsia="Times New Roman" w:cs="Times New Roman"/>
          <w:szCs w:val="24"/>
        </w:rPr>
        <w:t xml:space="preserve"> and/or </w:t>
      </w:r>
      <w:r w:rsidR="00344715" w:rsidRPr="00AA4677">
        <w:rPr>
          <w:rFonts w:eastAsia="Times New Roman" w:cs="Times New Roman"/>
          <w:szCs w:val="24"/>
        </w:rPr>
        <w:t>IO</w:t>
      </w:r>
      <w:r w:rsidRPr="00AA4677">
        <w:rPr>
          <w:rFonts w:eastAsia="Times New Roman" w:cs="Times New Roman"/>
          <w:szCs w:val="24"/>
        </w:rPr>
        <w:t xml:space="preserve"> as appli</w:t>
      </w:r>
      <w:r w:rsidR="00CF544E" w:rsidRPr="00AA4677">
        <w:rPr>
          <w:rFonts w:eastAsia="Times New Roman" w:cs="Times New Roman"/>
          <w:szCs w:val="24"/>
        </w:rPr>
        <w:t xml:space="preserve">cable. Upon referral to the </w:t>
      </w:r>
      <w:r w:rsidR="00EE7207" w:rsidRPr="00AA4677">
        <w:rPr>
          <w:rFonts w:eastAsia="Times New Roman" w:cs="Times New Roman"/>
          <w:szCs w:val="24"/>
        </w:rPr>
        <w:t>IRB</w:t>
      </w:r>
      <w:r w:rsidR="00CF544E" w:rsidRPr="00AA4677">
        <w:rPr>
          <w:rFonts w:eastAsia="Times New Roman" w:cs="Times New Roman"/>
          <w:szCs w:val="24"/>
        </w:rPr>
        <w:t xml:space="preserve"> </w:t>
      </w:r>
      <w:proofErr w:type="gramStart"/>
      <w:r w:rsidR="00CF544E" w:rsidRPr="00AA4677">
        <w:rPr>
          <w:rFonts w:eastAsia="Times New Roman" w:cs="Times New Roman"/>
          <w:szCs w:val="24"/>
        </w:rPr>
        <w:t>Chair</w:t>
      </w:r>
      <w:proofErr w:type="gramEnd"/>
      <w:r w:rsidRPr="00AA4677">
        <w:rPr>
          <w:rFonts w:eastAsia="Times New Roman" w:cs="Times New Roman"/>
          <w:szCs w:val="24"/>
        </w:rPr>
        <w:t> s</w:t>
      </w:r>
      <w:r w:rsidR="00CF544E" w:rsidRPr="00AA4677">
        <w:rPr>
          <w:rFonts w:eastAsia="Times New Roman" w:cs="Times New Roman"/>
          <w:szCs w:val="24"/>
        </w:rPr>
        <w:t>he</w:t>
      </w:r>
      <w:r w:rsidRPr="00AA4677">
        <w:rPr>
          <w:rFonts w:eastAsia="Times New Roman" w:cs="Times New Roman"/>
          <w:szCs w:val="24"/>
        </w:rPr>
        <w:t xml:space="preserve">/he will make a preliminary </w:t>
      </w:r>
      <w:proofErr w:type="gramStart"/>
      <w:r w:rsidRPr="00AA4677">
        <w:rPr>
          <w:rFonts w:eastAsia="Times New Roman" w:cs="Times New Roman"/>
          <w:szCs w:val="24"/>
        </w:rPr>
        <w:t>assessment</w:t>
      </w:r>
      <w:proofErr w:type="gramEnd"/>
      <w:r w:rsidRPr="00AA4677">
        <w:rPr>
          <w:rFonts w:eastAsia="Times New Roman" w:cs="Times New Roman"/>
          <w:szCs w:val="24"/>
        </w:rPr>
        <w:t xml:space="preserve"> whether the complaint warrants immediate suspension of the research project.  If a suspension is warranted, the procedures in Section 3.11.1 will be followed.</w:t>
      </w:r>
    </w:p>
    <w:p w14:paraId="0CDB4232"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the complaint meets the definition of non-compliance, it will be considered an allegation of non-compliance according to Section 10.4</w:t>
      </w:r>
    </w:p>
    <w:p w14:paraId="5287360E"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the complaint meets the definition of an unanticipated problem involving risk to subjects or others, it will be handled according to Section 8.</w:t>
      </w:r>
    </w:p>
    <w:p w14:paraId="28319247" w14:textId="77777777" w:rsidR="00FC174E" w:rsidRPr="00AA4677" w:rsidRDefault="00FC174E" w:rsidP="00696B35">
      <w:pPr>
        <w:pStyle w:val="Heading2"/>
      </w:pPr>
      <w:bookmarkStart w:id="303" w:name="_Toc192678241"/>
      <w:r w:rsidRPr="00AA4677">
        <w:t>10.4 Non-compliance</w:t>
      </w:r>
      <w:bookmarkEnd w:id="303"/>
    </w:p>
    <w:p w14:paraId="7F84C1FC" w14:textId="02659DE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Investigators and their study staff are required to report instances of possible non-compliance. The </w:t>
      </w:r>
      <w:r w:rsidR="00CF544E" w:rsidRPr="00AA4677">
        <w:rPr>
          <w:rFonts w:eastAsia="Times New Roman" w:cs="Times New Roman"/>
          <w:szCs w:val="24"/>
        </w:rPr>
        <w:t>PI</w:t>
      </w:r>
      <w:r w:rsidRPr="00AA4677">
        <w:rPr>
          <w:rFonts w:eastAsia="Times New Roman" w:cs="Times New Roman"/>
          <w:szCs w:val="24"/>
        </w:rPr>
        <w:t xml:space="preserve"> is responsible for reporting any possible non-compliance by study personnel to the ORC. Any individual or employee may report observed or apparent instances of noncompliance to the ORC.  In such cases, the reporting party is responsible for making these reports in good faith, maintaining confidentiality and cooperating with any ORC, </w:t>
      </w:r>
      <w:r w:rsidR="00EE7207" w:rsidRPr="00AA4677">
        <w:rPr>
          <w:rFonts w:eastAsia="Times New Roman" w:cs="Times New Roman"/>
          <w:szCs w:val="24"/>
        </w:rPr>
        <w:t>IRB</w:t>
      </w:r>
      <w:r w:rsidRPr="00AA4677">
        <w:rPr>
          <w:rFonts w:eastAsia="Times New Roman" w:cs="Times New Roman"/>
          <w:szCs w:val="24"/>
        </w:rPr>
        <w:t>, and/or institutional review of these reports.</w:t>
      </w:r>
    </w:p>
    <w:p w14:paraId="2312DBE2" w14:textId="3461E41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an individual, whether investigator, study staff or other, is uncertain whether there is cause to report noncompliance,</w:t>
      </w:r>
      <w:r w:rsidR="000051C7" w:rsidRPr="00AA4677">
        <w:rPr>
          <w:rFonts w:eastAsia="Times New Roman" w:cs="Times New Roman"/>
          <w:szCs w:val="24"/>
        </w:rPr>
        <w:t xml:space="preserve"> he or she may contact the ORC s</w:t>
      </w:r>
      <w:r w:rsidRPr="00AA4677">
        <w:rPr>
          <w:rFonts w:eastAsia="Times New Roman" w:cs="Times New Roman"/>
          <w:szCs w:val="24"/>
        </w:rPr>
        <w:t>taff to discuss the situation informally.</w:t>
      </w:r>
    </w:p>
    <w:p w14:paraId="258A1FFB" w14:textId="508BB1E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Reports of non-compliance must be submitted to the ORC </w:t>
      </w:r>
      <w:r w:rsidRPr="00AA4677">
        <w:rPr>
          <w:rFonts w:eastAsia="Times New Roman" w:cs="Times New Roman"/>
          <w:b/>
          <w:szCs w:val="24"/>
        </w:rPr>
        <w:t xml:space="preserve">within </w:t>
      </w:r>
      <w:r w:rsidR="00CF544E" w:rsidRPr="00AA4677">
        <w:rPr>
          <w:rFonts w:eastAsia="Times New Roman" w:cs="Times New Roman"/>
          <w:b/>
          <w:szCs w:val="24"/>
        </w:rPr>
        <w:t>ten (</w:t>
      </w:r>
      <w:r w:rsidRPr="00AA4677">
        <w:rPr>
          <w:rFonts w:eastAsia="Times New Roman" w:cs="Times New Roman"/>
          <w:b/>
          <w:szCs w:val="24"/>
        </w:rPr>
        <w:t>10</w:t>
      </w:r>
      <w:r w:rsidR="00CF544E" w:rsidRPr="00AA4677">
        <w:rPr>
          <w:rFonts w:eastAsia="Times New Roman" w:cs="Times New Roman"/>
          <w:b/>
          <w:szCs w:val="24"/>
        </w:rPr>
        <w:t>)</w:t>
      </w:r>
      <w:r w:rsidRPr="00AA4677">
        <w:rPr>
          <w:rFonts w:eastAsia="Times New Roman" w:cs="Times New Roman"/>
          <w:b/>
          <w:szCs w:val="24"/>
        </w:rPr>
        <w:t xml:space="preserve"> working days</w:t>
      </w:r>
      <w:r w:rsidRPr="00AA4677">
        <w:rPr>
          <w:rFonts w:eastAsia="Times New Roman" w:cs="Times New Roman"/>
          <w:szCs w:val="24"/>
        </w:rPr>
        <w:t xml:space="preserve"> of discovery of the </w:t>
      </w:r>
      <w:proofErr w:type="gramStart"/>
      <w:r w:rsidRPr="00AA4677">
        <w:rPr>
          <w:rFonts w:eastAsia="Times New Roman" w:cs="Times New Roman"/>
          <w:szCs w:val="24"/>
        </w:rPr>
        <w:t>noncompliance</w:t>
      </w:r>
      <w:proofErr w:type="gramEnd"/>
      <w:r w:rsidRPr="00AA4677">
        <w:rPr>
          <w:rFonts w:eastAsia="Times New Roman" w:cs="Times New Roman"/>
          <w:szCs w:val="24"/>
        </w:rPr>
        <w:t>. The report may be verbal or written, and must include a complete description of the noncompliance, and the personnel involved. Complainants may choose to remain anonymous.</w:t>
      </w:r>
    </w:p>
    <w:p w14:paraId="3EF9A079" w14:textId="6AEEEB4A" w:rsidR="00FC174E" w:rsidRPr="00AA4677" w:rsidRDefault="00FC174E" w:rsidP="00C57C98">
      <w:pPr>
        <w:pStyle w:val="Heading3"/>
      </w:pPr>
      <w:r w:rsidRPr="00AA4677">
        <w:t>10.4.1 Review of Allegations of Non-compliance</w:t>
      </w:r>
    </w:p>
    <w:p w14:paraId="098E15F5" w14:textId="03A6D70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Allegations of non-compliance will be</w:t>
      </w:r>
      <w:r w:rsidR="000051C7" w:rsidRPr="00AA4677">
        <w:rPr>
          <w:rFonts w:eastAsia="Times New Roman" w:cs="Times New Roman"/>
          <w:szCs w:val="24"/>
        </w:rPr>
        <w:t xml:space="preserve"> pre-reviewed by </w:t>
      </w:r>
      <w:r w:rsidR="00CF544E" w:rsidRPr="00AA4677">
        <w:rPr>
          <w:rFonts w:eastAsia="Times New Roman" w:cs="Times New Roman"/>
          <w:szCs w:val="24"/>
        </w:rPr>
        <w:t xml:space="preserve">the </w:t>
      </w:r>
      <w:r w:rsidR="00EE7207" w:rsidRPr="00AA4677">
        <w:rPr>
          <w:rFonts w:eastAsia="Times New Roman" w:cs="Times New Roman"/>
          <w:szCs w:val="24"/>
        </w:rPr>
        <w:t>IRB</w:t>
      </w:r>
      <w:r w:rsidR="00CF544E" w:rsidRPr="00AA4677">
        <w:rPr>
          <w:rFonts w:eastAsia="Times New Roman" w:cs="Times New Roman"/>
          <w:szCs w:val="24"/>
        </w:rPr>
        <w:t xml:space="preserve"> Chair</w:t>
      </w:r>
      <w:r w:rsidRPr="00AA4677">
        <w:rPr>
          <w:rFonts w:eastAsia="Times New Roman" w:cs="Times New Roman"/>
          <w:szCs w:val="24"/>
        </w:rPr>
        <w:t xml:space="preserve"> for merit</w:t>
      </w:r>
      <w:r w:rsidR="00633BC0" w:rsidRPr="00AA4677">
        <w:rPr>
          <w:rFonts w:eastAsia="Times New Roman" w:cs="Times New Roman"/>
          <w:szCs w:val="24"/>
        </w:rPr>
        <w:t>.</w:t>
      </w:r>
      <w:r w:rsidR="00633BC0" w:rsidRPr="00AA4677">
        <w:t xml:space="preserve"> </w:t>
      </w:r>
      <w:r w:rsidRPr="00AA4677">
        <w:rPr>
          <w:rFonts w:eastAsia="Times New Roman" w:cs="Times New Roman"/>
          <w:szCs w:val="24"/>
        </w:rPr>
        <w:t>Where the allegation involves multiple studies, or a study with off-site IRB overs</w:t>
      </w:r>
      <w:r w:rsidR="00CF544E" w:rsidRPr="00AA4677">
        <w:rPr>
          <w:rFonts w:eastAsia="Times New Roman" w:cs="Times New Roman"/>
          <w:szCs w:val="24"/>
        </w:rPr>
        <w:t xml:space="preserve">ight, the </w:t>
      </w:r>
      <w:r w:rsidR="00EE7207" w:rsidRPr="00AA4677">
        <w:rPr>
          <w:rFonts w:eastAsia="Times New Roman" w:cs="Times New Roman"/>
          <w:szCs w:val="24"/>
        </w:rPr>
        <w:t>IRB</w:t>
      </w:r>
      <w:r w:rsidRPr="00AA4677">
        <w:rPr>
          <w:rFonts w:eastAsia="Times New Roman" w:cs="Times New Roman"/>
          <w:szCs w:val="24"/>
        </w:rPr>
        <w:t xml:space="preserve"> </w:t>
      </w:r>
      <w:r w:rsidR="000051C7" w:rsidRPr="00AA4677">
        <w:rPr>
          <w:rFonts w:eastAsia="Times New Roman" w:cs="Times New Roman"/>
          <w:szCs w:val="24"/>
        </w:rPr>
        <w:t>will conduct the review during</w:t>
      </w:r>
      <w:r w:rsidRPr="00AA4677">
        <w:rPr>
          <w:rFonts w:eastAsia="Times New Roman" w:cs="Times New Roman"/>
          <w:szCs w:val="24"/>
        </w:rPr>
        <w:t xml:space="preserve"> the next scheduled meeting. The </w:t>
      </w:r>
      <w:r w:rsidR="00EE7207" w:rsidRPr="00AA4677">
        <w:rPr>
          <w:rFonts w:eastAsia="Times New Roman" w:cs="Times New Roman"/>
          <w:szCs w:val="24"/>
        </w:rPr>
        <w:t>IRB</w:t>
      </w:r>
      <w:r w:rsidR="00CF544E" w:rsidRPr="00AA4677">
        <w:rPr>
          <w:rFonts w:eastAsia="Times New Roman" w:cs="Times New Roman"/>
          <w:szCs w:val="24"/>
        </w:rPr>
        <w:t xml:space="preserve"> C</w:t>
      </w:r>
      <w:r w:rsidRPr="00AA4677">
        <w:rPr>
          <w:rFonts w:eastAsia="Times New Roman" w:cs="Times New Roman"/>
          <w:szCs w:val="24"/>
        </w:rPr>
        <w:t xml:space="preserve">hair will consider all documents relevant to the allegation, and all documents pertaining to the study (available in the </w:t>
      </w:r>
      <w:r w:rsidR="00DC5138" w:rsidRPr="00AA4677">
        <w:rPr>
          <w:rFonts w:eastAsia="Times New Roman" w:cs="Times New Roman"/>
          <w:szCs w:val="24"/>
        </w:rPr>
        <w:t>electronic management system</w:t>
      </w:r>
      <w:r w:rsidRPr="00AA4677">
        <w:rPr>
          <w:rFonts w:eastAsia="Times New Roman" w:cs="Times New Roman"/>
          <w:szCs w:val="24"/>
        </w:rPr>
        <w:t xml:space="preserve">). </w:t>
      </w:r>
      <w:r w:rsidR="00633BC0" w:rsidRPr="00AA4677">
        <w:rPr>
          <w:rFonts w:eastAsia="Times New Roman" w:cs="Times New Roman"/>
          <w:szCs w:val="24"/>
        </w:rPr>
        <w:t>The Chair</w:t>
      </w:r>
      <w:r w:rsidR="00AE682E" w:rsidRPr="00AA4677">
        <w:rPr>
          <w:rFonts w:eastAsia="Times New Roman" w:cs="Times New Roman"/>
          <w:szCs w:val="24"/>
        </w:rPr>
        <w:t xml:space="preserve"> or another IRB member with expertise</w:t>
      </w:r>
      <w:r w:rsidR="00633BC0" w:rsidRPr="00AA4677">
        <w:rPr>
          <w:rFonts w:eastAsia="Times New Roman" w:cs="Times New Roman"/>
          <w:szCs w:val="24"/>
        </w:rPr>
        <w:t xml:space="preserve"> upon initial review of the allegation will determine whether the allegation </w:t>
      </w:r>
      <w:r w:rsidR="00633BC0" w:rsidRPr="00AA4677">
        <w:t xml:space="preserve">has a basis in fact. </w:t>
      </w:r>
      <w:r w:rsidRPr="00AA4677">
        <w:rPr>
          <w:rFonts w:eastAsia="Times New Roman" w:cs="Times New Roman"/>
          <w:szCs w:val="24"/>
        </w:rPr>
        <w:t>Where there exists a situation in which the noncompliance may affect subject safety, the</w:t>
      </w:r>
      <w:r w:rsidR="00CF544E"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Chair</w:t>
      </w:r>
      <w:r w:rsidR="003C74A3" w:rsidRPr="00AA4677">
        <w:rPr>
          <w:rFonts w:eastAsia="Times New Roman" w:cs="Times New Roman"/>
          <w:szCs w:val="24"/>
        </w:rPr>
        <w:t xml:space="preserve"> and </w:t>
      </w:r>
      <w:r w:rsidR="005C33BD" w:rsidRPr="00AA4677">
        <w:rPr>
          <w:rFonts w:eastAsia="Times New Roman" w:cs="Times New Roman"/>
          <w:szCs w:val="24"/>
        </w:rPr>
        <w:t>(</w:t>
      </w:r>
      <w:r w:rsidR="003C74A3" w:rsidRPr="00AA4677">
        <w:rPr>
          <w:rFonts w:eastAsia="Times New Roman" w:cs="Times New Roman"/>
          <w:szCs w:val="24"/>
        </w:rPr>
        <w:t>in his or her absence</w:t>
      </w:r>
      <w:r w:rsidR="005C33BD" w:rsidRPr="00AA4677">
        <w:rPr>
          <w:rFonts w:eastAsia="Times New Roman" w:cs="Times New Roman"/>
          <w:szCs w:val="24"/>
        </w:rPr>
        <w:t>)</w:t>
      </w:r>
      <w:r w:rsidR="003C74A3" w:rsidRPr="00AA4677">
        <w:rPr>
          <w:rFonts w:eastAsia="Times New Roman" w:cs="Times New Roman"/>
          <w:szCs w:val="24"/>
        </w:rPr>
        <w:t>, the</w:t>
      </w:r>
      <w:r w:rsidR="005C33BD" w:rsidRPr="00AA4677">
        <w:rPr>
          <w:rFonts w:eastAsia="Times New Roman" w:cs="Times New Roman"/>
          <w:szCs w:val="24"/>
        </w:rPr>
        <w:t xml:space="preserve"> </w:t>
      </w:r>
      <w:r w:rsidR="00C66572" w:rsidRPr="00AA4677">
        <w:rPr>
          <w:rFonts w:eastAsia="Times New Roman" w:cs="Times New Roman"/>
          <w:szCs w:val="24"/>
        </w:rPr>
        <w:t xml:space="preserve">AVP-RC </w:t>
      </w:r>
      <w:r w:rsidR="005C33BD" w:rsidRPr="00AA4677">
        <w:rPr>
          <w:rFonts w:eastAsia="Times New Roman" w:cs="Times New Roman"/>
          <w:szCs w:val="24"/>
        </w:rPr>
        <w:t xml:space="preserve">or </w:t>
      </w:r>
      <w:r w:rsidR="005C33BD" w:rsidRPr="00AA4677">
        <w:rPr>
          <w:rFonts w:eastAsia="Times New Roman" w:cs="Times New Roman"/>
          <w:szCs w:val="24"/>
        </w:rPr>
        <w:lastRenderedPageBreak/>
        <w:t>the</w:t>
      </w:r>
      <w:r w:rsidR="003C74A3" w:rsidRPr="00AA4677">
        <w:rPr>
          <w:rFonts w:eastAsia="Times New Roman" w:cs="Times New Roman"/>
          <w:szCs w:val="24"/>
        </w:rPr>
        <w:t xml:space="preserve"> IO</w:t>
      </w:r>
      <w:r w:rsidRPr="00AA4677">
        <w:rPr>
          <w:rFonts w:eastAsia="Times New Roman" w:cs="Times New Roman"/>
          <w:szCs w:val="24"/>
        </w:rPr>
        <w:t xml:space="preserve"> </w:t>
      </w:r>
      <w:r w:rsidR="005C33BD" w:rsidRPr="00AA4677">
        <w:rPr>
          <w:rFonts w:eastAsia="Times New Roman" w:cs="Times New Roman"/>
          <w:szCs w:val="24"/>
        </w:rPr>
        <w:t>are</w:t>
      </w:r>
      <w:r w:rsidRPr="00AA4677">
        <w:rPr>
          <w:rFonts w:eastAsia="Times New Roman" w:cs="Times New Roman"/>
          <w:szCs w:val="24"/>
        </w:rPr>
        <w:t xml:space="preserve"> empowered to require immediate, appropriate action (e.g. study suspension, enrollment suspension) prior to full committee review.  </w:t>
      </w:r>
    </w:p>
    <w:p w14:paraId="2AECFCDF" w14:textId="001555F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Allegations of non-compliance deemed by the </w:t>
      </w:r>
      <w:r w:rsidR="00EE7207" w:rsidRPr="00AA4677">
        <w:rPr>
          <w:rFonts w:eastAsia="Times New Roman" w:cs="Times New Roman"/>
          <w:szCs w:val="24"/>
        </w:rPr>
        <w:t>IRB</w:t>
      </w:r>
      <w:r w:rsidR="00CF544E" w:rsidRPr="00AA4677">
        <w:rPr>
          <w:rFonts w:eastAsia="Times New Roman" w:cs="Times New Roman"/>
          <w:szCs w:val="24"/>
        </w:rPr>
        <w:t xml:space="preserve"> </w:t>
      </w:r>
      <w:r w:rsidRPr="00AA4677">
        <w:rPr>
          <w:rFonts w:eastAsia="Times New Roman" w:cs="Times New Roman"/>
          <w:szCs w:val="24"/>
        </w:rPr>
        <w:t>chair to have merit will be brought to the next meeting of the full committee for review. Where the allegation is made against a specific individual, that individual will be notified that an allegation of non-compliance has been made against him/her</w:t>
      </w:r>
      <w:r w:rsidR="000051C7" w:rsidRPr="00AA4677">
        <w:rPr>
          <w:rFonts w:eastAsia="Times New Roman" w:cs="Times New Roman"/>
          <w:szCs w:val="24"/>
        </w:rPr>
        <w:t xml:space="preserve"> by the IRB Chair or ORC staff</w:t>
      </w:r>
      <w:r w:rsidRPr="00AA4677">
        <w:rPr>
          <w:rFonts w:eastAsia="Times New Roman" w:cs="Times New Roman"/>
          <w:szCs w:val="24"/>
        </w:rPr>
        <w:t xml:space="preserve">, and will be given opportunity to respond before the meeting, </w:t>
      </w:r>
      <w:r w:rsidR="003C74A3" w:rsidRPr="00AA4677">
        <w:rPr>
          <w:rFonts w:eastAsia="Times New Roman" w:cs="Times New Roman"/>
          <w:szCs w:val="24"/>
        </w:rPr>
        <w:t xml:space="preserve">if </w:t>
      </w:r>
      <w:r w:rsidRPr="00AA4677">
        <w:rPr>
          <w:rFonts w:eastAsia="Times New Roman" w:cs="Times New Roman"/>
          <w:szCs w:val="24"/>
        </w:rPr>
        <w:t>possible.</w:t>
      </w:r>
    </w:p>
    <w:p w14:paraId="60ADB893" w14:textId="73084D98" w:rsidR="00FC174E" w:rsidRPr="00AA4677" w:rsidRDefault="00CF54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will review</w:t>
      </w:r>
      <w:r w:rsidR="00745A77" w:rsidRPr="00AA4677">
        <w:rPr>
          <w:rFonts w:eastAsia="Times New Roman" w:cs="Times New Roman"/>
          <w:szCs w:val="24"/>
        </w:rPr>
        <w:t xml:space="preserve"> all materials associated with</w:t>
      </w:r>
      <w:r w:rsidR="00FC174E" w:rsidRPr="00AA4677">
        <w:rPr>
          <w:rFonts w:eastAsia="Times New Roman" w:cs="Times New Roman"/>
          <w:szCs w:val="24"/>
        </w:rPr>
        <w:t xml:space="preserve"> the allegation and </w:t>
      </w:r>
      <w:proofErr w:type="gramStart"/>
      <w:r w:rsidR="00FC174E" w:rsidRPr="00AA4677">
        <w:rPr>
          <w:rFonts w:eastAsia="Times New Roman" w:cs="Times New Roman"/>
          <w:szCs w:val="24"/>
        </w:rPr>
        <w:t>make a determination</w:t>
      </w:r>
      <w:proofErr w:type="gramEnd"/>
      <w:r w:rsidR="00FC174E" w:rsidRPr="00AA4677">
        <w:rPr>
          <w:rFonts w:eastAsia="Times New Roman" w:cs="Times New Roman"/>
          <w:szCs w:val="24"/>
        </w:rPr>
        <w:t xml:space="preserve"> as to the truthfulness of the allegation.  In addition to possibly requesting more information </w:t>
      </w:r>
      <w:r w:rsidRPr="00AA4677">
        <w:rPr>
          <w:rFonts w:eastAsia="Times New Roman" w:cs="Times New Roman"/>
          <w:szCs w:val="24"/>
        </w:rPr>
        <w:t xml:space="preserve">from the reporting party, the </w:t>
      </w:r>
      <w:r w:rsidR="00EE7207" w:rsidRPr="00AA4677">
        <w:rPr>
          <w:rFonts w:eastAsia="Times New Roman" w:cs="Times New Roman"/>
          <w:szCs w:val="24"/>
        </w:rPr>
        <w:t>IRB</w:t>
      </w:r>
      <w:r w:rsidR="00FC174E" w:rsidRPr="00AA4677">
        <w:rPr>
          <w:rFonts w:eastAsia="Times New Roman" w:cs="Times New Roman"/>
          <w:szCs w:val="24"/>
        </w:rPr>
        <w:t xml:space="preserve"> may determine that additional expertise or assistance is required to make these determinations and may form an ad hoc committee to audit the research in </w:t>
      </w:r>
      <w:proofErr w:type="gramStart"/>
      <w:r w:rsidR="00FC174E" w:rsidRPr="00AA4677">
        <w:rPr>
          <w:rFonts w:eastAsia="Times New Roman" w:cs="Times New Roman"/>
          <w:szCs w:val="24"/>
        </w:rPr>
        <w:t>question, or</w:t>
      </w:r>
      <w:proofErr w:type="gramEnd"/>
      <w:r w:rsidR="00FC174E" w:rsidRPr="00AA4677">
        <w:rPr>
          <w:rFonts w:eastAsia="Times New Roman" w:cs="Times New Roman"/>
          <w:szCs w:val="24"/>
        </w:rPr>
        <w:t xml:space="preserve"> assist with the review and fact gathering process. The ad hoc committee results are transmitted via a written report to be read at a convened meeting, or the report can be verbal, where the ad hoc committee consists of ORC</w:t>
      </w:r>
      <w:r w:rsidR="00633BC0" w:rsidRPr="00AA4677">
        <w:rPr>
          <w:rFonts w:eastAsia="Times New Roman" w:cs="Times New Roman"/>
          <w:szCs w:val="24"/>
        </w:rPr>
        <w:t xml:space="preserve"> staff</w:t>
      </w:r>
      <w:r w:rsidR="00FC174E" w:rsidRPr="00AA4677">
        <w:rPr>
          <w:rFonts w:eastAsia="Times New Roman" w:cs="Times New Roman"/>
          <w:szCs w:val="24"/>
        </w:rPr>
        <w:t xml:space="preserve"> and/or </w:t>
      </w:r>
      <w:r w:rsidR="00EE7207" w:rsidRPr="00AA4677">
        <w:rPr>
          <w:rFonts w:eastAsia="Times New Roman" w:cs="Times New Roman"/>
          <w:szCs w:val="24"/>
        </w:rPr>
        <w:t>IRB</w:t>
      </w:r>
      <w:r w:rsidR="00FC174E" w:rsidRPr="00AA4677">
        <w:rPr>
          <w:rFonts w:eastAsia="Times New Roman" w:cs="Times New Roman"/>
          <w:szCs w:val="24"/>
        </w:rPr>
        <w:t xml:space="preserve"> members. </w:t>
      </w:r>
    </w:p>
    <w:p w14:paraId="038EB6C6" w14:textId="6831A33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When a determination is made that that noncompliance did not occur because the incident was within the limits of an approved protocol for the research involved, the determination is reported in writing to the PI and the reporting party (if applicable). The determination letter will be copi</w:t>
      </w:r>
      <w:r w:rsidR="00CF544E" w:rsidRPr="00AA4677">
        <w:rPr>
          <w:rFonts w:eastAsia="Times New Roman" w:cs="Times New Roman"/>
          <w:szCs w:val="24"/>
        </w:rPr>
        <w:t>ed to the IO</w:t>
      </w:r>
      <w:r w:rsidRPr="00AA4677">
        <w:rPr>
          <w:rFonts w:eastAsia="Times New Roman" w:cs="Times New Roman"/>
          <w:szCs w:val="24"/>
        </w:rPr>
        <w:t xml:space="preserve"> in cases where the I</w:t>
      </w:r>
      <w:r w:rsidR="00CF544E" w:rsidRPr="00AA4677">
        <w:rPr>
          <w:rFonts w:eastAsia="Times New Roman" w:cs="Times New Roman"/>
          <w:szCs w:val="24"/>
        </w:rPr>
        <w:t>O</w:t>
      </w:r>
      <w:r w:rsidRPr="00AA4677">
        <w:rPr>
          <w:rFonts w:eastAsia="Times New Roman" w:cs="Times New Roman"/>
          <w:szCs w:val="24"/>
        </w:rPr>
        <w:t xml:space="preserve"> and any other parties had been notified at the outset.</w:t>
      </w:r>
    </w:p>
    <w:p w14:paraId="15067577" w14:textId="7E31802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If a determination is made that</w:t>
      </w:r>
      <w:r w:rsidR="003C74A3" w:rsidRPr="00AA4677">
        <w:rPr>
          <w:rFonts w:eastAsia="Times New Roman" w:cs="Times New Roman"/>
          <w:szCs w:val="24"/>
        </w:rPr>
        <w:t xml:space="preserve"> </w:t>
      </w:r>
      <w:r w:rsidRPr="00AA4677">
        <w:rPr>
          <w:rFonts w:eastAsia="Times New Roman" w:cs="Times New Roman"/>
          <w:szCs w:val="24"/>
        </w:rPr>
        <w:t>the reported allegation of non-compliance is true, the non-compliance will be processed according to Section 10.4.2 Review of Findings of Non-compliance.</w:t>
      </w:r>
    </w:p>
    <w:p w14:paraId="33D51E2A" w14:textId="7BC26022" w:rsidR="00FC174E" w:rsidRPr="00AA4677" w:rsidRDefault="00FC174E" w:rsidP="00C57C98">
      <w:pPr>
        <w:pStyle w:val="Heading3"/>
      </w:pPr>
      <w:r w:rsidRPr="00AA4677">
        <w:t>10.4.2 Review of Findings of Non-compliance</w:t>
      </w:r>
    </w:p>
    <w:p w14:paraId="11F2F31F"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Noncompliance is not serious or continuing:</w:t>
      </w:r>
    </w:p>
    <w:p w14:paraId="3065B924" w14:textId="63345D7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w:t>
      </w:r>
      <w:r w:rsidR="00CF544E"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determines that the noncompliance occurred, but the noncompliance does not meet definition of serious or continuing noncompliance, the determination is reported in writing to the PI (and if applicable the reporting party)</w:t>
      </w:r>
      <w:r w:rsidR="000051C7" w:rsidRPr="00AA4677">
        <w:rPr>
          <w:rFonts w:eastAsia="Times New Roman" w:cs="Times New Roman"/>
          <w:szCs w:val="24"/>
        </w:rPr>
        <w:t xml:space="preserve"> by the ORC staff</w:t>
      </w:r>
      <w:r w:rsidRPr="00AA4677">
        <w:rPr>
          <w:rFonts w:eastAsia="Times New Roman" w:cs="Times New Roman"/>
          <w:szCs w:val="24"/>
        </w:rPr>
        <w:t xml:space="preserve">, with </w:t>
      </w:r>
      <w:r w:rsidR="000051C7" w:rsidRPr="00AA4677">
        <w:rPr>
          <w:rFonts w:eastAsia="Times New Roman" w:cs="Times New Roman"/>
          <w:szCs w:val="24"/>
        </w:rPr>
        <w:t xml:space="preserve">the </w:t>
      </w:r>
      <w:r w:rsidRPr="00AA4677">
        <w:rPr>
          <w:rFonts w:eastAsia="Times New Roman" w:cs="Times New Roman"/>
          <w:szCs w:val="24"/>
        </w:rPr>
        <w:t xml:space="preserve">requirement for the development of a corrective action plan, as deemed necessary, to prevent future noncompliance. If the PI refuses to </w:t>
      </w:r>
      <w:proofErr w:type="gramStart"/>
      <w:r w:rsidRPr="00AA4677">
        <w:rPr>
          <w:rFonts w:eastAsia="Times New Roman" w:cs="Times New Roman"/>
          <w:szCs w:val="24"/>
        </w:rPr>
        <w:t>cooperative</w:t>
      </w:r>
      <w:proofErr w:type="gramEnd"/>
      <w:r w:rsidRPr="00AA4677">
        <w:rPr>
          <w:rFonts w:eastAsia="Times New Roman" w:cs="Times New Roman"/>
          <w:szCs w:val="24"/>
        </w:rPr>
        <w:t xml:space="preserve"> with the corrective action plan, the matter is referred to a convened meeting of </w:t>
      </w:r>
      <w:r w:rsidR="00CF544E"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with notification to the IO</w:t>
      </w:r>
      <w:r w:rsidR="005C33BD" w:rsidRPr="00AA4677">
        <w:rPr>
          <w:rFonts w:eastAsia="Times New Roman" w:cs="Times New Roman"/>
          <w:szCs w:val="24"/>
        </w:rPr>
        <w:t xml:space="preserve"> if deemed appropriate</w:t>
      </w:r>
      <w:r w:rsidRPr="00AA4677">
        <w:rPr>
          <w:rFonts w:eastAsia="Times New Roman" w:cs="Times New Roman"/>
          <w:szCs w:val="24"/>
        </w:rPr>
        <w:t>.</w:t>
      </w:r>
    </w:p>
    <w:p w14:paraId="497C5B7E"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Serious or Continuing Noncompliance</w:t>
      </w:r>
    </w:p>
    <w:p w14:paraId="42CEBA34" w14:textId="6B64DB68" w:rsidR="00FC174E" w:rsidRPr="00AA4677" w:rsidRDefault="00633BC0" w:rsidP="00CF544E">
      <w:p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 xml:space="preserve">Documents will be sent to all members of the IRB. </w:t>
      </w:r>
      <w:r w:rsidR="00FC174E" w:rsidRPr="00AA4677">
        <w:rPr>
          <w:rFonts w:eastAsia="Times New Roman" w:cs="Times New Roman"/>
          <w:szCs w:val="24"/>
        </w:rPr>
        <w:t xml:space="preserve">When </w:t>
      </w:r>
      <w:r w:rsidR="00CF544E"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determines that noncompliance has occurred and that the noncompliance meets the definition of serious or continuing noncompliance, they may:  </w:t>
      </w:r>
    </w:p>
    <w:p w14:paraId="0FCA3708" w14:textId="4FFAD9D3"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Require submission of a corrective action plan from the </w:t>
      </w:r>
      <w:proofErr w:type="gramStart"/>
      <w:r w:rsidRPr="00AA4677">
        <w:rPr>
          <w:rFonts w:eastAsia="Times New Roman" w:cs="Times New Roman"/>
          <w:szCs w:val="24"/>
        </w:rPr>
        <w:t>PI</w:t>
      </w:r>
      <w:r w:rsidR="00CF544E" w:rsidRPr="00AA4677">
        <w:rPr>
          <w:rFonts w:eastAsia="Times New Roman" w:cs="Times New Roman"/>
          <w:szCs w:val="24"/>
        </w:rPr>
        <w:t>;</w:t>
      </w:r>
      <w:proofErr w:type="gramEnd"/>
    </w:p>
    <w:p w14:paraId="5BADF516" w14:textId="7B0C97C0"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Require re-training in human subject </w:t>
      </w:r>
      <w:proofErr w:type="gramStart"/>
      <w:r w:rsidRPr="00AA4677">
        <w:rPr>
          <w:rFonts w:eastAsia="Times New Roman" w:cs="Times New Roman"/>
          <w:szCs w:val="24"/>
        </w:rPr>
        <w:t>protections</w:t>
      </w:r>
      <w:r w:rsidR="00CF544E" w:rsidRPr="00AA4677">
        <w:rPr>
          <w:rFonts w:eastAsia="Times New Roman" w:cs="Times New Roman"/>
          <w:szCs w:val="24"/>
        </w:rPr>
        <w:t>;</w:t>
      </w:r>
      <w:proofErr w:type="gramEnd"/>
    </w:p>
    <w:p w14:paraId="3BA03C43" w14:textId="2D269950"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Direct that a for-cause (directed) audit be conducted of all the PI’s research activities, and/</w:t>
      </w:r>
      <w:proofErr w:type="gramStart"/>
      <w:r w:rsidRPr="00AA4677">
        <w:rPr>
          <w:rFonts w:eastAsia="Times New Roman" w:cs="Times New Roman"/>
          <w:szCs w:val="24"/>
        </w:rPr>
        <w:t>or</w:t>
      </w:r>
      <w:r w:rsidR="00CF544E" w:rsidRPr="00AA4677">
        <w:rPr>
          <w:rFonts w:eastAsia="Times New Roman" w:cs="Times New Roman"/>
          <w:szCs w:val="24"/>
        </w:rPr>
        <w:t>;</w:t>
      </w:r>
      <w:proofErr w:type="gramEnd"/>
    </w:p>
    <w:p w14:paraId="0D34A611" w14:textId="64FC392C" w:rsidR="00FC174E" w:rsidRPr="00AA4677" w:rsidRDefault="000051C7"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Notification of appropriate institutional officials i</w:t>
      </w:r>
      <w:r w:rsidR="00FC174E" w:rsidRPr="00AA4677">
        <w:rPr>
          <w:rFonts w:eastAsia="Times New Roman" w:cs="Times New Roman"/>
          <w:szCs w:val="24"/>
        </w:rPr>
        <w:t>n cases where other University policies may have been violated (e.g. s</w:t>
      </w:r>
      <w:r w:rsidR="00CF544E" w:rsidRPr="00AA4677">
        <w:rPr>
          <w:rFonts w:eastAsia="Times New Roman" w:cs="Times New Roman"/>
          <w:szCs w:val="24"/>
        </w:rPr>
        <w:t>cholarly misconduct, financial d</w:t>
      </w:r>
      <w:r w:rsidR="00FC174E" w:rsidRPr="00AA4677">
        <w:rPr>
          <w:rFonts w:eastAsia="Times New Roman" w:cs="Times New Roman"/>
          <w:szCs w:val="24"/>
        </w:rPr>
        <w:t>isclosure/COI</w:t>
      </w:r>
      <w:r w:rsidR="00CF544E" w:rsidRPr="00AA4677">
        <w:rPr>
          <w:rFonts w:eastAsia="Times New Roman" w:cs="Times New Roman"/>
          <w:szCs w:val="24"/>
        </w:rPr>
        <w:t>,</w:t>
      </w:r>
      <w:r w:rsidR="00FC174E" w:rsidRPr="00AA4677">
        <w:rPr>
          <w:rFonts w:eastAsia="Times New Roman" w:cs="Times New Roman"/>
          <w:szCs w:val="24"/>
        </w:rPr>
        <w:t xml:space="preserve"> etc</w:t>
      </w:r>
      <w:r w:rsidR="00CF544E" w:rsidRPr="00AA4677">
        <w:rPr>
          <w:rFonts w:eastAsia="Times New Roman" w:cs="Times New Roman"/>
          <w:szCs w:val="24"/>
        </w:rPr>
        <w:t>.</w:t>
      </w:r>
      <w:proofErr w:type="gramStart"/>
      <w:r w:rsidRPr="00AA4677">
        <w:rPr>
          <w:rFonts w:eastAsia="Times New Roman" w:cs="Times New Roman"/>
          <w:szCs w:val="24"/>
        </w:rPr>
        <w:t>)</w:t>
      </w:r>
      <w:r w:rsidR="00CF544E" w:rsidRPr="00AA4677">
        <w:rPr>
          <w:rFonts w:eastAsia="Times New Roman" w:cs="Times New Roman"/>
          <w:szCs w:val="24"/>
        </w:rPr>
        <w:t>;</w:t>
      </w:r>
      <w:proofErr w:type="gramEnd"/>
      <w:r w:rsidR="00FC174E" w:rsidRPr="00AA4677">
        <w:rPr>
          <w:rFonts w:eastAsia="Times New Roman" w:cs="Times New Roman"/>
          <w:szCs w:val="24"/>
        </w:rPr>
        <w:t> </w:t>
      </w:r>
    </w:p>
    <w:p w14:paraId="37D397D8" w14:textId="59504140" w:rsidR="00FC174E" w:rsidRPr="00AA4677" w:rsidRDefault="000051C7"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I</w:t>
      </w:r>
      <w:r w:rsidR="00FC174E" w:rsidRPr="00AA4677">
        <w:rPr>
          <w:rFonts w:eastAsia="Times New Roman" w:cs="Times New Roman"/>
          <w:szCs w:val="24"/>
        </w:rPr>
        <w:t xml:space="preserve">ncrease in data and safety monitoring of the research </w:t>
      </w:r>
      <w:proofErr w:type="gramStart"/>
      <w:r w:rsidR="00FC174E" w:rsidRPr="00AA4677">
        <w:rPr>
          <w:rFonts w:eastAsia="Times New Roman" w:cs="Times New Roman"/>
          <w:szCs w:val="24"/>
        </w:rPr>
        <w:t>activity</w:t>
      </w:r>
      <w:r w:rsidR="00CF544E" w:rsidRPr="00AA4677">
        <w:rPr>
          <w:rFonts w:eastAsia="Times New Roman" w:cs="Times New Roman"/>
          <w:szCs w:val="24"/>
        </w:rPr>
        <w:t>;</w:t>
      </w:r>
      <w:proofErr w:type="gramEnd"/>
    </w:p>
    <w:p w14:paraId="4B74FFC0" w14:textId="4DFEF4DB"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Request a status report after each </w:t>
      </w:r>
      <w:r w:rsidR="00BF7470" w:rsidRPr="00AA4677">
        <w:rPr>
          <w:rFonts w:eastAsia="Times New Roman" w:cs="Times New Roman"/>
          <w:szCs w:val="24"/>
        </w:rPr>
        <w:t>subject</w:t>
      </w:r>
      <w:r w:rsidRPr="00AA4677">
        <w:rPr>
          <w:rFonts w:eastAsia="Times New Roman" w:cs="Times New Roman"/>
          <w:szCs w:val="24"/>
        </w:rPr>
        <w:t xml:space="preserve"> receives intervention</w:t>
      </w:r>
    </w:p>
    <w:p w14:paraId="62845120" w14:textId="42867C57"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Modify the study’s continuing review </w:t>
      </w:r>
      <w:proofErr w:type="gramStart"/>
      <w:r w:rsidRPr="00AA4677">
        <w:rPr>
          <w:rFonts w:eastAsia="Times New Roman" w:cs="Times New Roman"/>
          <w:szCs w:val="24"/>
        </w:rPr>
        <w:t>cycle</w:t>
      </w:r>
      <w:r w:rsidR="00CF544E" w:rsidRPr="00AA4677">
        <w:rPr>
          <w:rFonts w:eastAsia="Times New Roman" w:cs="Times New Roman"/>
          <w:szCs w:val="24"/>
        </w:rPr>
        <w:t>;</w:t>
      </w:r>
      <w:proofErr w:type="gramEnd"/>
    </w:p>
    <w:p w14:paraId="09291371" w14:textId="3C5CE6FA"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Notify current subjects, if the information about the non-compliance might affect their willingness to continue </w:t>
      </w:r>
      <w:proofErr w:type="gramStart"/>
      <w:r w:rsidRPr="00AA4677">
        <w:rPr>
          <w:rFonts w:eastAsia="Times New Roman" w:cs="Times New Roman"/>
          <w:szCs w:val="24"/>
        </w:rPr>
        <w:t>participation</w:t>
      </w:r>
      <w:r w:rsidR="00CF544E" w:rsidRPr="00AA4677">
        <w:rPr>
          <w:rFonts w:eastAsia="Times New Roman" w:cs="Times New Roman"/>
          <w:szCs w:val="24"/>
        </w:rPr>
        <w:t>;</w:t>
      </w:r>
      <w:proofErr w:type="gramEnd"/>
    </w:p>
    <w:p w14:paraId="07DB8F3A" w14:textId="0A8CF9BE"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Require modification of the </w:t>
      </w:r>
      <w:proofErr w:type="gramStart"/>
      <w:r w:rsidRPr="00AA4677">
        <w:rPr>
          <w:rFonts w:eastAsia="Times New Roman" w:cs="Times New Roman"/>
          <w:szCs w:val="24"/>
        </w:rPr>
        <w:t>protocol</w:t>
      </w:r>
      <w:r w:rsidR="00CF544E" w:rsidRPr="00AA4677">
        <w:rPr>
          <w:rFonts w:eastAsia="Times New Roman" w:cs="Times New Roman"/>
          <w:szCs w:val="24"/>
        </w:rPr>
        <w:t>;</w:t>
      </w:r>
      <w:proofErr w:type="gramEnd"/>
    </w:p>
    <w:p w14:paraId="0D1247E4" w14:textId="36CB9813"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Require modification of the information disclose</w:t>
      </w:r>
      <w:r w:rsidR="00CF544E" w:rsidRPr="00AA4677">
        <w:rPr>
          <w:rFonts w:eastAsia="Times New Roman" w:cs="Times New Roman"/>
          <w:szCs w:val="24"/>
        </w:rPr>
        <w:t xml:space="preserve">d during the consent </w:t>
      </w:r>
      <w:proofErr w:type="gramStart"/>
      <w:r w:rsidR="00CF544E" w:rsidRPr="00AA4677">
        <w:rPr>
          <w:rFonts w:eastAsia="Times New Roman" w:cs="Times New Roman"/>
          <w:szCs w:val="24"/>
        </w:rPr>
        <w:t>process;</w:t>
      </w:r>
      <w:proofErr w:type="gramEnd"/>
    </w:p>
    <w:p w14:paraId="115CA290" w14:textId="7D8438EC"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Require current </w:t>
      </w:r>
      <w:r w:rsidR="00BF7470" w:rsidRPr="00AA4677">
        <w:rPr>
          <w:rFonts w:eastAsia="Times New Roman" w:cs="Times New Roman"/>
          <w:szCs w:val="24"/>
        </w:rPr>
        <w:t>subject</w:t>
      </w:r>
      <w:r w:rsidRPr="00AA4677">
        <w:rPr>
          <w:rFonts w:eastAsia="Times New Roman" w:cs="Times New Roman"/>
          <w:szCs w:val="24"/>
        </w:rPr>
        <w:t>s</w:t>
      </w:r>
      <w:r w:rsidR="00CF544E" w:rsidRPr="00AA4677">
        <w:rPr>
          <w:rFonts w:eastAsia="Times New Roman" w:cs="Times New Roman"/>
          <w:szCs w:val="24"/>
        </w:rPr>
        <w:t xml:space="preserve"> to re-consent to </w:t>
      </w:r>
      <w:proofErr w:type="gramStart"/>
      <w:r w:rsidR="00CF544E" w:rsidRPr="00AA4677">
        <w:rPr>
          <w:rFonts w:eastAsia="Times New Roman" w:cs="Times New Roman"/>
          <w:szCs w:val="24"/>
        </w:rPr>
        <w:t>participation;</w:t>
      </w:r>
      <w:proofErr w:type="gramEnd"/>
    </w:p>
    <w:p w14:paraId="29D532A6" w14:textId="77777777"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Suspend the study (See below); or</w:t>
      </w:r>
    </w:p>
    <w:p w14:paraId="7304D6F4" w14:textId="77777777" w:rsidR="00FC174E" w:rsidRPr="00AA4677" w:rsidRDefault="00FC174E" w:rsidP="00C129F1">
      <w:pPr>
        <w:numPr>
          <w:ilvl w:val="0"/>
          <w:numId w:val="44"/>
        </w:numPr>
        <w:shd w:val="clear" w:color="auto" w:fill="FFFFFF"/>
        <w:spacing w:after="0" w:line="240" w:lineRule="auto"/>
        <w:rPr>
          <w:rFonts w:eastAsia="Times New Roman" w:cs="Times New Roman"/>
          <w:szCs w:val="24"/>
        </w:rPr>
      </w:pPr>
      <w:r w:rsidRPr="00AA4677">
        <w:rPr>
          <w:rFonts w:eastAsia="Times New Roman" w:cs="Times New Roman"/>
          <w:szCs w:val="24"/>
        </w:rPr>
        <w:t>Terminate the study (See below)</w:t>
      </w:r>
    </w:p>
    <w:p w14:paraId="614D3251" w14:textId="4EF0887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cases where </w:t>
      </w:r>
      <w:r w:rsidR="00CF544E" w:rsidRPr="00AA4677">
        <w:rPr>
          <w:rFonts w:eastAsia="Times New Roman" w:cs="Times New Roman"/>
          <w:szCs w:val="24"/>
        </w:rPr>
        <w:t xml:space="preserve">the </w:t>
      </w:r>
      <w:r w:rsidR="00EE7207" w:rsidRPr="00AA4677">
        <w:rPr>
          <w:rFonts w:eastAsia="Times New Roman" w:cs="Times New Roman"/>
          <w:szCs w:val="24"/>
        </w:rPr>
        <w:t>IRB</w:t>
      </w:r>
      <w:r w:rsidR="00CF544E" w:rsidRPr="00AA4677">
        <w:rPr>
          <w:rFonts w:eastAsia="Times New Roman" w:cs="Times New Roman"/>
          <w:szCs w:val="24"/>
        </w:rPr>
        <w:t xml:space="preserve"> </w:t>
      </w:r>
      <w:r w:rsidRPr="00AA4677">
        <w:rPr>
          <w:rFonts w:eastAsia="Times New Roman" w:cs="Times New Roman"/>
          <w:szCs w:val="24"/>
        </w:rPr>
        <w:t>determines that the event of noncompliance also meets the definition of unanticipated problem involving risks to subjects or others, the policy and procedure for review of such events will also be followed.</w:t>
      </w:r>
      <w:r w:rsidR="000051C7" w:rsidRPr="00AA4677">
        <w:rPr>
          <w:rFonts w:eastAsia="Times New Roman" w:cs="Times New Roman"/>
          <w:szCs w:val="24"/>
        </w:rPr>
        <w:t xml:space="preserve"> </w:t>
      </w:r>
      <w:r w:rsidRPr="00AA4677">
        <w:rPr>
          <w:rFonts w:eastAsia="Times New Roman" w:cs="Times New Roman"/>
          <w:szCs w:val="24"/>
        </w:rPr>
        <w:t xml:space="preserve">The investigator is informed of </w:t>
      </w:r>
      <w:r w:rsidR="00CF544E"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determination and the basis for the determination in writing</w:t>
      </w:r>
      <w:r w:rsidR="003C74A3" w:rsidRPr="00AA4677">
        <w:rPr>
          <w:rFonts w:eastAsia="Times New Roman" w:cs="Times New Roman"/>
          <w:szCs w:val="24"/>
        </w:rPr>
        <w:t>.</w:t>
      </w:r>
    </w:p>
    <w:p w14:paraId="5C3636BE" w14:textId="77777777" w:rsidR="00FC174E" w:rsidRPr="00AA4677" w:rsidRDefault="00FC174E" w:rsidP="005920B2">
      <w:pPr>
        <w:pStyle w:val="Heading1"/>
      </w:pPr>
      <w:bookmarkStart w:id="304" w:name="_Toc192678242"/>
      <w:r w:rsidRPr="00AA4677">
        <w:t>11 Reporting to Regulatory Agencies and Institutional Officials</w:t>
      </w:r>
      <w:bookmarkEnd w:id="304"/>
    </w:p>
    <w:p w14:paraId="26DEF822" w14:textId="4D2204E3" w:rsidR="00FC174E" w:rsidRPr="00AA4677" w:rsidRDefault="00FC174E" w:rsidP="00696B35">
      <w:pPr>
        <w:pStyle w:val="Heading2"/>
      </w:pPr>
      <w:bookmarkStart w:id="305" w:name="_Toc192678243"/>
      <w:r w:rsidRPr="00AA4677">
        <w:t>11.1 Policy</w:t>
      </w:r>
      <w:bookmarkEnd w:id="305"/>
    </w:p>
    <w:p w14:paraId="4143F2CA" w14:textId="0B17A3D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Federal regulations require prompt reporting to appropriate institutional officials, and the department or agency head of (i) any unanticipated problems involving risks to subjects or others or any serious or continuing noncompliance with this policy or the requirements or determinations of </w:t>
      </w:r>
      <w:r w:rsidR="006F682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(ii) any suspension or termination of </w:t>
      </w:r>
      <w:r w:rsidR="006F6825" w:rsidRPr="00AA4677">
        <w:rPr>
          <w:rFonts w:eastAsia="Times New Roman" w:cs="Times New Roman"/>
          <w:szCs w:val="24"/>
        </w:rPr>
        <w:t xml:space="preserve">the </w:t>
      </w:r>
      <w:r w:rsidR="00EE7207" w:rsidRPr="00AA4677">
        <w:rPr>
          <w:rFonts w:eastAsia="Times New Roman" w:cs="Times New Roman"/>
          <w:szCs w:val="24"/>
        </w:rPr>
        <w:t>IRB</w:t>
      </w:r>
      <w:r w:rsidR="000051C7" w:rsidRPr="00AA4677">
        <w:rPr>
          <w:rFonts w:eastAsia="Times New Roman" w:cs="Times New Roman"/>
          <w:szCs w:val="24"/>
        </w:rPr>
        <w:t xml:space="preserve"> approval.  Stony Brook</w:t>
      </w:r>
      <w:r w:rsidRPr="00AA4677">
        <w:rPr>
          <w:rFonts w:eastAsia="Times New Roman" w:cs="Times New Roman"/>
          <w:szCs w:val="24"/>
        </w:rPr>
        <w:t xml:space="preserve"> </w:t>
      </w:r>
      <w:r w:rsidR="006F6825" w:rsidRPr="00AA4677">
        <w:rPr>
          <w:rFonts w:eastAsia="Times New Roman" w:cs="Times New Roman"/>
          <w:szCs w:val="24"/>
        </w:rPr>
        <w:t xml:space="preserve">University </w:t>
      </w:r>
      <w:r w:rsidRPr="00AA4677">
        <w:rPr>
          <w:rFonts w:eastAsia="Times New Roman" w:cs="Times New Roman"/>
          <w:szCs w:val="24"/>
        </w:rPr>
        <w:t>HRPP will comply with this requirement and the following procedures describe how these reports are handled.</w:t>
      </w:r>
    </w:p>
    <w:p w14:paraId="66C5FB95" w14:textId="77777777" w:rsidR="00FC174E" w:rsidRPr="00AA4677" w:rsidRDefault="00FC174E" w:rsidP="00696B35">
      <w:pPr>
        <w:pStyle w:val="Heading2"/>
      </w:pPr>
      <w:bookmarkStart w:id="306" w:name="_Toc192678244"/>
      <w:r w:rsidRPr="00AA4677">
        <w:t>11.2 Procedures</w:t>
      </w:r>
      <w:bookmarkEnd w:id="306"/>
    </w:p>
    <w:p w14:paraId="3682C9E1" w14:textId="11621EDD" w:rsidR="00FC174E" w:rsidRPr="00AA4677" w:rsidRDefault="006F6825" w:rsidP="00C129F1">
      <w:pPr>
        <w:numPr>
          <w:ilvl w:val="0"/>
          <w:numId w:val="45"/>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The IRB</w:t>
      </w:r>
      <w:r w:rsidR="00FC174E" w:rsidRPr="00AA4677">
        <w:rPr>
          <w:rFonts w:eastAsia="Times New Roman" w:cs="Times New Roman"/>
          <w:szCs w:val="24"/>
        </w:rPr>
        <w:t xml:space="preserve"> staff will </w:t>
      </w:r>
      <w:r w:rsidR="003C74A3" w:rsidRPr="00AA4677">
        <w:rPr>
          <w:rFonts w:eastAsia="Times New Roman" w:cs="Times New Roman"/>
          <w:szCs w:val="24"/>
        </w:rPr>
        <w:t xml:space="preserve">notify the IO of ‘reportable’ determinations by the IRBs (i.e., unanticipated problems involving risks to subjects or others, serious/continuing non-compliance, suspensions, terminations) as soon as possible after the meeting in question. </w:t>
      </w:r>
    </w:p>
    <w:p w14:paraId="7C46CFE2" w14:textId="4D4BB8FB" w:rsidR="00A4359A" w:rsidRPr="00AA4677" w:rsidRDefault="00A4359A" w:rsidP="00C129F1">
      <w:pPr>
        <w:numPr>
          <w:ilvl w:val="0"/>
          <w:numId w:val="45"/>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lastRenderedPageBreak/>
        <w:t xml:space="preserve">The IO is responsible for further approval or disapproval of </w:t>
      </w:r>
      <w:r w:rsidR="00717203" w:rsidRPr="00AA4677">
        <w:rPr>
          <w:rFonts w:eastAsia="Times New Roman" w:cs="Times New Roman"/>
          <w:szCs w:val="24"/>
        </w:rPr>
        <w:t>research</w:t>
      </w:r>
      <w:r w:rsidRPr="00AA4677">
        <w:rPr>
          <w:rFonts w:eastAsia="Times New Roman" w:cs="Times New Roman"/>
          <w:szCs w:val="24"/>
        </w:rPr>
        <w:t xml:space="preserve"> that is approved by the IRB</w:t>
      </w:r>
    </w:p>
    <w:p w14:paraId="52878292" w14:textId="38DA02B8" w:rsidR="00FC174E" w:rsidRPr="00AA4677" w:rsidRDefault="00FC174E" w:rsidP="00C129F1">
      <w:pPr>
        <w:numPr>
          <w:ilvl w:val="0"/>
          <w:numId w:val="45"/>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The IO or designee is responsible for preparing reports or letters which includes the following information</w:t>
      </w:r>
      <w:r w:rsidR="00551707" w:rsidRPr="00AA4677">
        <w:rPr>
          <w:rFonts w:eastAsia="Times New Roman" w:cs="Times New Roman"/>
          <w:szCs w:val="24"/>
        </w:rPr>
        <w:t>. The report will be sent within 30 days.</w:t>
      </w:r>
      <w:r w:rsidR="006E0871" w:rsidRPr="00AA4677">
        <w:rPr>
          <w:rFonts w:eastAsia="Times New Roman" w:cs="Times New Roman"/>
          <w:szCs w:val="24"/>
        </w:rPr>
        <w:t xml:space="preserve"> The maximum time allowed between the recognition of the reportable event and fulfilling reporting requirements is 180 days</w:t>
      </w:r>
      <w:r w:rsidRPr="00AA4677">
        <w:rPr>
          <w:rFonts w:eastAsia="Times New Roman" w:cs="Times New Roman"/>
          <w:szCs w:val="24"/>
        </w:rPr>
        <w:t>:</w:t>
      </w:r>
    </w:p>
    <w:p w14:paraId="75709A44" w14:textId="45C618D6" w:rsidR="00FC174E" w:rsidRPr="00AA4677" w:rsidRDefault="00FC174E">
      <w:pPr>
        <w:numPr>
          <w:ilvl w:val="0"/>
          <w:numId w:val="108"/>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The nature of the event (</w:t>
      </w:r>
      <w:r w:rsidR="006F6825" w:rsidRPr="00AA4677">
        <w:rPr>
          <w:rFonts w:eastAsia="Times New Roman" w:cs="Times New Roman"/>
          <w:szCs w:val="24"/>
        </w:rPr>
        <w:t>u</w:t>
      </w:r>
      <w:r w:rsidRPr="00AA4677">
        <w:rPr>
          <w:rFonts w:eastAsia="Times New Roman" w:cs="Times New Roman"/>
          <w:szCs w:val="24"/>
        </w:rPr>
        <w:t xml:space="preserve">nanticipated problem involving risks to </w:t>
      </w:r>
      <w:r w:rsidR="00BF7470" w:rsidRPr="00AA4677">
        <w:rPr>
          <w:rFonts w:eastAsia="Times New Roman" w:cs="Times New Roman"/>
          <w:szCs w:val="24"/>
        </w:rPr>
        <w:t>subject</w:t>
      </w:r>
      <w:r w:rsidRPr="00AA4677">
        <w:rPr>
          <w:rFonts w:eastAsia="Times New Roman" w:cs="Times New Roman"/>
          <w:szCs w:val="24"/>
        </w:rPr>
        <w:t>s or others, serious or continuing non-compliance, suspension or termination of approval of research</w:t>
      </w:r>
      <w:proofErr w:type="gramStart"/>
      <w:r w:rsidRPr="00AA4677">
        <w:rPr>
          <w:rFonts w:eastAsia="Times New Roman" w:cs="Times New Roman"/>
          <w:szCs w:val="24"/>
        </w:rPr>
        <w:t>)</w:t>
      </w:r>
      <w:r w:rsidR="006F6825" w:rsidRPr="00AA4677">
        <w:rPr>
          <w:rFonts w:eastAsia="Times New Roman" w:cs="Times New Roman"/>
          <w:szCs w:val="24"/>
        </w:rPr>
        <w:t>;</w:t>
      </w:r>
      <w:proofErr w:type="gramEnd"/>
    </w:p>
    <w:p w14:paraId="7BDB2659" w14:textId="35A2E098" w:rsidR="00FC174E" w:rsidRPr="00AA4677" w:rsidRDefault="00FC174E">
      <w:pPr>
        <w:numPr>
          <w:ilvl w:val="0"/>
          <w:numId w:val="108"/>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Title of the research project and/or grant proposal in which the problem </w:t>
      </w:r>
      <w:proofErr w:type="gramStart"/>
      <w:r w:rsidRPr="00AA4677">
        <w:rPr>
          <w:rFonts w:eastAsia="Times New Roman" w:cs="Times New Roman"/>
          <w:szCs w:val="24"/>
        </w:rPr>
        <w:t>occurred</w:t>
      </w:r>
      <w:r w:rsidR="006F6825" w:rsidRPr="00AA4677">
        <w:rPr>
          <w:rFonts w:eastAsia="Times New Roman" w:cs="Times New Roman"/>
          <w:szCs w:val="24"/>
        </w:rPr>
        <w:t>;</w:t>
      </w:r>
      <w:proofErr w:type="gramEnd"/>
    </w:p>
    <w:p w14:paraId="215B2A15" w14:textId="448F0A20" w:rsidR="00FC174E" w:rsidRPr="00AA4677" w:rsidRDefault="00FC174E">
      <w:pPr>
        <w:numPr>
          <w:ilvl w:val="0"/>
          <w:numId w:val="108"/>
        </w:num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Name of the principal investigator on the </w:t>
      </w:r>
      <w:proofErr w:type="gramStart"/>
      <w:r w:rsidRPr="00AA4677">
        <w:rPr>
          <w:rFonts w:eastAsia="Times New Roman" w:cs="Times New Roman"/>
          <w:szCs w:val="24"/>
        </w:rPr>
        <w:t>protocol</w:t>
      </w:r>
      <w:r w:rsidR="006F6825" w:rsidRPr="00AA4677">
        <w:rPr>
          <w:rFonts w:eastAsia="Times New Roman" w:cs="Times New Roman"/>
          <w:szCs w:val="24"/>
        </w:rPr>
        <w:t>;</w:t>
      </w:r>
      <w:proofErr w:type="gramEnd"/>
    </w:p>
    <w:p w14:paraId="416A23F2" w14:textId="5BB3B03E" w:rsidR="00FC174E" w:rsidRPr="00AA4677" w:rsidRDefault="00FC174E">
      <w:pPr>
        <w:numPr>
          <w:ilvl w:val="0"/>
          <w:numId w:val="108"/>
        </w:num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Number of the research project assigned by </w:t>
      </w:r>
      <w:r w:rsidR="006F682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the number of any applicable federal award(s) (grant, contract, or cooperative agreement</w:t>
      </w:r>
      <w:proofErr w:type="gramStart"/>
      <w:r w:rsidRPr="00AA4677">
        <w:rPr>
          <w:rFonts w:eastAsia="Times New Roman" w:cs="Times New Roman"/>
          <w:szCs w:val="24"/>
        </w:rPr>
        <w:t>)</w:t>
      </w:r>
      <w:r w:rsidR="006F6825" w:rsidRPr="00AA4677">
        <w:rPr>
          <w:rFonts w:eastAsia="Times New Roman" w:cs="Times New Roman"/>
          <w:szCs w:val="24"/>
        </w:rPr>
        <w:t>;</w:t>
      </w:r>
      <w:proofErr w:type="gramEnd"/>
    </w:p>
    <w:p w14:paraId="1FF1DD39" w14:textId="177D26F3" w:rsidR="00FC174E" w:rsidRPr="00AA4677" w:rsidRDefault="00FC174E">
      <w:pPr>
        <w:numPr>
          <w:ilvl w:val="0"/>
          <w:numId w:val="108"/>
        </w:num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A detailed description of the problem including the findings of the organization and the reasons for </w:t>
      </w:r>
      <w:r w:rsidR="006F6825"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’s </w:t>
      </w:r>
      <w:proofErr w:type="gramStart"/>
      <w:r w:rsidRPr="00AA4677">
        <w:rPr>
          <w:rFonts w:eastAsia="Times New Roman" w:cs="Times New Roman"/>
          <w:szCs w:val="24"/>
        </w:rPr>
        <w:t>decision</w:t>
      </w:r>
      <w:r w:rsidR="006F6825" w:rsidRPr="00AA4677">
        <w:rPr>
          <w:rFonts w:eastAsia="Times New Roman" w:cs="Times New Roman"/>
          <w:szCs w:val="24"/>
        </w:rPr>
        <w:t>;</w:t>
      </w:r>
      <w:proofErr w:type="gramEnd"/>
    </w:p>
    <w:p w14:paraId="1CC0932C" w14:textId="55E700AB" w:rsidR="00FC174E" w:rsidRPr="00AA4677" w:rsidRDefault="00FC174E">
      <w:pPr>
        <w:numPr>
          <w:ilvl w:val="0"/>
          <w:numId w:val="108"/>
        </w:numPr>
        <w:shd w:val="clear" w:color="auto" w:fill="FFFFFF"/>
        <w:spacing w:after="0" w:line="240" w:lineRule="auto"/>
        <w:ind w:left="360"/>
        <w:rPr>
          <w:rFonts w:eastAsia="Times New Roman" w:cs="Times New Roman"/>
          <w:szCs w:val="24"/>
        </w:rPr>
      </w:pPr>
      <w:r w:rsidRPr="00AA4677">
        <w:rPr>
          <w:rFonts w:eastAsia="Times New Roman" w:cs="Times New Roman"/>
          <w:szCs w:val="24"/>
        </w:rPr>
        <w:t>Actions the institution is taking or plans to take to address the problem (e.g., revise the protocol, suspend subject enrollment, terminate the research, revise the informed consent document, inform enrolled subjects, increase monitoring of subjects, etc.)</w:t>
      </w:r>
      <w:r w:rsidR="006F6825" w:rsidRPr="00AA4677">
        <w:rPr>
          <w:rFonts w:eastAsia="Times New Roman" w:cs="Times New Roman"/>
          <w:szCs w:val="24"/>
        </w:rPr>
        <w:t>; and</w:t>
      </w:r>
    </w:p>
    <w:p w14:paraId="22DAD30E" w14:textId="77777777" w:rsidR="00FC174E" w:rsidRPr="00AA4677" w:rsidRDefault="00FC174E">
      <w:pPr>
        <w:numPr>
          <w:ilvl w:val="0"/>
          <w:numId w:val="108"/>
        </w:num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Plans, if </w:t>
      </w:r>
      <w:proofErr w:type="gramStart"/>
      <w:r w:rsidRPr="00AA4677">
        <w:rPr>
          <w:rFonts w:eastAsia="Times New Roman" w:cs="Times New Roman"/>
          <w:szCs w:val="24"/>
        </w:rPr>
        <w:t>any</w:t>
      </w:r>
      <w:proofErr w:type="gramEnd"/>
      <w:r w:rsidRPr="00AA4677">
        <w:rPr>
          <w:rFonts w:eastAsia="Times New Roman" w:cs="Times New Roman"/>
          <w:szCs w:val="24"/>
        </w:rPr>
        <w:t>, to send a follow-up or final report by the earlier of</w:t>
      </w:r>
    </w:p>
    <w:p w14:paraId="3FDF9248" w14:textId="1A117372" w:rsidR="00FC174E" w:rsidRPr="00AA4677" w:rsidRDefault="00FC174E">
      <w:pPr>
        <w:numPr>
          <w:ilvl w:val="1"/>
          <w:numId w:val="109"/>
        </w:numPr>
        <w:shd w:val="clear" w:color="auto" w:fill="FFFFFF"/>
        <w:tabs>
          <w:tab w:val="clear" w:pos="1440"/>
          <w:tab w:val="num" w:pos="720"/>
        </w:tabs>
        <w:spacing w:after="0" w:line="240" w:lineRule="auto"/>
        <w:ind w:left="720"/>
        <w:rPr>
          <w:rFonts w:eastAsia="Times New Roman" w:cs="Times New Roman"/>
          <w:szCs w:val="24"/>
        </w:rPr>
      </w:pPr>
      <w:r w:rsidRPr="00AA4677">
        <w:rPr>
          <w:rFonts w:eastAsia="Times New Roman" w:cs="Times New Roman"/>
          <w:szCs w:val="24"/>
        </w:rPr>
        <w:t>A specific date</w:t>
      </w:r>
      <w:r w:rsidR="006F6825" w:rsidRPr="00AA4677">
        <w:rPr>
          <w:rFonts w:eastAsia="Times New Roman" w:cs="Times New Roman"/>
          <w:szCs w:val="24"/>
        </w:rPr>
        <w:t xml:space="preserve">, or </w:t>
      </w:r>
    </w:p>
    <w:p w14:paraId="7EFBB7F5" w14:textId="2A868F4B" w:rsidR="00FC174E" w:rsidRPr="00AA4677" w:rsidRDefault="00FC174E">
      <w:pPr>
        <w:numPr>
          <w:ilvl w:val="1"/>
          <w:numId w:val="109"/>
        </w:numPr>
        <w:shd w:val="clear" w:color="auto" w:fill="FFFFFF"/>
        <w:tabs>
          <w:tab w:val="clear" w:pos="1440"/>
          <w:tab w:val="num" w:pos="720"/>
        </w:tabs>
        <w:spacing w:after="0" w:line="240" w:lineRule="auto"/>
        <w:ind w:left="720"/>
        <w:rPr>
          <w:rFonts w:eastAsia="Times New Roman" w:cs="Times New Roman"/>
          <w:szCs w:val="24"/>
        </w:rPr>
      </w:pPr>
      <w:r w:rsidRPr="00AA4677">
        <w:rPr>
          <w:rFonts w:eastAsia="Times New Roman" w:cs="Times New Roman"/>
          <w:szCs w:val="24"/>
        </w:rPr>
        <w:t>When an investigation has been completed or a corrective action plan has been implemented</w:t>
      </w:r>
      <w:r w:rsidR="006F6825" w:rsidRPr="00AA4677">
        <w:rPr>
          <w:rFonts w:eastAsia="Times New Roman" w:cs="Times New Roman"/>
          <w:szCs w:val="24"/>
        </w:rPr>
        <w:t>.</w:t>
      </w:r>
    </w:p>
    <w:p w14:paraId="19CD301C" w14:textId="5E49EE7F" w:rsidR="00FC174E" w:rsidRPr="00AA4677" w:rsidRDefault="00FC174E" w:rsidP="00C129F1">
      <w:pPr>
        <w:numPr>
          <w:ilvl w:val="0"/>
          <w:numId w:val="45"/>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The </w:t>
      </w:r>
      <w:r w:rsidR="006F6825" w:rsidRPr="00AA4677">
        <w:rPr>
          <w:rFonts w:eastAsia="Times New Roman" w:cs="Times New Roman"/>
          <w:szCs w:val="24"/>
        </w:rPr>
        <w:t>IO</w:t>
      </w:r>
      <w:r w:rsidRPr="00AA4677">
        <w:rPr>
          <w:rFonts w:eastAsia="Times New Roman" w:cs="Times New Roman"/>
          <w:szCs w:val="24"/>
        </w:rPr>
        <w:t xml:space="preserve"> is the signatory for all correspondence from the </w:t>
      </w:r>
      <w:r w:rsidR="006F6825" w:rsidRPr="00AA4677">
        <w:rPr>
          <w:rFonts w:eastAsia="Times New Roman" w:cs="Times New Roman"/>
          <w:szCs w:val="24"/>
        </w:rPr>
        <w:t>University</w:t>
      </w:r>
      <w:r w:rsidRPr="00AA4677">
        <w:rPr>
          <w:rFonts w:eastAsia="Times New Roman" w:cs="Times New Roman"/>
          <w:szCs w:val="24"/>
        </w:rPr>
        <w:t>.</w:t>
      </w:r>
    </w:p>
    <w:p w14:paraId="6FBB709F" w14:textId="77777777" w:rsidR="00FC174E" w:rsidRPr="00AA4677" w:rsidRDefault="00FC174E" w:rsidP="00C129F1">
      <w:pPr>
        <w:numPr>
          <w:ilvl w:val="0"/>
          <w:numId w:val="45"/>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The IO or designee sends a copy of the report to the following federal agencies:</w:t>
      </w:r>
    </w:p>
    <w:p w14:paraId="04DC646C" w14:textId="296A9D4F" w:rsidR="00FC174E" w:rsidRPr="00AA4677" w:rsidRDefault="00FC174E">
      <w:pPr>
        <w:numPr>
          <w:ilvl w:val="0"/>
          <w:numId w:val="110"/>
        </w:numPr>
        <w:shd w:val="clear" w:color="auto" w:fill="FFFFFF"/>
        <w:spacing w:after="0" w:line="240" w:lineRule="auto"/>
        <w:ind w:left="360"/>
        <w:rPr>
          <w:rFonts w:eastAsia="Times New Roman" w:cs="Times New Roman"/>
          <w:szCs w:val="24"/>
        </w:rPr>
      </w:pPr>
      <w:r w:rsidRPr="00AA4677">
        <w:rPr>
          <w:rFonts w:eastAsia="Times New Roman" w:cs="Times New Roman"/>
          <w:szCs w:val="24"/>
        </w:rPr>
        <w:t>OHRP, if the study is subject to DHHS regulations or subject to a DHHS federalwide assurance</w:t>
      </w:r>
      <w:r w:rsidR="006F6825" w:rsidRPr="00AA4677">
        <w:rPr>
          <w:rFonts w:eastAsia="Times New Roman" w:cs="Times New Roman"/>
          <w:szCs w:val="24"/>
        </w:rPr>
        <w:t>.</w:t>
      </w:r>
    </w:p>
    <w:p w14:paraId="3793F0F0" w14:textId="77777777" w:rsidR="009A77B4" w:rsidRPr="00AA4677" w:rsidRDefault="009A77B4">
      <w:pPr>
        <w:numPr>
          <w:ilvl w:val="0"/>
          <w:numId w:val="110"/>
        </w:numPr>
        <w:spacing w:after="0" w:line="240" w:lineRule="auto"/>
        <w:ind w:left="360"/>
      </w:pPr>
      <w:r w:rsidRPr="00AA4677">
        <w:t>If the study is conducted or supported by a Common Rule agency other than DHHS, the report is sent to OHRP or the head of the federal agency, as required by the agency.</w:t>
      </w:r>
    </w:p>
    <w:p w14:paraId="7A21981E" w14:textId="7A05929F" w:rsidR="009A77B4" w:rsidRPr="00AA4677" w:rsidRDefault="009A77B4">
      <w:pPr>
        <w:numPr>
          <w:ilvl w:val="0"/>
          <w:numId w:val="110"/>
        </w:numPr>
        <w:spacing w:after="0" w:line="240" w:lineRule="auto"/>
        <w:ind w:left="360"/>
      </w:pPr>
      <w:r w:rsidRPr="00AA4677">
        <w:t>If the study is conducted or supported by a federal agency that has not adopted the Common Rule, and reporting is required, the report is sent to the party identified by the agency.</w:t>
      </w:r>
    </w:p>
    <w:p w14:paraId="16054300" w14:textId="77777777" w:rsidR="00FC174E" w:rsidRPr="00AA4677" w:rsidRDefault="00FC174E">
      <w:pPr>
        <w:numPr>
          <w:ilvl w:val="0"/>
          <w:numId w:val="110"/>
        </w:numPr>
        <w:shd w:val="clear" w:color="auto" w:fill="FFFFFF"/>
        <w:spacing w:after="0" w:line="240" w:lineRule="auto"/>
        <w:ind w:left="360"/>
        <w:rPr>
          <w:rFonts w:eastAsia="Times New Roman" w:cs="Times New Roman"/>
          <w:szCs w:val="24"/>
        </w:rPr>
      </w:pPr>
      <w:r w:rsidRPr="00AA4677">
        <w:rPr>
          <w:rFonts w:eastAsia="Times New Roman" w:cs="Times New Roman"/>
          <w:szCs w:val="24"/>
        </w:rPr>
        <w:t>FDA, if the study is subject to FDA regulations.</w:t>
      </w:r>
    </w:p>
    <w:p w14:paraId="5844F3BA" w14:textId="236F5967" w:rsidR="00FC174E" w:rsidRPr="00AA4677" w:rsidRDefault="00FC174E">
      <w:pPr>
        <w:numPr>
          <w:ilvl w:val="0"/>
          <w:numId w:val="110"/>
        </w:num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Others as deemed appropriate by the </w:t>
      </w:r>
      <w:r w:rsidR="006F6825" w:rsidRPr="00AA4677">
        <w:rPr>
          <w:rFonts w:eastAsia="Times New Roman" w:cs="Times New Roman"/>
          <w:szCs w:val="24"/>
        </w:rPr>
        <w:t>IO.</w:t>
      </w:r>
    </w:p>
    <w:p w14:paraId="01C5787F" w14:textId="0FAC5CD5" w:rsidR="007465F1" w:rsidRPr="00AA4677" w:rsidRDefault="007465F1" w:rsidP="007465F1">
      <w:pPr>
        <w:shd w:val="clear" w:color="auto" w:fill="FFFFFF"/>
        <w:spacing w:after="0" w:line="240" w:lineRule="auto"/>
        <w:rPr>
          <w:rFonts w:eastAsia="Times New Roman" w:cs="Times New Roman"/>
          <w:szCs w:val="24"/>
        </w:rPr>
      </w:pPr>
    </w:p>
    <w:p w14:paraId="298133B2" w14:textId="69C29499" w:rsidR="007465F1" w:rsidRPr="00AA4677" w:rsidRDefault="007465F1" w:rsidP="000051C7">
      <w:pPr>
        <w:pStyle w:val="ListParagraph"/>
        <w:ind w:left="0" w:right="-180"/>
      </w:pPr>
      <w:r w:rsidRPr="00AA4677">
        <w:t xml:space="preserve">Reports are </w:t>
      </w:r>
      <w:r w:rsidRPr="00AA4677">
        <w:rPr>
          <w:b/>
        </w:rPr>
        <w:t>not submitted</w:t>
      </w:r>
      <w:r w:rsidRPr="00AA4677">
        <w:t xml:space="preserve"> to federal departments or agencies such as OHRP or FDA unless the</w:t>
      </w:r>
      <w:r w:rsidR="000051C7" w:rsidRPr="00AA4677">
        <w:t xml:space="preserve"> </w:t>
      </w:r>
      <w:r w:rsidRPr="00AA4677">
        <w:t>research is subject to federal regulations or another mandate that necessitates such reporting.</w:t>
      </w:r>
    </w:p>
    <w:p w14:paraId="5CA8FD18" w14:textId="77777777" w:rsidR="007465F1" w:rsidRPr="00AA4677" w:rsidRDefault="007465F1" w:rsidP="000051C7">
      <w:r w:rsidRPr="00AA4677">
        <w:rPr>
          <w:b/>
        </w:rPr>
        <w:t>Note:</w:t>
      </w:r>
      <w:r w:rsidRPr="00AA4677">
        <w:t xml:space="preserve"> Reporting to a regulatory agency is not required if the event occurred at a site that was not subject to the direct oversight of the organization, and the agency has been notified of the event by another party (e.g., sponsor).</w:t>
      </w:r>
    </w:p>
    <w:p w14:paraId="5781C553" w14:textId="5DDEB8B4" w:rsidR="00B6044C" w:rsidRPr="00AA4677" w:rsidRDefault="00B6044C" w:rsidP="00B6044C">
      <w:p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SBU’s H</w:t>
      </w:r>
      <w:r w:rsidR="000051C7" w:rsidRPr="00AA4677">
        <w:rPr>
          <w:rFonts w:ascii="Calibri" w:eastAsia="Times New Roman" w:hAnsi="Calibri" w:cs="Calibri"/>
          <w:szCs w:val="24"/>
        </w:rPr>
        <w:t xml:space="preserve">uman </w:t>
      </w:r>
      <w:r w:rsidRPr="00AA4677">
        <w:rPr>
          <w:rFonts w:ascii="Calibri" w:eastAsia="Times New Roman" w:hAnsi="Calibri" w:cs="Calibri"/>
          <w:szCs w:val="24"/>
        </w:rPr>
        <w:t>R</w:t>
      </w:r>
      <w:r w:rsidR="000051C7" w:rsidRPr="00AA4677">
        <w:rPr>
          <w:rFonts w:ascii="Calibri" w:eastAsia="Times New Roman" w:hAnsi="Calibri" w:cs="Calibri"/>
          <w:szCs w:val="24"/>
        </w:rPr>
        <w:t xml:space="preserve">esearch </w:t>
      </w:r>
      <w:r w:rsidRPr="00AA4677">
        <w:rPr>
          <w:rFonts w:ascii="Calibri" w:eastAsia="Times New Roman" w:hAnsi="Calibri" w:cs="Calibri"/>
          <w:szCs w:val="24"/>
        </w:rPr>
        <w:t>P</w:t>
      </w:r>
      <w:r w:rsidR="000051C7" w:rsidRPr="00AA4677">
        <w:rPr>
          <w:rFonts w:ascii="Calibri" w:eastAsia="Times New Roman" w:hAnsi="Calibri" w:cs="Calibri"/>
          <w:szCs w:val="24"/>
        </w:rPr>
        <w:t xml:space="preserve">rotection </w:t>
      </w:r>
      <w:r w:rsidRPr="00AA4677">
        <w:rPr>
          <w:rFonts w:ascii="Calibri" w:eastAsia="Times New Roman" w:hAnsi="Calibri" w:cs="Calibri"/>
          <w:szCs w:val="24"/>
        </w:rPr>
        <w:t>P</w:t>
      </w:r>
      <w:r w:rsidR="000051C7" w:rsidRPr="00AA4677">
        <w:rPr>
          <w:rFonts w:ascii="Calibri" w:eastAsia="Times New Roman" w:hAnsi="Calibri" w:cs="Calibri"/>
          <w:szCs w:val="24"/>
        </w:rPr>
        <w:t>rogram</w:t>
      </w:r>
      <w:r w:rsidRPr="00AA4677">
        <w:rPr>
          <w:rFonts w:ascii="Calibri" w:eastAsia="Times New Roman" w:hAnsi="Calibri" w:cs="Calibri"/>
          <w:szCs w:val="24"/>
        </w:rPr>
        <w:t xml:space="preserve"> is accredited by the Association for the Accreditation of Human Research Protection Programs (AAHRPP).  In addition to the information that </w:t>
      </w:r>
      <w:r w:rsidRPr="00AA4677">
        <w:rPr>
          <w:rFonts w:ascii="Calibri" w:eastAsia="Times New Roman" w:hAnsi="Calibri" w:cs="Calibri"/>
          <w:szCs w:val="24"/>
        </w:rPr>
        <w:lastRenderedPageBreak/>
        <w:t xml:space="preserve">AAHRPP routinely provides to AAHRPP in annual reports and the re-accreditation application, AAHRPP requires that any of the following are reported to AAHRPP </w:t>
      </w:r>
      <w:r w:rsidR="000051C7" w:rsidRPr="00AA4677">
        <w:rPr>
          <w:rFonts w:ascii="Calibri" w:eastAsia="Times New Roman" w:hAnsi="Calibri" w:cs="Calibri"/>
          <w:szCs w:val="24"/>
        </w:rPr>
        <w:t>as soon as possible</w:t>
      </w:r>
      <w:r w:rsidRPr="00AA4677">
        <w:rPr>
          <w:rFonts w:ascii="Calibri" w:eastAsia="Times New Roman" w:hAnsi="Calibri" w:cs="Calibri"/>
          <w:szCs w:val="24"/>
        </w:rPr>
        <w:t xml:space="preserve"> but generally within 48 hours after the organization or any researcher (if the researcher is notified rather than the organization) becomes aware:</w:t>
      </w:r>
    </w:p>
    <w:p w14:paraId="287BD5E6" w14:textId="1C08499D" w:rsidR="00B6044C" w:rsidRPr="00AA4677" w:rsidRDefault="00B6044C" w:rsidP="000051C7">
      <w:pPr>
        <w:shd w:val="clear" w:color="auto" w:fill="FFFFFF"/>
        <w:spacing w:after="0" w:line="240" w:lineRule="auto"/>
        <w:ind w:left="360" w:hanging="360"/>
        <w:rPr>
          <w:rFonts w:ascii="Calibri" w:eastAsia="Times New Roman" w:hAnsi="Calibri" w:cs="Calibri"/>
          <w:szCs w:val="24"/>
        </w:rPr>
      </w:pPr>
      <w:r w:rsidRPr="00AA4677">
        <w:rPr>
          <w:rFonts w:ascii="Symbol" w:eastAsia="Times New Roman" w:hAnsi="Symbol" w:cs="Calibri"/>
          <w:szCs w:val="24"/>
        </w:rPr>
        <w:t></w:t>
      </w:r>
      <w:r w:rsidRPr="00AA4677">
        <w:rPr>
          <w:rFonts w:ascii="Times New Roman" w:eastAsia="Times New Roman" w:hAnsi="Times New Roman" w:cs="Times New Roman"/>
          <w:sz w:val="14"/>
          <w:szCs w:val="14"/>
        </w:rPr>
        <w:t>       </w:t>
      </w:r>
      <w:r w:rsidRPr="00AA4677">
        <w:rPr>
          <w:rFonts w:ascii="Calibri" w:eastAsia="Times New Roman" w:hAnsi="Calibri" w:cs="Calibri"/>
          <w:szCs w:val="24"/>
        </w:rPr>
        <w:t xml:space="preserve">Any negative actions by a government oversight office, including, but not limited to, OHRP Determination Letters, FDA Warning Letters, FDA 483 Inspection Reports with official action indicated, FDA Restrictions </w:t>
      </w:r>
      <w:r w:rsidR="000051C7" w:rsidRPr="00AA4677">
        <w:rPr>
          <w:rFonts w:ascii="Calibri" w:eastAsia="Times New Roman" w:hAnsi="Calibri" w:cs="Calibri"/>
          <w:szCs w:val="24"/>
        </w:rPr>
        <w:t>p</w:t>
      </w:r>
      <w:r w:rsidRPr="00AA4677">
        <w:rPr>
          <w:rFonts w:ascii="Calibri" w:eastAsia="Times New Roman" w:hAnsi="Calibri" w:cs="Calibri"/>
          <w:szCs w:val="24"/>
        </w:rPr>
        <w:t xml:space="preserve">laced on IRBs or </w:t>
      </w:r>
      <w:r w:rsidR="000051C7" w:rsidRPr="00AA4677">
        <w:rPr>
          <w:rFonts w:ascii="Calibri" w:eastAsia="Times New Roman" w:hAnsi="Calibri" w:cs="Calibri"/>
          <w:szCs w:val="24"/>
        </w:rPr>
        <w:t>i</w:t>
      </w:r>
      <w:r w:rsidRPr="00AA4677">
        <w:rPr>
          <w:rFonts w:ascii="Calibri" w:eastAsia="Times New Roman" w:hAnsi="Calibri" w:cs="Calibri"/>
          <w:szCs w:val="24"/>
        </w:rPr>
        <w:t xml:space="preserve">nvestigators, and corresponding compliance actions taken under non-US authorities related to human research </w:t>
      </w:r>
      <w:proofErr w:type="gramStart"/>
      <w:r w:rsidRPr="00AA4677">
        <w:rPr>
          <w:rFonts w:ascii="Calibri" w:eastAsia="Times New Roman" w:hAnsi="Calibri" w:cs="Calibri"/>
          <w:szCs w:val="24"/>
        </w:rPr>
        <w:t>protections;</w:t>
      </w:r>
      <w:proofErr w:type="gramEnd"/>
    </w:p>
    <w:p w14:paraId="31C99CBE" w14:textId="77777777" w:rsidR="00B6044C" w:rsidRPr="00AA4677" w:rsidRDefault="00B6044C" w:rsidP="00B207A5">
      <w:pPr>
        <w:shd w:val="clear" w:color="auto" w:fill="FFFFFF"/>
        <w:spacing w:after="0" w:line="240" w:lineRule="auto"/>
        <w:ind w:left="360" w:hanging="360"/>
        <w:rPr>
          <w:rFonts w:ascii="Calibri" w:eastAsia="Times New Roman" w:hAnsi="Calibri" w:cs="Calibri"/>
          <w:szCs w:val="24"/>
        </w:rPr>
      </w:pPr>
      <w:r w:rsidRPr="00AA4677">
        <w:rPr>
          <w:rFonts w:ascii="Symbol" w:eastAsia="Times New Roman" w:hAnsi="Symbol" w:cs="Calibri"/>
          <w:szCs w:val="24"/>
        </w:rPr>
        <w:t></w:t>
      </w:r>
      <w:r w:rsidRPr="00AA4677">
        <w:rPr>
          <w:rFonts w:ascii="Times New Roman" w:eastAsia="Times New Roman" w:hAnsi="Times New Roman" w:cs="Times New Roman"/>
          <w:sz w:val="14"/>
          <w:szCs w:val="14"/>
        </w:rPr>
        <w:t>       </w:t>
      </w:r>
      <w:r w:rsidRPr="00AA4677">
        <w:rPr>
          <w:rFonts w:ascii="Calibri" w:eastAsia="Times New Roman" w:hAnsi="Calibri" w:cs="Calibri"/>
          <w:szCs w:val="24"/>
        </w:rPr>
        <w:t>Any litigation, arbitration, or settlements initiated related to human research protections; and/or</w:t>
      </w:r>
    </w:p>
    <w:p w14:paraId="1E8EE3BE" w14:textId="77777777" w:rsidR="00B6044C" w:rsidRPr="00AA4677" w:rsidRDefault="00B6044C" w:rsidP="000051C7">
      <w:pPr>
        <w:shd w:val="clear" w:color="auto" w:fill="FFFFFF"/>
        <w:spacing w:after="0" w:line="240" w:lineRule="auto"/>
        <w:ind w:left="360" w:hanging="360"/>
        <w:rPr>
          <w:rFonts w:ascii="Calibri" w:eastAsia="Times New Roman" w:hAnsi="Calibri" w:cs="Calibri"/>
          <w:szCs w:val="24"/>
        </w:rPr>
      </w:pPr>
      <w:r w:rsidRPr="00AA4677">
        <w:rPr>
          <w:rFonts w:ascii="Symbol" w:eastAsia="Times New Roman" w:hAnsi="Symbol" w:cs="Calibri"/>
          <w:szCs w:val="24"/>
        </w:rPr>
        <w:t></w:t>
      </w:r>
      <w:r w:rsidRPr="00AA4677">
        <w:rPr>
          <w:rFonts w:ascii="Times New Roman" w:eastAsia="Times New Roman" w:hAnsi="Times New Roman" w:cs="Times New Roman"/>
          <w:sz w:val="14"/>
          <w:szCs w:val="14"/>
        </w:rPr>
        <w:t>       </w:t>
      </w:r>
      <w:r w:rsidRPr="00AA4677">
        <w:rPr>
          <w:rFonts w:ascii="Calibri" w:eastAsia="Times New Roman" w:hAnsi="Calibri" w:cs="Calibri"/>
          <w:szCs w:val="24"/>
        </w:rPr>
        <w:t>Any press coverage (including but not limited to radio, TV, newspaper, online publications) of a negative nature regarding SBU's HRPP.</w:t>
      </w:r>
    </w:p>
    <w:p w14:paraId="174D736A" w14:textId="77777777" w:rsidR="000051C7" w:rsidRPr="00AA4677" w:rsidRDefault="000051C7" w:rsidP="00F95028">
      <w:pPr>
        <w:shd w:val="clear" w:color="auto" w:fill="FFFFFF"/>
        <w:spacing w:after="0" w:line="240" w:lineRule="auto"/>
        <w:rPr>
          <w:rFonts w:ascii="Calibri" w:eastAsia="Times New Roman" w:hAnsi="Calibri" w:cs="Calibri"/>
          <w:szCs w:val="24"/>
        </w:rPr>
      </w:pPr>
    </w:p>
    <w:p w14:paraId="62720FCD" w14:textId="4BFF2C25" w:rsidR="007465F1" w:rsidRPr="00AA4677" w:rsidRDefault="00B6044C" w:rsidP="00F95028">
      <w:pPr>
        <w:shd w:val="clear" w:color="auto" w:fill="FFFFFF"/>
        <w:spacing w:after="0" w:line="240" w:lineRule="auto"/>
        <w:rPr>
          <w:rFonts w:ascii="Calibri" w:eastAsia="Times New Roman" w:hAnsi="Calibri" w:cs="Calibri"/>
          <w:szCs w:val="24"/>
        </w:rPr>
      </w:pPr>
      <w:r w:rsidRPr="00AA4677">
        <w:rPr>
          <w:rFonts w:ascii="Calibri" w:eastAsia="Times New Roman" w:hAnsi="Calibri" w:cs="Calibri"/>
          <w:szCs w:val="24"/>
        </w:rPr>
        <w:t>The Associate Vice President for Research Compliance (or designee) is responsible for ensuring that such reports are made to AAHRPP and for informing appropriate organizational officials.  Investigators, research staff, HRPP/IRB staff, IRB members, and other organizational officials or offices (e.g., the Institutional Official, legal counsel) are responsible for informing the ORC as soon as they become aware of any of the above so that these reporting obligations may be fulfilled.</w:t>
      </w:r>
    </w:p>
    <w:p w14:paraId="194DDE9D" w14:textId="77777777" w:rsidR="006F6825" w:rsidRPr="00AA4677" w:rsidRDefault="006F6825" w:rsidP="006F6825">
      <w:pPr>
        <w:shd w:val="clear" w:color="auto" w:fill="FFFFFF"/>
        <w:spacing w:after="0" w:line="240" w:lineRule="auto"/>
        <w:rPr>
          <w:rFonts w:eastAsia="Times New Roman" w:cs="Times New Roman"/>
          <w:szCs w:val="24"/>
        </w:rPr>
      </w:pPr>
    </w:p>
    <w:p w14:paraId="0AAA827F" w14:textId="5D183520" w:rsidR="00FC174E" w:rsidRPr="00AA4677" w:rsidRDefault="00FC174E" w:rsidP="006017A8">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C66572" w:rsidRPr="00AA4677">
        <w:rPr>
          <w:rFonts w:eastAsia="Times New Roman" w:cs="Times New Roman"/>
          <w:szCs w:val="24"/>
        </w:rPr>
        <w:t>AVP-RC</w:t>
      </w:r>
      <w:r w:rsidR="005C33BD" w:rsidRPr="00AA4677">
        <w:rPr>
          <w:rFonts w:eastAsia="Times New Roman" w:cs="Times New Roman"/>
          <w:szCs w:val="24"/>
        </w:rPr>
        <w:t>, on behalf of the I</w:t>
      </w:r>
      <w:r w:rsidRPr="00AA4677">
        <w:rPr>
          <w:rFonts w:eastAsia="Times New Roman" w:cs="Times New Roman"/>
          <w:szCs w:val="24"/>
        </w:rPr>
        <w:t xml:space="preserve">O ensures that all steps of this policy are completed within </w:t>
      </w:r>
      <w:r w:rsidR="006F6825" w:rsidRPr="00AA4677">
        <w:rPr>
          <w:rFonts w:eastAsia="Times New Roman" w:cs="Times New Roman"/>
          <w:szCs w:val="24"/>
        </w:rPr>
        <w:t>thirty (</w:t>
      </w:r>
      <w:r w:rsidRPr="00AA4677">
        <w:rPr>
          <w:rFonts w:eastAsia="Times New Roman" w:cs="Times New Roman"/>
          <w:szCs w:val="24"/>
        </w:rPr>
        <w:t>30</w:t>
      </w:r>
      <w:r w:rsidR="006F6825" w:rsidRPr="00AA4677">
        <w:rPr>
          <w:rFonts w:eastAsia="Times New Roman" w:cs="Times New Roman"/>
          <w:szCs w:val="24"/>
        </w:rPr>
        <w:t>)</w:t>
      </w:r>
      <w:r w:rsidRPr="00AA4677">
        <w:rPr>
          <w:rFonts w:eastAsia="Times New Roman" w:cs="Times New Roman"/>
          <w:szCs w:val="24"/>
        </w:rPr>
        <w:t xml:space="preserve"> days of the convened</w:t>
      </w:r>
      <w:r w:rsidR="006F6825"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’s determination of an unanticipated problem, serious or continuing noncompliance, suspension, or termination.        </w:t>
      </w:r>
    </w:p>
    <w:p w14:paraId="7A68854C" w14:textId="77777777" w:rsidR="006017A8" w:rsidRPr="00AA4677" w:rsidRDefault="006017A8" w:rsidP="005920B2">
      <w:pPr>
        <w:pStyle w:val="Heading1"/>
      </w:pPr>
      <w:bookmarkStart w:id="307" w:name="_Toc101430871"/>
      <w:bookmarkEnd w:id="307"/>
    </w:p>
    <w:p w14:paraId="4A5CF5B0" w14:textId="20B27CC0" w:rsidR="00FC174E" w:rsidRPr="00AA4677" w:rsidRDefault="00FC174E" w:rsidP="005920B2">
      <w:pPr>
        <w:pStyle w:val="Heading1"/>
      </w:pPr>
      <w:bookmarkStart w:id="308" w:name="_Toc192678245"/>
      <w:r w:rsidRPr="00AA4677">
        <w:t>12 Investigator Responsibilities</w:t>
      </w:r>
      <w:bookmarkEnd w:id="308"/>
    </w:p>
    <w:p w14:paraId="6B4A3993" w14:textId="3F34A3A6" w:rsidR="00FC174E" w:rsidRPr="00AA4677" w:rsidRDefault="00FC174E" w:rsidP="00696B35">
      <w:pPr>
        <w:pStyle w:val="Heading2"/>
      </w:pPr>
      <w:bookmarkStart w:id="309" w:name="_Toc192678246"/>
      <w:r w:rsidRPr="00AA4677">
        <w:t>12.1 Policy</w:t>
      </w:r>
      <w:bookmarkEnd w:id="309"/>
    </w:p>
    <w:p w14:paraId="39940005" w14:textId="12B2C136" w:rsidR="00FC174E" w:rsidRPr="00AA4677" w:rsidRDefault="006F6825"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P</w:t>
      </w:r>
      <w:r w:rsidR="00AC4893" w:rsidRPr="00AA4677">
        <w:rPr>
          <w:rFonts w:eastAsia="Times New Roman" w:cs="Times New Roman"/>
          <w:szCs w:val="24"/>
        </w:rPr>
        <w:t>rincipal Investigators (PI)</w:t>
      </w:r>
      <w:r w:rsidR="00FC174E" w:rsidRPr="00AA4677">
        <w:rPr>
          <w:rFonts w:eastAsia="Times New Roman" w:cs="Times New Roman"/>
          <w:szCs w:val="24"/>
        </w:rPr>
        <w:t xml:space="preserve"> are ultimately responsible for the compliant and ethical conduct of research.  </w:t>
      </w:r>
      <w:r w:rsidR="00AC4893" w:rsidRPr="00AA4677">
        <w:rPr>
          <w:rFonts w:eastAsia="Times New Roman" w:cs="Times New Roman"/>
          <w:szCs w:val="24"/>
        </w:rPr>
        <w:t>Principal Investigators</w:t>
      </w:r>
      <w:r w:rsidR="00FC174E" w:rsidRPr="00AA4677">
        <w:rPr>
          <w:rFonts w:eastAsia="Times New Roman" w:cs="Times New Roman"/>
          <w:szCs w:val="24"/>
        </w:rPr>
        <w:t xml:space="preserve"> may delegate aspects of the research across the study team, consistent with specific requirements for licensures or trainin</w:t>
      </w:r>
      <w:r w:rsidRPr="00AA4677">
        <w:rPr>
          <w:rFonts w:eastAsia="Times New Roman" w:cs="Times New Roman"/>
          <w:szCs w:val="24"/>
        </w:rPr>
        <w:t>g for specific procedures (i.e.</w:t>
      </w:r>
      <w:r w:rsidR="00FC174E" w:rsidRPr="00AA4677">
        <w:rPr>
          <w:rFonts w:eastAsia="Times New Roman" w:cs="Times New Roman"/>
          <w:szCs w:val="24"/>
        </w:rPr>
        <w:t xml:space="preserve"> performing venipuncture, administering medication). However, P</w:t>
      </w:r>
      <w:r w:rsidRPr="00AA4677">
        <w:rPr>
          <w:rFonts w:eastAsia="Times New Roman" w:cs="Times New Roman"/>
          <w:szCs w:val="24"/>
        </w:rPr>
        <w:t>I</w:t>
      </w:r>
      <w:r w:rsidR="00FC174E" w:rsidRPr="00AA4677">
        <w:rPr>
          <w:rFonts w:eastAsia="Times New Roman" w:cs="Times New Roman"/>
          <w:szCs w:val="24"/>
        </w:rPr>
        <w:t>s must maintain oversight and retain ultimate responsibility for the conduct of those to whom they delegate responsibility.</w:t>
      </w:r>
    </w:p>
    <w:p w14:paraId="7DD195FB" w14:textId="4F3E95D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following procedures describe the investigator responsibilities in the conduct of research involving human </w:t>
      </w:r>
      <w:r w:rsidR="00BF7470" w:rsidRPr="00AA4677">
        <w:rPr>
          <w:rFonts w:eastAsia="Times New Roman" w:cs="Times New Roman"/>
          <w:szCs w:val="24"/>
        </w:rPr>
        <w:t>subject</w:t>
      </w:r>
      <w:r w:rsidRPr="00AA4677">
        <w:rPr>
          <w:rFonts w:eastAsia="Times New Roman" w:cs="Times New Roman"/>
          <w:szCs w:val="24"/>
        </w:rPr>
        <w:t>s. </w:t>
      </w:r>
    </w:p>
    <w:p w14:paraId="6C73BA0A" w14:textId="77777777" w:rsidR="00FC174E" w:rsidRPr="00AA4677" w:rsidRDefault="00FC174E" w:rsidP="00696B35">
      <w:pPr>
        <w:pStyle w:val="Heading2"/>
      </w:pPr>
      <w:bookmarkStart w:id="310" w:name="_Toc192678247"/>
      <w:r w:rsidRPr="00AA4677">
        <w:lastRenderedPageBreak/>
        <w:t>12.2 Investigators</w:t>
      </w:r>
      <w:bookmarkEnd w:id="310"/>
    </w:p>
    <w:p w14:paraId="6F3001E4" w14:textId="433A17FB" w:rsidR="00FC174E" w:rsidRPr="00160475" w:rsidRDefault="00FC174E" w:rsidP="00C57C98">
      <w:pPr>
        <w:pStyle w:val="Heading3"/>
      </w:pPr>
      <w:bookmarkStart w:id="311" w:name="_Hlk160541733"/>
      <w:r w:rsidRPr="00160475">
        <w:t>12.2.1 Principal Investigators</w:t>
      </w:r>
    </w:p>
    <w:bookmarkEnd w:id="311"/>
    <w:p w14:paraId="0EFA94D3" w14:textId="39BA13BA" w:rsidR="00D251E2" w:rsidRPr="00AA4677" w:rsidRDefault="000814D8" w:rsidP="000814D8">
      <w:pPr>
        <w:shd w:val="clear" w:color="auto" w:fill="FFFFFF"/>
        <w:spacing w:before="100" w:beforeAutospacing="1" w:after="100" w:afterAutospacing="1" w:line="240" w:lineRule="auto"/>
        <w:rPr>
          <w:rFonts w:eastAsia="Times New Roman" w:cs="Times New Roman"/>
          <w:b/>
          <w:bCs/>
          <w:szCs w:val="24"/>
        </w:rPr>
      </w:pPr>
      <w:r w:rsidRPr="00160475">
        <w:rPr>
          <w:rFonts w:eastAsia="Times New Roman" w:cs="Times New Roman"/>
          <w:szCs w:val="24"/>
        </w:rPr>
        <w:t>Only </w:t>
      </w:r>
      <w:r w:rsidRPr="00160475">
        <w:rPr>
          <w:rFonts w:eastAsia="Times New Roman" w:cs="Times New Roman"/>
          <w:b/>
          <w:bCs/>
          <w:szCs w:val="24"/>
        </w:rPr>
        <w:t>individuals holding a current faculty appointment </w:t>
      </w:r>
      <w:r w:rsidRPr="00160475">
        <w:rPr>
          <w:rFonts w:eastAsia="Times New Roman" w:cs="Times New Roman"/>
          <w:szCs w:val="24"/>
        </w:rPr>
        <w:t xml:space="preserve">may serve as the PI on a research project </w:t>
      </w:r>
      <w:r w:rsidRPr="00160475">
        <w:rPr>
          <w:rFonts w:eastAsia="Times New Roman" w:cstheme="minorHAnsi"/>
          <w:szCs w:val="24"/>
        </w:rPr>
        <w:t>involving human subjects</w:t>
      </w:r>
      <w:r w:rsidR="00955983" w:rsidRPr="00160475">
        <w:rPr>
          <w:rFonts w:eastAsia="Times New Roman" w:cstheme="minorHAnsi"/>
          <w:szCs w:val="24"/>
        </w:rPr>
        <w:t xml:space="preserve"> (This does not include voluntary appointments)</w:t>
      </w:r>
      <w:r w:rsidRPr="00160475">
        <w:rPr>
          <w:rFonts w:eastAsia="Times New Roman" w:cstheme="minorHAnsi"/>
          <w:szCs w:val="24"/>
        </w:rPr>
        <w:t>.</w:t>
      </w:r>
      <w:r w:rsidRPr="00AA4677">
        <w:rPr>
          <w:rFonts w:eastAsia="Times New Roman" w:cstheme="minorHAnsi"/>
          <w:szCs w:val="24"/>
        </w:rPr>
        <w:t xml:space="preserve"> </w:t>
      </w:r>
    </w:p>
    <w:p w14:paraId="6A3A3C02" w14:textId="62447527" w:rsidR="00D251E2" w:rsidRPr="00AA4677" w:rsidRDefault="00D251E2" w:rsidP="00BA743E">
      <w:pPr>
        <w:pStyle w:val="NormalWeb"/>
        <w:shd w:val="clear" w:color="auto" w:fill="FFFFFF"/>
        <w:spacing w:before="0" w:beforeAutospacing="0" w:after="0" w:afterAutospacing="0"/>
        <w:textAlignment w:val="baseline"/>
        <w:rPr>
          <w:rFonts w:asciiTheme="minorHAnsi" w:hAnsiTheme="minorHAnsi" w:cstheme="minorHAnsi"/>
        </w:rPr>
      </w:pPr>
      <w:bookmarkStart w:id="312" w:name="_Hlk160541776"/>
      <w:r w:rsidRPr="00AA4677">
        <w:rPr>
          <w:rFonts w:asciiTheme="minorHAnsi" w:hAnsiTheme="minorHAnsi" w:cstheme="minorHAnsi"/>
        </w:rPr>
        <w:t xml:space="preserve">The IRB recognizes one PI for each study.  The PI has ultimate responsibility for the research activities and the research team. Principal Investigator’s leaving the institution are responsible for notifying the IRB well in advance of their departure so that they can </w:t>
      </w:r>
      <w:proofErr w:type="gramStart"/>
      <w:r w:rsidRPr="00AA4677">
        <w:rPr>
          <w:rFonts w:asciiTheme="minorHAnsi" w:hAnsiTheme="minorHAnsi" w:cstheme="minorHAnsi"/>
        </w:rPr>
        <w:t>make arrangements</w:t>
      </w:r>
      <w:proofErr w:type="gramEnd"/>
      <w:r w:rsidRPr="00AA4677">
        <w:rPr>
          <w:rFonts w:asciiTheme="minorHAnsi" w:hAnsiTheme="minorHAnsi" w:cstheme="minorHAnsi"/>
        </w:rPr>
        <w:t xml:space="preserve"> to either close the study or name another appropriately qualified individual currently at the institution to serve as the PI. </w:t>
      </w:r>
      <w:r w:rsidR="00BA743E" w:rsidRPr="00AA4677">
        <w:rPr>
          <w:rFonts w:asciiTheme="minorHAnsi" w:hAnsiTheme="minorHAnsi" w:cstheme="minorHAnsi"/>
        </w:rPr>
        <w:t xml:space="preserve"> </w:t>
      </w:r>
      <w:r w:rsidRPr="00AA4677">
        <w:rPr>
          <w:rFonts w:asciiTheme="minorHAnsi" w:hAnsiTheme="minorHAnsi" w:cstheme="minorHAnsi"/>
        </w:rPr>
        <w:t xml:space="preserve">The principal investigator of a human </w:t>
      </w:r>
      <w:proofErr w:type="gramStart"/>
      <w:r w:rsidRPr="00AA4677">
        <w:rPr>
          <w:rFonts w:asciiTheme="minorHAnsi" w:hAnsiTheme="minorHAnsi" w:cstheme="minorHAnsi"/>
        </w:rPr>
        <w:t>subjec</w:t>
      </w:r>
      <w:r w:rsidR="006E558B" w:rsidRPr="00AA4677">
        <w:rPr>
          <w:rFonts w:asciiTheme="minorHAnsi" w:hAnsiTheme="minorHAnsi" w:cstheme="minorHAnsi"/>
        </w:rPr>
        <w:t>ts</w:t>
      </w:r>
      <w:proofErr w:type="gramEnd"/>
      <w:r w:rsidR="006E558B" w:rsidRPr="00AA4677">
        <w:rPr>
          <w:rFonts w:asciiTheme="minorHAnsi" w:hAnsiTheme="minorHAnsi" w:cstheme="minorHAnsi"/>
        </w:rPr>
        <w:t xml:space="preserve"> </w:t>
      </w:r>
      <w:r w:rsidR="00EC6748" w:rsidRPr="00AA4677">
        <w:rPr>
          <w:rFonts w:asciiTheme="minorHAnsi" w:hAnsiTheme="minorHAnsi" w:cstheme="minorHAnsi"/>
        </w:rPr>
        <w:t>clinical trial</w:t>
      </w:r>
      <w:r w:rsidR="006E558B" w:rsidRPr="00AA4677">
        <w:rPr>
          <w:rFonts w:asciiTheme="minorHAnsi" w:hAnsiTheme="minorHAnsi" w:cstheme="minorHAnsi"/>
        </w:rPr>
        <w:t xml:space="preserve"> must m</w:t>
      </w:r>
      <w:r w:rsidR="00BA743E" w:rsidRPr="00AA4677">
        <w:rPr>
          <w:rFonts w:asciiTheme="minorHAnsi" w:hAnsiTheme="minorHAnsi" w:cstheme="minorHAnsi"/>
        </w:rPr>
        <w:t xml:space="preserve">aintain faculty status as a </w:t>
      </w:r>
      <w:proofErr w:type="gramStart"/>
      <w:r w:rsidR="00BA743E" w:rsidRPr="00AA4677">
        <w:rPr>
          <w:rFonts w:asciiTheme="minorHAnsi" w:hAnsiTheme="minorHAnsi" w:cstheme="minorHAnsi"/>
        </w:rPr>
        <w:t>full time</w:t>
      </w:r>
      <w:proofErr w:type="gramEnd"/>
      <w:r w:rsidRPr="00AA4677">
        <w:rPr>
          <w:rFonts w:asciiTheme="minorHAnsi" w:hAnsiTheme="minorHAnsi" w:cstheme="minorHAnsi"/>
        </w:rPr>
        <w:t xml:space="preserve"> emp</w:t>
      </w:r>
      <w:r w:rsidR="00BA743E" w:rsidRPr="00AA4677">
        <w:rPr>
          <w:rFonts w:asciiTheme="minorHAnsi" w:hAnsiTheme="minorHAnsi" w:cstheme="minorHAnsi"/>
        </w:rPr>
        <w:t>loyee at Stony Brook University</w:t>
      </w:r>
      <w:r w:rsidR="006E558B" w:rsidRPr="00AA4677">
        <w:rPr>
          <w:rFonts w:asciiTheme="minorHAnsi" w:hAnsiTheme="minorHAnsi" w:cstheme="minorHAnsi"/>
        </w:rPr>
        <w:t xml:space="preserve">. </w:t>
      </w:r>
    </w:p>
    <w:bookmarkEnd w:id="312"/>
    <w:p w14:paraId="571D1628" w14:textId="77777777" w:rsidR="00D251E2" w:rsidRPr="00AA4677" w:rsidRDefault="00D251E2" w:rsidP="00D251E2">
      <w:pPr>
        <w:shd w:val="clear" w:color="auto" w:fill="FFFFFF"/>
        <w:spacing w:after="0" w:line="240" w:lineRule="auto"/>
        <w:textAlignment w:val="baseline"/>
        <w:rPr>
          <w:rFonts w:eastAsia="Times New Roman" w:cstheme="minorHAnsi"/>
          <w:szCs w:val="24"/>
        </w:rPr>
      </w:pPr>
    </w:p>
    <w:p w14:paraId="6318557A" w14:textId="77777777" w:rsidR="00BA743E" w:rsidRPr="00AA4677" w:rsidRDefault="00D251E2" w:rsidP="00BA743E">
      <w:pPr>
        <w:pStyle w:val="NormalWeb"/>
        <w:shd w:val="clear" w:color="auto" w:fill="FFFFFF"/>
        <w:spacing w:before="0" w:beforeAutospacing="0" w:after="0" w:afterAutospacing="0"/>
        <w:textAlignment w:val="baseline"/>
        <w:rPr>
          <w:rFonts w:asciiTheme="minorHAnsi" w:hAnsiTheme="minorHAnsi" w:cstheme="minorHAnsi"/>
        </w:rPr>
      </w:pPr>
      <w:r w:rsidRPr="00AA4677">
        <w:rPr>
          <w:rFonts w:asciiTheme="minorHAnsi" w:hAnsiTheme="minorHAnsi" w:cstheme="minorHAnsi"/>
        </w:rPr>
        <w:t>As part of each new protocol submission, the department chair</w:t>
      </w:r>
      <w:r w:rsidR="00C218BB" w:rsidRPr="00AA4677">
        <w:rPr>
          <w:rFonts w:asciiTheme="minorHAnsi" w:hAnsiTheme="minorHAnsi" w:cstheme="minorHAnsi"/>
        </w:rPr>
        <w:t xml:space="preserve"> (or designee)</w:t>
      </w:r>
      <w:r w:rsidRPr="00AA4677">
        <w:rPr>
          <w:rFonts w:asciiTheme="minorHAnsi" w:hAnsiTheme="minorHAnsi" w:cstheme="minorHAnsi"/>
        </w:rPr>
        <w:t xml:space="preserve">, must attest that the individual </w:t>
      </w:r>
      <w:r w:rsidR="00C31A69" w:rsidRPr="00AA4677">
        <w:rPr>
          <w:rFonts w:asciiTheme="minorHAnsi" w:hAnsiTheme="minorHAnsi" w:cstheme="minorHAnsi"/>
        </w:rPr>
        <w:t xml:space="preserve">conducting the research </w:t>
      </w:r>
      <w:r w:rsidRPr="00AA4677">
        <w:rPr>
          <w:rFonts w:asciiTheme="minorHAnsi" w:hAnsiTheme="minorHAnsi" w:cstheme="minorHAnsi"/>
        </w:rPr>
        <w:t>is qualified by training and experience to serve as a principal investigator proving oversight for the proposed resear</w:t>
      </w:r>
      <w:r w:rsidR="00C218BB" w:rsidRPr="00AA4677">
        <w:rPr>
          <w:rFonts w:asciiTheme="minorHAnsi" w:hAnsiTheme="minorHAnsi" w:cstheme="minorHAnsi"/>
        </w:rPr>
        <w:t>ch and for the required research</w:t>
      </w:r>
      <w:r w:rsidRPr="00AA4677">
        <w:rPr>
          <w:rFonts w:asciiTheme="minorHAnsi" w:hAnsiTheme="minorHAnsi" w:cstheme="minorHAnsi"/>
        </w:rPr>
        <w:t xml:space="preserve"> procedures</w:t>
      </w:r>
      <w:r w:rsidR="00BA743E" w:rsidRPr="00AA4677">
        <w:rPr>
          <w:rFonts w:asciiTheme="minorHAnsi" w:hAnsiTheme="minorHAnsi" w:cstheme="minorHAnsi"/>
        </w:rPr>
        <w:t>.</w:t>
      </w:r>
      <w:r w:rsidRPr="00AA4677">
        <w:rPr>
          <w:rFonts w:asciiTheme="minorHAnsi" w:hAnsiTheme="minorHAnsi" w:cstheme="minorHAnsi"/>
        </w:rPr>
        <w:t xml:space="preserve"> </w:t>
      </w:r>
      <w:r w:rsidR="00BA743E" w:rsidRPr="00AA4677">
        <w:rPr>
          <w:rFonts w:asciiTheme="minorHAnsi" w:hAnsiTheme="minorHAnsi" w:cstheme="minorHAnsi"/>
        </w:rPr>
        <w:t xml:space="preserve"> I</w:t>
      </w:r>
      <w:r w:rsidRPr="00AA4677">
        <w:rPr>
          <w:rFonts w:asciiTheme="minorHAnsi" w:hAnsiTheme="minorHAnsi" w:cstheme="minorHAnsi"/>
        </w:rPr>
        <w:t xml:space="preserve">ndividuals authorized as principal </w:t>
      </w:r>
      <w:proofErr w:type="gramStart"/>
      <w:r w:rsidRPr="00AA4677">
        <w:rPr>
          <w:rFonts w:asciiTheme="minorHAnsi" w:hAnsiTheme="minorHAnsi" w:cstheme="minorHAnsi"/>
        </w:rPr>
        <w:t>investigator</w:t>
      </w:r>
      <w:proofErr w:type="gramEnd"/>
      <w:r w:rsidRPr="00AA4677">
        <w:rPr>
          <w:rFonts w:asciiTheme="minorHAnsi" w:hAnsiTheme="minorHAnsi" w:cstheme="minorHAnsi"/>
        </w:rPr>
        <w:t xml:space="preserve"> </w:t>
      </w:r>
      <w:r w:rsidR="00BA743E" w:rsidRPr="00AA4677">
        <w:rPr>
          <w:rFonts w:asciiTheme="minorHAnsi" w:hAnsiTheme="minorHAnsi" w:cstheme="minorHAnsi"/>
        </w:rPr>
        <w:t xml:space="preserve">must also </w:t>
      </w:r>
      <w:r w:rsidRPr="00AA4677">
        <w:rPr>
          <w:rFonts w:asciiTheme="minorHAnsi" w:hAnsiTheme="minorHAnsi" w:cstheme="minorHAnsi"/>
        </w:rPr>
        <w:t>have the appropriate resources for the ethical, objective, and safe conduct of research in accordance with federal regulations and institution</w:t>
      </w:r>
      <w:r w:rsidR="00BA743E" w:rsidRPr="00AA4677">
        <w:rPr>
          <w:rFonts w:asciiTheme="minorHAnsi" w:hAnsiTheme="minorHAnsi" w:cstheme="minorHAnsi"/>
        </w:rPr>
        <w:t>al</w:t>
      </w:r>
      <w:r w:rsidRPr="00AA4677">
        <w:rPr>
          <w:rFonts w:asciiTheme="minorHAnsi" w:hAnsiTheme="minorHAnsi" w:cstheme="minorHAnsi"/>
        </w:rPr>
        <w:t xml:space="preserve"> and sponsoring agency policies and procedures.</w:t>
      </w:r>
      <w:r w:rsidR="00C218BB" w:rsidRPr="00AA4677">
        <w:rPr>
          <w:rFonts w:asciiTheme="minorHAnsi" w:hAnsiTheme="minorHAnsi" w:cstheme="minorHAnsi"/>
        </w:rPr>
        <w:t xml:space="preserve"> </w:t>
      </w:r>
    </w:p>
    <w:p w14:paraId="22830E29" w14:textId="77777777" w:rsidR="00BA743E" w:rsidRPr="00AA4677" w:rsidRDefault="00BA743E" w:rsidP="00BA743E">
      <w:pPr>
        <w:pStyle w:val="NormalWeb"/>
        <w:shd w:val="clear" w:color="auto" w:fill="FFFFFF"/>
        <w:spacing w:before="0" w:beforeAutospacing="0" w:after="0" w:afterAutospacing="0"/>
        <w:textAlignment w:val="baseline"/>
        <w:rPr>
          <w:rFonts w:asciiTheme="minorHAnsi" w:hAnsiTheme="minorHAnsi" w:cstheme="minorHAnsi"/>
        </w:rPr>
      </w:pPr>
    </w:p>
    <w:p w14:paraId="6D140BAC" w14:textId="2824AF61" w:rsidR="00D251E2" w:rsidRPr="00AA4677" w:rsidRDefault="00BA743E" w:rsidP="00BA743E">
      <w:pPr>
        <w:pStyle w:val="NormalWeb"/>
        <w:shd w:val="clear" w:color="auto" w:fill="FFFFFF"/>
        <w:spacing w:before="0" w:beforeAutospacing="0" w:after="0" w:afterAutospacing="0"/>
        <w:textAlignment w:val="baseline"/>
        <w:rPr>
          <w:rFonts w:asciiTheme="minorHAnsi" w:hAnsiTheme="minorHAnsi" w:cstheme="minorHAnsi"/>
        </w:rPr>
      </w:pPr>
      <w:r w:rsidRPr="00AA4677">
        <w:rPr>
          <w:rFonts w:asciiTheme="minorHAnsi" w:hAnsiTheme="minorHAnsi" w:cstheme="minorHAnsi"/>
        </w:rPr>
        <w:t xml:space="preserve">It is required that the department chair (or designee) have an advanced degree </w:t>
      </w:r>
      <w:r w:rsidR="001F5468" w:rsidRPr="00AA4677">
        <w:rPr>
          <w:rFonts w:asciiTheme="minorHAnsi" w:hAnsiTheme="minorHAnsi" w:cstheme="minorHAnsi"/>
        </w:rPr>
        <w:t xml:space="preserve">(higher than a master’s level) </w:t>
      </w:r>
      <w:r w:rsidRPr="00AA4677">
        <w:rPr>
          <w:rFonts w:asciiTheme="minorHAnsi" w:hAnsiTheme="minorHAnsi" w:cstheme="minorHAnsi"/>
        </w:rPr>
        <w:t xml:space="preserve">and have been trained in the conduct of research. </w:t>
      </w:r>
      <w:r w:rsidR="00C218BB" w:rsidRPr="00AA4677">
        <w:rPr>
          <w:rFonts w:asciiTheme="minorHAnsi" w:hAnsiTheme="minorHAnsi" w:cstheme="minorHAnsi"/>
        </w:rPr>
        <w:t xml:space="preserve">The department head (or designee) must </w:t>
      </w:r>
      <w:r w:rsidRPr="00AA4677">
        <w:rPr>
          <w:rFonts w:asciiTheme="minorHAnsi" w:hAnsiTheme="minorHAnsi" w:cstheme="minorHAnsi"/>
        </w:rPr>
        <w:t xml:space="preserve">also </w:t>
      </w:r>
      <w:r w:rsidR="00C218BB" w:rsidRPr="00AA4677">
        <w:rPr>
          <w:rFonts w:asciiTheme="minorHAnsi" w:hAnsiTheme="minorHAnsi" w:cstheme="minorHAnsi"/>
        </w:rPr>
        <w:t>undergo training from the Office of Research Compliance.</w:t>
      </w:r>
    </w:p>
    <w:p w14:paraId="22D6CBFE" w14:textId="77777777" w:rsidR="00D251E2" w:rsidRPr="00AA4677" w:rsidRDefault="00D251E2" w:rsidP="00D251E2">
      <w:pPr>
        <w:shd w:val="clear" w:color="auto" w:fill="FFFFFF"/>
        <w:spacing w:after="0" w:line="240" w:lineRule="auto"/>
        <w:textAlignment w:val="baseline"/>
        <w:rPr>
          <w:rFonts w:eastAsia="Times New Roman" w:cstheme="minorHAnsi"/>
          <w:szCs w:val="24"/>
        </w:rPr>
      </w:pPr>
    </w:p>
    <w:p w14:paraId="2865AC54" w14:textId="7A69552C" w:rsidR="00F37AA6" w:rsidRPr="00AA4677" w:rsidRDefault="000814D8" w:rsidP="00F37AA6">
      <w:pPr>
        <w:shd w:val="clear" w:color="auto" w:fill="FFFFFF"/>
        <w:spacing w:after="0" w:line="240" w:lineRule="auto"/>
        <w:textAlignment w:val="baseline"/>
        <w:rPr>
          <w:rFonts w:ascii="Calibri" w:eastAsia="Times New Roman" w:hAnsi="Calibri" w:cs="Arial"/>
          <w:szCs w:val="24"/>
        </w:rPr>
      </w:pPr>
      <w:r w:rsidRPr="00AA4677">
        <w:rPr>
          <w:rFonts w:eastAsia="Times New Roman" w:cs="Times New Roman"/>
          <w:szCs w:val="24"/>
        </w:rPr>
        <w:t>The IRB may, on a case-by-case basis, permit University staff to serve as PIs based on, but not limited to, the following criteria:</w:t>
      </w:r>
    </w:p>
    <w:p w14:paraId="2A28CDBB" w14:textId="77777777" w:rsidR="00F37AA6" w:rsidRPr="00AA4677" w:rsidRDefault="00F37AA6">
      <w:pPr>
        <w:numPr>
          <w:ilvl w:val="0"/>
          <w:numId w:val="258"/>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individuals </w:t>
      </w:r>
      <w:proofErr w:type="gramStart"/>
      <w:r w:rsidRPr="00AA4677">
        <w:rPr>
          <w:rFonts w:eastAsia="Times New Roman" w:cs="Times New Roman"/>
          <w:szCs w:val="24"/>
        </w:rPr>
        <w:t>is</w:t>
      </w:r>
      <w:proofErr w:type="gramEnd"/>
      <w:r w:rsidRPr="00AA4677">
        <w:rPr>
          <w:rFonts w:eastAsia="Times New Roman" w:cs="Times New Roman"/>
          <w:szCs w:val="24"/>
        </w:rPr>
        <w:t xml:space="preserve"> an </w:t>
      </w:r>
      <w:proofErr w:type="gramStart"/>
      <w:r w:rsidRPr="00AA4677">
        <w:rPr>
          <w:rFonts w:eastAsia="Times New Roman" w:cs="Times New Roman"/>
          <w:szCs w:val="24"/>
        </w:rPr>
        <w:t>employee;</w:t>
      </w:r>
      <w:proofErr w:type="gramEnd"/>
      <w:r w:rsidRPr="00AA4677">
        <w:rPr>
          <w:rFonts w:eastAsia="Times New Roman" w:cs="Times New Roman"/>
          <w:szCs w:val="24"/>
        </w:rPr>
        <w:t xml:space="preserve"> </w:t>
      </w:r>
    </w:p>
    <w:p w14:paraId="5D1F089A" w14:textId="3FAEA626" w:rsidR="000814D8" w:rsidRPr="00AA4677" w:rsidRDefault="000814D8">
      <w:pPr>
        <w:numPr>
          <w:ilvl w:val="0"/>
          <w:numId w:val="258"/>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individual is not a </w:t>
      </w:r>
      <w:proofErr w:type="gramStart"/>
      <w:r w:rsidRPr="00AA4677">
        <w:rPr>
          <w:rFonts w:eastAsia="Times New Roman" w:cs="Times New Roman"/>
          <w:szCs w:val="24"/>
        </w:rPr>
        <w:t>student;</w:t>
      </w:r>
      <w:proofErr w:type="gramEnd"/>
    </w:p>
    <w:p w14:paraId="0A99DA35" w14:textId="77777777" w:rsidR="000814D8" w:rsidRPr="00AA4677" w:rsidRDefault="000814D8">
      <w:pPr>
        <w:numPr>
          <w:ilvl w:val="0"/>
          <w:numId w:val="258"/>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Nature of the study; study must be deemed minimal risk to human </w:t>
      </w:r>
      <w:proofErr w:type="gramStart"/>
      <w:r w:rsidRPr="00AA4677">
        <w:rPr>
          <w:rFonts w:eastAsia="Times New Roman" w:cs="Times New Roman"/>
          <w:szCs w:val="24"/>
        </w:rPr>
        <w:t>subjects;</w:t>
      </w:r>
      <w:proofErr w:type="gramEnd"/>
    </w:p>
    <w:p w14:paraId="4B54EA10" w14:textId="4D8F889F" w:rsidR="000814D8" w:rsidRPr="00AA4677" w:rsidRDefault="000814D8">
      <w:pPr>
        <w:numPr>
          <w:ilvl w:val="0"/>
          <w:numId w:val="258"/>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individual's training in conducting research involving human </w:t>
      </w:r>
      <w:proofErr w:type="gramStart"/>
      <w:r w:rsidRPr="00AA4677">
        <w:rPr>
          <w:rFonts w:eastAsia="Times New Roman" w:cs="Times New Roman"/>
          <w:szCs w:val="24"/>
        </w:rPr>
        <w:t>subjects;</w:t>
      </w:r>
      <w:proofErr w:type="gramEnd"/>
    </w:p>
    <w:p w14:paraId="13A4343E" w14:textId="167915D4" w:rsidR="000814D8" w:rsidRPr="00AA4677" w:rsidRDefault="000814D8">
      <w:pPr>
        <w:numPr>
          <w:ilvl w:val="0"/>
          <w:numId w:val="258"/>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individual's experience in conducting research involving human </w:t>
      </w:r>
      <w:proofErr w:type="gramStart"/>
      <w:r w:rsidRPr="00AA4677">
        <w:rPr>
          <w:rFonts w:eastAsia="Times New Roman" w:cs="Times New Roman"/>
          <w:szCs w:val="24"/>
        </w:rPr>
        <w:t>subjects;</w:t>
      </w:r>
      <w:proofErr w:type="gramEnd"/>
    </w:p>
    <w:p w14:paraId="1D74EC7E" w14:textId="77777777" w:rsidR="000814D8" w:rsidRPr="00AA4677" w:rsidRDefault="000814D8">
      <w:pPr>
        <w:numPr>
          <w:ilvl w:val="0"/>
          <w:numId w:val="258"/>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individual’s education level, </w:t>
      </w:r>
      <w:proofErr w:type="gramStart"/>
      <w:r w:rsidRPr="00AA4677">
        <w:rPr>
          <w:rFonts w:eastAsia="Times New Roman" w:cs="Times New Roman"/>
          <w:szCs w:val="24"/>
        </w:rPr>
        <w:t>masters</w:t>
      </w:r>
      <w:proofErr w:type="gramEnd"/>
      <w:r w:rsidRPr="00AA4677">
        <w:rPr>
          <w:rFonts w:eastAsia="Times New Roman" w:cs="Times New Roman"/>
          <w:szCs w:val="24"/>
        </w:rPr>
        <w:t xml:space="preserve"> or doctorate </w:t>
      </w:r>
      <w:proofErr w:type="gramStart"/>
      <w:r w:rsidRPr="00AA4677">
        <w:rPr>
          <w:rFonts w:eastAsia="Times New Roman" w:cs="Times New Roman"/>
          <w:szCs w:val="24"/>
        </w:rPr>
        <w:t>preferred;</w:t>
      </w:r>
      <w:proofErr w:type="gramEnd"/>
    </w:p>
    <w:p w14:paraId="29A15991" w14:textId="77777777" w:rsidR="000814D8" w:rsidRPr="00AA4677" w:rsidRDefault="000814D8">
      <w:pPr>
        <w:numPr>
          <w:ilvl w:val="0"/>
          <w:numId w:val="258"/>
        </w:numPr>
        <w:shd w:val="clear" w:color="auto" w:fill="FFFFFF"/>
        <w:spacing w:after="0" w:line="240" w:lineRule="auto"/>
        <w:rPr>
          <w:rFonts w:eastAsia="Times New Roman" w:cs="Times New Roman"/>
          <w:szCs w:val="24"/>
        </w:rPr>
      </w:pPr>
      <w:r w:rsidRPr="00AA4677">
        <w:rPr>
          <w:rFonts w:eastAsia="Times New Roman" w:cs="Times New Roman"/>
          <w:szCs w:val="24"/>
        </w:rPr>
        <w:t>The individual’s motivation in performing research (e.g. must not be doing the research toward a degree or certification</w:t>
      </w:r>
      <w:proofErr w:type="gramStart"/>
      <w:r w:rsidRPr="00AA4677">
        <w:rPr>
          <w:rFonts w:eastAsia="Times New Roman" w:cs="Times New Roman"/>
          <w:szCs w:val="24"/>
        </w:rPr>
        <w:t>);</w:t>
      </w:r>
      <w:proofErr w:type="gramEnd"/>
    </w:p>
    <w:p w14:paraId="2DF5E791" w14:textId="77777777" w:rsidR="000814D8" w:rsidRPr="00AA4677" w:rsidRDefault="000814D8">
      <w:pPr>
        <w:numPr>
          <w:ilvl w:val="0"/>
          <w:numId w:val="258"/>
        </w:numPr>
        <w:shd w:val="clear" w:color="auto" w:fill="FFFFFF"/>
        <w:spacing w:after="0" w:line="240" w:lineRule="auto"/>
        <w:rPr>
          <w:rFonts w:eastAsia="Times New Roman" w:cs="Times New Roman"/>
          <w:szCs w:val="24"/>
        </w:rPr>
      </w:pPr>
      <w:r w:rsidRPr="00AA4677">
        <w:rPr>
          <w:rFonts w:eastAsia="Times New Roman" w:cs="Times New Roman"/>
          <w:szCs w:val="24"/>
        </w:rPr>
        <w:t>Approval and signatory certification of, and oversight by their supervisor.</w:t>
      </w:r>
    </w:p>
    <w:p w14:paraId="11040917" w14:textId="77777777" w:rsidR="00382703" w:rsidRPr="00AA4677" w:rsidRDefault="00382703" w:rsidP="00D251E2">
      <w:pPr>
        <w:shd w:val="clear" w:color="auto" w:fill="FFFFFF"/>
        <w:spacing w:after="0" w:line="240" w:lineRule="auto"/>
        <w:rPr>
          <w:rFonts w:eastAsia="Times New Roman" w:cs="Times New Roman"/>
          <w:szCs w:val="24"/>
        </w:rPr>
      </w:pPr>
    </w:p>
    <w:p w14:paraId="509FC9FC" w14:textId="4D5A01CE" w:rsidR="00F17898" w:rsidRPr="00AA4677" w:rsidRDefault="00FC174E" w:rsidP="00D251E2">
      <w:p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Those wishing a waiver from the faculty PI requirement must address each criterion above, provide a resume/CV, and submit to the ORC for forwarding to the</w:t>
      </w:r>
      <w:r w:rsidR="003C70E7"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for review.</w:t>
      </w:r>
      <w:r w:rsidR="006116F0" w:rsidRPr="00AA4677">
        <w:rPr>
          <w:rFonts w:eastAsia="Times New Roman" w:cs="Times New Roman"/>
          <w:szCs w:val="24"/>
        </w:rPr>
        <w:t xml:space="preserve"> Only employees can request a waiver.</w:t>
      </w:r>
    </w:p>
    <w:p w14:paraId="3DDD0EDE" w14:textId="77777777" w:rsidR="00F17898" w:rsidRPr="00AA4677" w:rsidRDefault="00F17898" w:rsidP="00F17898">
      <w:pPr>
        <w:shd w:val="clear" w:color="auto" w:fill="FFFFFF"/>
        <w:spacing w:after="0" w:line="240" w:lineRule="auto"/>
        <w:rPr>
          <w:rFonts w:eastAsia="Times New Roman" w:cs="Times New Roman"/>
          <w:szCs w:val="24"/>
        </w:rPr>
      </w:pPr>
    </w:p>
    <w:p w14:paraId="72FD6EC9" w14:textId="2BD8F934" w:rsidR="00FC174E" w:rsidRPr="00AA4677" w:rsidRDefault="00FC174E" w:rsidP="00F17898">
      <w:pPr>
        <w:shd w:val="clear" w:color="auto" w:fill="FFFFFF"/>
        <w:spacing w:after="0" w:line="240" w:lineRule="auto"/>
        <w:rPr>
          <w:rFonts w:eastAsia="Times New Roman" w:cs="Times New Roman"/>
          <w:szCs w:val="24"/>
        </w:rPr>
      </w:pPr>
      <w:r w:rsidRPr="00AA4677">
        <w:rPr>
          <w:rFonts w:eastAsia="Times New Roman" w:cs="Times New Roman"/>
          <w:szCs w:val="24"/>
        </w:rPr>
        <w:t>Protocols that require skills beyond those held by the P</w:t>
      </w:r>
      <w:r w:rsidR="003C70E7" w:rsidRPr="00AA4677">
        <w:rPr>
          <w:rFonts w:eastAsia="Times New Roman" w:cs="Times New Roman"/>
          <w:szCs w:val="24"/>
        </w:rPr>
        <w:t>I</w:t>
      </w:r>
      <w:r w:rsidRPr="00AA4677">
        <w:rPr>
          <w:rFonts w:eastAsia="Times New Roman" w:cs="Times New Roman"/>
          <w:szCs w:val="24"/>
        </w:rPr>
        <w:t xml:space="preserve"> must be modified to meet the investigator's skills or have one or more additional qualified faculty as </w:t>
      </w:r>
      <w:r w:rsidR="003C70E7" w:rsidRPr="00AA4677">
        <w:rPr>
          <w:rFonts w:eastAsia="Times New Roman" w:cs="Times New Roman"/>
          <w:szCs w:val="24"/>
        </w:rPr>
        <w:t>c</w:t>
      </w:r>
      <w:r w:rsidRPr="00AA4677">
        <w:rPr>
          <w:rFonts w:eastAsia="Times New Roman" w:cs="Times New Roman"/>
          <w:szCs w:val="24"/>
        </w:rPr>
        <w:t>o-investigator(s).</w:t>
      </w:r>
    </w:p>
    <w:p w14:paraId="78896C70" w14:textId="61EBE543" w:rsidR="00B3381C" w:rsidRPr="00AA4677" w:rsidRDefault="00B3381C" w:rsidP="00FC174E">
      <w:pPr>
        <w:shd w:val="clear" w:color="auto" w:fill="FFFFFF"/>
        <w:spacing w:before="100" w:beforeAutospacing="1" w:after="100" w:afterAutospacing="1" w:line="240" w:lineRule="auto"/>
        <w:rPr>
          <w:rFonts w:eastAsia="Times New Roman" w:cs="Times New Roman"/>
          <w:szCs w:val="24"/>
        </w:rPr>
      </w:pPr>
      <w:r w:rsidRPr="00AA4677">
        <w:t>There must be adequate resources to carry out the research safely.  This includes, but is not limited to, sufficient researcher time, appropriately qualified research team members, equipment, and space.</w:t>
      </w:r>
    </w:p>
    <w:p w14:paraId="7F900C01" w14:textId="55A2A617" w:rsidR="00FC174E" w:rsidRPr="00AA4677" w:rsidRDefault="00FC174E" w:rsidP="00C57C98">
      <w:pPr>
        <w:pStyle w:val="Heading3"/>
      </w:pPr>
      <w:r w:rsidRPr="00AA4677">
        <w:t>12.2.2 Student Investigators</w:t>
      </w:r>
    </w:p>
    <w:p w14:paraId="54296D49" w14:textId="29B494B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Students may not serve as </w:t>
      </w:r>
      <w:r w:rsidR="003C70E7" w:rsidRPr="00AA4677">
        <w:rPr>
          <w:rFonts w:eastAsia="Times New Roman" w:cs="Times New Roman"/>
          <w:szCs w:val="24"/>
        </w:rPr>
        <w:t>PIs</w:t>
      </w:r>
      <w:r w:rsidRPr="00AA4677">
        <w:rPr>
          <w:rFonts w:eastAsia="Times New Roman" w:cs="Times New Roman"/>
          <w:szCs w:val="24"/>
        </w:rPr>
        <w:t xml:space="preserve">. They must have a faculty sponsor who fulfills the PI eligibility criteria and who will serve as </w:t>
      </w:r>
      <w:r w:rsidR="003C70E7" w:rsidRPr="00AA4677">
        <w:rPr>
          <w:rFonts w:eastAsia="Times New Roman" w:cs="Times New Roman"/>
          <w:szCs w:val="24"/>
        </w:rPr>
        <w:t>PI</w:t>
      </w:r>
      <w:r w:rsidRPr="00AA4677">
        <w:rPr>
          <w:rFonts w:eastAsia="Times New Roman" w:cs="Times New Roman"/>
          <w:szCs w:val="24"/>
        </w:rPr>
        <w:t xml:space="preserve"> and faculty advisor on the study.</w:t>
      </w:r>
    </w:p>
    <w:p w14:paraId="54526B26" w14:textId="5BCA9D91" w:rsidR="00FC174E" w:rsidRPr="00AA4677" w:rsidRDefault="00FC174E" w:rsidP="00C57C98">
      <w:pPr>
        <w:pStyle w:val="Heading3"/>
      </w:pPr>
      <w:r w:rsidRPr="00AA4677">
        <w:t>12.2.3 Research Team</w:t>
      </w:r>
    </w:p>
    <w:p w14:paraId="78E584A4" w14:textId="070B9C0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research team consists of individuals who intervene or interact directly with subjects (including the recruitment or consenting thereof), or who analyze data and/or tissue derived from humans for the purposes of the activity in question.  </w:t>
      </w:r>
    </w:p>
    <w:p w14:paraId="181E80BD" w14:textId="77777777" w:rsidR="00FC174E" w:rsidRPr="00AA4677" w:rsidRDefault="00FC174E" w:rsidP="00696B35">
      <w:pPr>
        <w:pStyle w:val="Heading2"/>
      </w:pPr>
      <w:bookmarkStart w:id="313" w:name="_Toc192678248"/>
      <w:r w:rsidRPr="00AA4677">
        <w:t>12.3 Responsibilities</w:t>
      </w:r>
      <w:bookmarkEnd w:id="313"/>
    </w:p>
    <w:p w14:paraId="086BCF0F"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proofErr w:type="gramStart"/>
      <w:r w:rsidRPr="00AA4677">
        <w:rPr>
          <w:rFonts w:eastAsia="Times New Roman" w:cs="Times New Roman"/>
          <w:b/>
          <w:bCs/>
          <w:szCs w:val="24"/>
        </w:rPr>
        <w:t>In order to</w:t>
      </w:r>
      <w:proofErr w:type="gramEnd"/>
      <w:r w:rsidRPr="00AA4677">
        <w:rPr>
          <w:rFonts w:eastAsia="Times New Roman" w:cs="Times New Roman"/>
          <w:b/>
          <w:bCs/>
          <w:szCs w:val="24"/>
        </w:rPr>
        <w:t xml:space="preserve"> satisfy the requirements of this policy, investigators who conduct research involving human subjects must:</w:t>
      </w:r>
    </w:p>
    <w:p w14:paraId="2AF31957" w14:textId="4F36E250"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Develop and conduct research that is in accordance with the ethical principles in the Belmont </w:t>
      </w:r>
      <w:proofErr w:type="gramStart"/>
      <w:r w:rsidRPr="00AA4677">
        <w:rPr>
          <w:rFonts w:eastAsia="Times New Roman" w:cs="Times New Roman"/>
          <w:szCs w:val="24"/>
        </w:rPr>
        <w:t>Report</w:t>
      </w:r>
      <w:r w:rsidR="003C70E7" w:rsidRPr="00AA4677">
        <w:rPr>
          <w:rFonts w:eastAsia="Times New Roman" w:cs="Times New Roman"/>
          <w:szCs w:val="24"/>
        </w:rPr>
        <w:t>;</w:t>
      </w:r>
      <w:proofErr w:type="gramEnd"/>
    </w:p>
    <w:p w14:paraId="4B1FDC7F" w14:textId="0794EEBB"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Develop a research plan that is scientifically sound and</w:t>
      </w:r>
      <w:r w:rsidR="003C70E7" w:rsidRPr="00AA4677">
        <w:rPr>
          <w:rFonts w:eastAsia="Times New Roman" w:cs="Times New Roman"/>
          <w:szCs w:val="24"/>
        </w:rPr>
        <w:t xml:space="preserve"> minimizes risk to the </w:t>
      </w:r>
      <w:proofErr w:type="gramStart"/>
      <w:r w:rsidR="003C70E7" w:rsidRPr="00AA4677">
        <w:rPr>
          <w:rFonts w:eastAsia="Times New Roman" w:cs="Times New Roman"/>
          <w:szCs w:val="24"/>
        </w:rPr>
        <w:t>subjects;</w:t>
      </w:r>
      <w:proofErr w:type="gramEnd"/>
    </w:p>
    <w:p w14:paraId="205ACF54" w14:textId="77974356"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Have sufficient resources necessary to protect human subjects, including:</w:t>
      </w:r>
    </w:p>
    <w:p w14:paraId="69219AA6" w14:textId="52DB4913" w:rsidR="003C70E7" w:rsidRPr="00AA4677" w:rsidRDefault="00FC174E">
      <w:pPr>
        <w:pStyle w:val="ListParagraph"/>
        <w:numPr>
          <w:ilvl w:val="0"/>
          <w:numId w:val="11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Access to a population that would allow recruitment of t</w:t>
      </w:r>
      <w:r w:rsidR="003C70E7" w:rsidRPr="00AA4677">
        <w:rPr>
          <w:rFonts w:eastAsia="Times New Roman" w:cs="Times New Roman"/>
          <w:szCs w:val="24"/>
        </w:rPr>
        <w:t>he required number of subjects.</w:t>
      </w:r>
    </w:p>
    <w:p w14:paraId="17AB4A33" w14:textId="4936B56F" w:rsidR="00FC174E" w:rsidRPr="00AA4677" w:rsidRDefault="00FC174E">
      <w:pPr>
        <w:pStyle w:val="ListParagraph"/>
        <w:numPr>
          <w:ilvl w:val="0"/>
          <w:numId w:val="11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Sufficient time to conduct and complete the research.</w:t>
      </w:r>
    </w:p>
    <w:p w14:paraId="214A3523" w14:textId="5947E9B1" w:rsidR="00FC174E" w:rsidRPr="00AA4677" w:rsidRDefault="00FC174E">
      <w:pPr>
        <w:pStyle w:val="ListParagraph"/>
        <w:numPr>
          <w:ilvl w:val="0"/>
          <w:numId w:val="11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Adequate numbers of qualified staff.</w:t>
      </w:r>
    </w:p>
    <w:p w14:paraId="36E53271" w14:textId="7788E1B6" w:rsidR="00FC174E" w:rsidRPr="00AA4677" w:rsidRDefault="00FC174E">
      <w:pPr>
        <w:pStyle w:val="ListParagraph"/>
        <w:numPr>
          <w:ilvl w:val="0"/>
          <w:numId w:val="11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Adequate facilities.</w:t>
      </w:r>
    </w:p>
    <w:p w14:paraId="11CCF1C5" w14:textId="20339FDF" w:rsidR="00FC174E" w:rsidRPr="00AA4677" w:rsidRDefault="00FC174E">
      <w:pPr>
        <w:pStyle w:val="ListParagraph"/>
        <w:numPr>
          <w:ilvl w:val="0"/>
          <w:numId w:val="11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 process to ensure that all </w:t>
      </w:r>
      <w:proofErr w:type="gramStart"/>
      <w:r w:rsidRPr="00AA4677">
        <w:rPr>
          <w:rFonts w:eastAsia="Times New Roman" w:cs="Times New Roman"/>
          <w:szCs w:val="24"/>
        </w:rPr>
        <w:t>persons</w:t>
      </w:r>
      <w:proofErr w:type="gramEnd"/>
      <w:r w:rsidRPr="00AA4677">
        <w:rPr>
          <w:rFonts w:eastAsia="Times New Roman" w:cs="Times New Roman"/>
          <w:szCs w:val="24"/>
        </w:rPr>
        <w:t xml:space="preserve"> assisting with the research are adequately informed about the protocol and their research-related duties and functions.</w:t>
      </w:r>
    </w:p>
    <w:p w14:paraId="7E63C870" w14:textId="1A8FF841" w:rsidR="00FC174E" w:rsidRPr="00AA4677" w:rsidRDefault="00FC174E">
      <w:pPr>
        <w:pStyle w:val="ListParagraph"/>
        <w:numPr>
          <w:ilvl w:val="0"/>
          <w:numId w:val="11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Availability of medical or psychological resources that subjects might require </w:t>
      </w:r>
      <w:proofErr w:type="gramStart"/>
      <w:r w:rsidRPr="00AA4677">
        <w:rPr>
          <w:rFonts w:eastAsia="Times New Roman" w:cs="Times New Roman"/>
          <w:szCs w:val="24"/>
        </w:rPr>
        <w:t>as a consequence of</w:t>
      </w:r>
      <w:proofErr w:type="gramEnd"/>
      <w:r w:rsidRPr="00AA4677">
        <w:rPr>
          <w:rFonts w:eastAsia="Times New Roman" w:cs="Times New Roman"/>
          <w:szCs w:val="24"/>
        </w:rPr>
        <w:t xml:space="preserve"> the research.</w:t>
      </w:r>
    </w:p>
    <w:p w14:paraId="550D6187" w14:textId="737AD156"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Assure that all procedures in a study are performed with the appropriate level of supervision and only by individuals who are licensed or otherwise qualified to perform such</w:t>
      </w:r>
      <w:r w:rsidR="00AC4893" w:rsidRPr="00AA4677">
        <w:rPr>
          <w:rFonts w:eastAsia="Times New Roman" w:cs="Times New Roman"/>
          <w:szCs w:val="24"/>
        </w:rPr>
        <w:t xml:space="preserve"> procedures</w:t>
      </w:r>
      <w:r w:rsidRPr="00AA4677">
        <w:rPr>
          <w:rFonts w:eastAsia="Times New Roman" w:cs="Times New Roman"/>
          <w:szCs w:val="24"/>
        </w:rPr>
        <w:t xml:space="preserve"> under the laws of New York and the policies of </w:t>
      </w:r>
      <w:proofErr w:type="gramStart"/>
      <w:r w:rsidRPr="00AA4677">
        <w:rPr>
          <w:rFonts w:eastAsia="Times New Roman" w:cs="Times New Roman"/>
          <w:szCs w:val="24"/>
        </w:rPr>
        <w:t>SBU;</w:t>
      </w:r>
      <w:proofErr w:type="gramEnd"/>
    </w:p>
    <w:p w14:paraId="7D636728" w14:textId="7571B91D"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Assure that all key personnel are educated in the regulatory requirements regarding the conduct of research and the ethical princip</w:t>
      </w:r>
      <w:r w:rsidR="0037334D" w:rsidRPr="00AA4677">
        <w:rPr>
          <w:rFonts w:eastAsia="Times New Roman" w:cs="Times New Roman"/>
          <w:szCs w:val="24"/>
        </w:rPr>
        <w:t>le</w:t>
      </w:r>
      <w:r w:rsidRPr="00AA4677">
        <w:rPr>
          <w:rFonts w:eastAsia="Times New Roman" w:cs="Times New Roman"/>
          <w:szCs w:val="24"/>
        </w:rPr>
        <w:t xml:space="preserve">s upon which they are </w:t>
      </w:r>
      <w:proofErr w:type="gramStart"/>
      <w:r w:rsidRPr="00AA4677">
        <w:rPr>
          <w:rFonts w:eastAsia="Times New Roman" w:cs="Times New Roman"/>
          <w:szCs w:val="24"/>
        </w:rPr>
        <w:t>based;</w:t>
      </w:r>
      <w:proofErr w:type="gramEnd"/>
    </w:p>
    <w:p w14:paraId="6979780B" w14:textId="2DB6EAD5"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Protect the rights and </w:t>
      </w:r>
      <w:r w:rsidR="003C70E7" w:rsidRPr="00AA4677">
        <w:rPr>
          <w:rFonts w:eastAsia="Times New Roman" w:cs="Times New Roman"/>
          <w:szCs w:val="24"/>
        </w:rPr>
        <w:t xml:space="preserve">welfare of prospective </w:t>
      </w:r>
      <w:proofErr w:type="gramStart"/>
      <w:r w:rsidR="003C70E7" w:rsidRPr="00AA4677">
        <w:rPr>
          <w:rFonts w:eastAsia="Times New Roman" w:cs="Times New Roman"/>
          <w:szCs w:val="24"/>
        </w:rPr>
        <w:t>subjects;</w:t>
      </w:r>
      <w:proofErr w:type="gramEnd"/>
    </w:p>
    <w:p w14:paraId="73FF2A6A" w14:textId="3603170E"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Ensure that risks </w:t>
      </w:r>
      <w:r w:rsidR="002B368F" w:rsidRPr="00AA4677">
        <w:rPr>
          <w:rFonts w:eastAsia="Times New Roman" w:cs="Times New Roman"/>
          <w:szCs w:val="24"/>
        </w:rPr>
        <w:t>to subjects are minimized: (i) b</w:t>
      </w:r>
      <w:r w:rsidRPr="00AA4677">
        <w:rPr>
          <w:rFonts w:eastAsia="Times New Roman" w:cs="Times New Roman"/>
          <w:szCs w:val="24"/>
        </w:rPr>
        <w:t xml:space="preserve">y using procedures which are consistent with sound research </w:t>
      </w:r>
      <w:proofErr w:type="gramStart"/>
      <w:r w:rsidRPr="00AA4677">
        <w:rPr>
          <w:rFonts w:eastAsia="Times New Roman" w:cs="Times New Roman"/>
          <w:szCs w:val="24"/>
        </w:rPr>
        <w:t>design</w:t>
      </w:r>
      <w:proofErr w:type="gramEnd"/>
      <w:r w:rsidRPr="00AA4677">
        <w:rPr>
          <w:rFonts w:eastAsia="Times New Roman" w:cs="Times New Roman"/>
          <w:szCs w:val="24"/>
        </w:rPr>
        <w:t xml:space="preserve"> and which do not unnecessarily expose subjects to risk, and (ii) whenever appropriate, by using procedures already being performed on the subjects for diagnostic or treatment </w:t>
      </w:r>
      <w:proofErr w:type="gramStart"/>
      <w:r w:rsidRPr="00AA4677">
        <w:rPr>
          <w:rFonts w:eastAsia="Times New Roman" w:cs="Times New Roman"/>
          <w:szCs w:val="24"/>
        </w:rPr>
        <w:t>purposes</w:t>
      </w:r>
      <w:r w:rsidR="003C70E7" w:rsidRPr="00AA4677">
        <w:rPr>
          <w:rFonts w:eastAsia="Times New Roman" w:cs="Times New Roman"/>
          <w:szCs w:val="24"/>
        </w:rPr>
        <w:t>;</w:t>
      </w:r>
      <w:proofErr w:type="gramEnd"/>
    </w:p>
    <w:p w14:paraId="1F0B1E58" w14:textId="08520D8C"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Recruit subjects in a fair and equitable </w:t>
      </w:r>
      <w:proofErr w:type="gramStart"/>
      <w:r w:rsidRPr="00AA4677">
        <w:rPr>
          <w:rFonts w:eastAsia="Times New Roman" w:cs="Times New Roman"/>
          <w:szCs w:val="24"/>
        </w:rPr>
        <w:t>manner</w:t>
      </w:r>
      <w:r w:rsidR="003C70E7" w:rsidRPr="00AA4677">
        <w:rPr>
          <w:rFonts w:eastAsia="Times New Roman" w:cs="Times New Roman"/>
          <w:szCs w:val="24"/>
        </w:rPr>
        <w:t>;</w:t>
      </w:r>
      <w:proofErr w:type="gramEnd"/>
    </w:p>
    <w:p w14:paraId="0897D6EF" w14:textId="0B737C63"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Obtain and document informed consent as required by </w:t>
      </w:r>
      <w:r w:rsidR="002B368F"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ensur</w:t>
      </w:r>
      <w:r w:rsidR="0037334D" w:rsidRPr="00AA4677">
        <w:rPr>
          <w:rFonts w:eastAsia="Times New Roman" w:cs="Times New Roman"/>
          <w:szCs w:val="24"/>
        </w:rPr>
        <w:t>e</w:t>
      </w:r>
      <w:r w:rsidRPr="00AA4677">
        <w:rPr>
          <w:rFonts w:eastAsia="Times New Roman" w:cs="Times New Roman"/>
          <w:szCs w:val="24"/>
        </w:rPr>
        <w:t xml:space="preserve"> that no </w:t>
      </w:r>
      <w:r w:rsidR="0037334D" w:rsidRPr="00AA4677">
        <w:rPr>
          <w:rFonts w:eastAsia="Times New Roman" w:cs="Times New Roman"/>
          <w:szCs w:val="24"/>
        </w:rPr>
        <w:t xml:space="preserve">research procedure is performed prior to obtaining and documenting consent from the </w:t>
      </w:r>
      <w:r w:rsidRPr="00AA4677">
        <w:rPr>
          <w:rFonts w:eastAsia="Times New Roman" w:cs="Times New Roman"/>
          <w:szCs w:val="24"/>
        </w:rPr>
        <w:t xml:space="preserve">human </w:t>
      </w:r>
      <w:r w:rsidR="0037334D" w:rsidRPr="00AA4677">
        <w:rPr>
          <w:rFonts w:eastAsia="Times New Roman" w:cs="Times New Roman"/>
          <w:szCs w:val="24"/>
        </w:rPr>
        <w:t>subject</w:t>
      </w:r>
      <w:proofErr w:type="gramStart"/>
      <w:r w:rsidR="0037334D" w:rsidRPr="00AA4677">
        <w:rPr>
          <w:rFonts w:eastAsia="Times New Roman" w:cs="Times New Roman"/>
          <w:szCs w:val="24"/>
        </w:rPr>
        <w:t>.</w:t>
      </w:r>
      <w:r w:rsidR="003C70E7" w:rsidRPr="00AA4677">
        <w:rPr>
          <w:rFonts w:eastAsia="Times New Roman" w:cs="Times New Roman"/>
          <w:szCs w:val="24"/>
        </w:rPr>
        <w:t>;</w:t>
      </w:r>
      <w:proofErr w:type="gramEnd"/>
    </w:p>
    <w:p w14:paraId="441D54CF" w14:textId="0D2BAF19"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Have plans to monitor the data collected for the safety of research subjects</w:t>
      </w:r>
      <w:r w:rsidR="00362FDC" w:rsidRPr="00AA4677">
        <w:rPr>
          <w:rFonts w:eastAsia="Times New Roman" w:cs="Times New Roman"/>
          <w:szCs w:val="24"/>
        </w:rPr>
        <w:t xml:space="preserve"> and report any interim </w:t>
      </w:r>
      <w:proofErr w:type="gramStart"/>
      <w:r w:rsidR="00362FDC" w:rsidRPr="00AA4677">
        <w:rPr>
          <w:rFonts w:eastAsia="Times New Roman" w:cs="Times New Roman"/>
          <w:szCs w:val="24"/>
        </w:rPr>
        <w:t>results</w:t>
      </w:r>
      <w:r w:rsidRPr="00AA4677">
        <w:rPr>
          <w:rFonts w:eastAsia="Times New Roman" w:cs="Times New Roman"/>
          <w:szCs w:val="24"/>
        </w:rPr>
        <w:t>;</w:t>
      </w:r>
      <w:proofErr w:type="gramEnd"/>
    </w:p>
    <w:p w14:paraId="344B55B4" w14:textId="456E9092"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Protect the privacy of subjects and maintain the confidentiality of </w:t>
      </w:r>
      <w:proofErr w:type="gramStart"/>
      <w:r w:rsidRPr="00AA4677">
        <w:rPr>
          <w:rFonts w:eastAsia="Times New Roman" w:cs="Times New Roman"/>
          <w:szCs w:val="24"/>
        </w:rPr>
        <w:t>data;</w:t>
      </w:r>
      <w:proofErr w:type="gramEnd"/>
    </w:p>
    <w:p w14:paraId="49239F53" w14:textId="3475952B"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some or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subjects are likely to be vulnerable to coercion or undue influence, such as children, prisoners, pregnant women, mentally disabled persons, or economically or educationally disadvantaged persons, include additional safeguards in the study to protect the rights and welfare of these </w:t>
      </w:r>
      <w:proofErr w:type="gramStart"/>
      <w:r w:rsidRPr="00AA4677">
        <w:rPr>
          <w:rFonts w:eastAsia="Times New Roman" w:cs="Times New Roman"/>
          <w:szCs w:val="24"/>
        </w:rPr>
        <w:t>subjects;</w:t>
      </w:r>
      <w:proofErr w:type="gramEnd"/>
    </w:p>
    <w:p w14:paraId="76A4112F" w14:textId="1DE859BB"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Have a procedure to receive complaints or requests for additional information from sub</w:t>
      </w:r>
      <w:r w:rsidR="003C70E7" w:rsidRPr="00AA4677">
        <w:rPr>
          <w:rFonts w:eastAsia="Times New Roman" w:cs="Times New Roman"/>
          <w:szCs w:val="24"/>
        </w:rPr>
        <w:t xml:space="preserve">jects and respond </w:t>
      </w:r>
      <w:proofErr w:type="gramStart"/>
      <w:r w:rsidR="003C70E7" w:rsidRPr="00AA4677">
        <w:rPr>
          <w:rFonts w:eastAsia="Times New Roman" w:cs="Times New Roman"/>
          <w:szCs w:val="24"/>
        </w:rPr>
        <w:t>appropriately;</w:t>
      </w:r>
      <w:proofErr w:type="gramEnd"/>
    </w:p>
    <w:p w14:paraId="0F3436B5" w14:textId="76B67DBE"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Ensure that pertinent laws, regulations, and institution</w:t>
      </w:r>
      <w:r w:rsidR="00AC4893" w:rsidRPr="00AA4677">
        <w:rPr>
          <w:rFonts w:eastAsia="Times New Roman" w:cs="Times New Roman"/>
          <w:szCs w:val="24"/>
        </w:rPr>
        <w:t>al</w:t>
      </w:r>
      <w:r w:rsidRPr="00AA4677">
        <w:rPr>
          <w:rFonts w:eastAsia="Times New Roman" w:cs="Times New Roman"/>
          <w:szCs w:val="24"/>
        </w:rPr>
        <w:t xml:space="preserve"> procedures and guidelines are observed by participating i</w:t>
      </w:r>
      <w:r w:rsidR="003C70E7" w:rsidRPr="00AA4677">
        <w:rPr>
          <w:rFonts w:eastAsia="Times New Roman" w:cs="Times New Roman"/>
          <w:szCs w:val="24"/>
        </w:rPr>
        <w:t xml:space="preserve">nvestigators and research </w:t>
      </w:r>
      <w:proofErr w:type="gramStart"/>
      <w:r w:rsidR="003C70E7" w:rsidRPr="00AA4677">
        <w:rPr>
          <w:rFonts w:eastAsia="Times New Roman" w:cs="Times New Roman"/>
          <w:szCs w:val="24"/>
        </w:rPr>
        <w:t>staff;</w:t>
      </w:r>
      <w:proofErr w:type="gramEnd"/>
    </w:p>
    <w:p w14:paraId="61237054" w14:textId="79217027"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Ensure that all research in</w:t>
      </w:r>
      <w:r w:rsidR="00AC4893" w:rsidRPr="00AA4677">
        <w:rPr>
          <w:rFonts w:eastAsia="Times New Roman" w:cs="Times New Roman"/>
          <w:szCs w:val="24"/>
        </w:rPr>
        <w:t>volving human subjects receives</w:t>
      </w:r>
      <w:r w:rsidR="002B368F"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review and approval in writing befo</w:t>
      </w:r>
      <w:r w:rsidR="003C70E7" w:rsidRPr="00AA4677">
        <w:rPr>
          <w:rFonts w:eastAsia="Times New Roman" w:cs="Times New Roman"/>
          <w:szCs w:val="24"/>
        </w:rPr>
        <w:t>re</w:t>
      </w:r>
      <w:r w:rsidR="00AC4893" w:rsidRPr="00AA4677">
        <w:rPr>
          <w:rFonts w:eastAsia="Times New Roman" w:cs="Times New Roman"/>
          <w:szCs w:val="24"/>
        </w:rPr>
        <w:t xml:space="preserve"> beginning</w:t>
      </w:r>
      <w:r w:rsidR="003C70E7" w:rsidRPr="00AA4677">
        <w:rPr>
          <w:rFonts w:eastAsia="Times New Roman" w:cs="Times New Roman"/>
          <w:szCs w:val="24"/>
        </w:rPr>
        <w:t xml:space="preserve"> the </w:t>
      </w:r>
      <w:proofErr w:type="gramStart"/>
      <w:r w:rsidR="003C70E7" w:rsidRPr="00AA4677">
        <w:rPr>
          <w:rFonts w:eastAsia="Times New Roman" w:cs="Times New Roman"/>
          <w:szCs w:val="24"/>
        </w:rPr>
        <w:t>research;</w:t>
      </w:r>
      <w:proofErr w:type="gramEnd"/>
    </w:p>
    <w:p w14:paraId="279937A9" w14:textId="518CC09D" w:rsidR="00FC174E" w:rsidRPr="00AA4677" w:rsidRDefault="002B368F">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Comply with all the </w:t>
      </w:r>
      <w:r w:rsidR="00EE7207" w:rsidRPr="00AA4677">
        <w:rPr>
          <w:rFonts w:eastAsia="Times New Roman" w:cs="Times New Roman"/>
          <w:szCs w:val="24"/>
        </w:rPr>
        <w:t>IRB</w:t>
      </w:r>
      <w:r w:rsidR="00FC174E" w:rsidRPr="00AA4677">
        <w:rPr>
          <w:rFonts w:eastAsia="Times New Roman" w:cs="Times New Roman"/>
          <w:szCs w:val="24"/>
        </w:rPr>
        <w:t xml:space="preserve"> decisions, conditions, and </w:t>
      </w:r>
      <w:proofErr w:type="gramStart"/>
      <w:r w:rsidR="00FC174E" w:rsidRPr="00AA4677">
        <w:rPr>
          <w:rFonts w:eastAsia="Times New Roman" w:cs="Times New Roman"/>
          <w:szCs w:val="24"/>
        </w:rPr>
        <w:t>requirements;</w:t>
      </w:r>
      <w:proofErr w:type="gramEnd"/>
    </w:p>
    <w:p w14:paraId="3BF90C83" w14:textId="167AFE59"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Ensure that protocols receive timely continuing </w:t>
      </w:r>
      <w:r w:rsidR="00EE7207" w:rsidRPr="00AA4677">
        <w:rPr>
          <w:rFonts w:eastAsia="Times New Roman" w:cs="Times New Roman"/>
          <w:szCs w:val="24"/>
        </w:rPr>
        <w:t>IRB</w:t>
      </w:r>
      <w:r w:rsidRPr="00AA4677">
        <w:rPr>
          <w:rFonts w:eastAsia="Times New Roman" w:cs="Times New Roman"/>
          <w:szCs w:val="24"/>
        </w:rPr>
        <w:t xml:space="preserve"> review and approval</w:t>
      </w:r>
      <w:r w:rsidR="00AC4893" w:rsidRPr="00AA4677">
        <w:rPr>
          <w:rFonts w:eastAsia="Times New Roman" w:cs="Times New Roman"/>
          <w:szCs w:val="24"/>
        </w:rPr>
        <w:t xml:space="preserve"> (as applicable</w:t>
      </w:r>
      <w:proofErr w:type="gramStart"/>
      <w:r w:rsidR="00AC4893" w:rsidRPr="00AA4677">
        <w:rPr>
          <w:rFonts w:eastAsia="Times New Roman" w:cs="Times New Roman"/>
          <w:szCs w:val="24"/>
        </w:rPr>
        <w:t>)</w:t>
      </w:r>
      <w:r w:rsidRPr="00AA4677">
        <w:rPr>
          <w:rFonts w:eastAsia="Times New Roman" w:cs="Times New Roman"/>
          <w:szCs w:val="24"/>
        </w:rPr>
        <w:t>;</w:t>
      </w:r>
      <w:proofErr w:type="gramEnd"/>
    </w:p>
    <w:p w14:paraId="5C61C751" w14:textId="340A3AFE" w:rsidR="00FC174E" w:rsidRPr="00AA4677" w:rsidRDefault="00FC174E">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Report</w:t>
      </w:r>
      <w:r w:rsidR="0037334D" w:rsidRPr="00AA4677">
        <w:rPr>
          <w:rFonts w:eastAsia="Times New Roman" w:cs="Times New Roman"/>
          <w:szCs w:val="24"/>
        </w:rPr>
        <w:t xml:space="preserve"> deviations, noncompliance, and</w:t>
      </w:r>
      <w:r w:rsidRPr="00AA4677">
        <w:rPr>
          <w:rFonts w:eastAsia="Times New Roman" w:cs="Times New Roman"/>
          <w:szCs w:val="24"/>
        </w:rPr>
        <w:t xml:space="preserve"> un</w:t>
      </w:r>
      <w:r w:rsidR="0037334D" w:rsidRPr="00AA4677">
        <w:rPr>
          <w:rFonts w:eastAsia="Times New Roman" w:cs="Times New Roman"/>
          <w:szCs w:val="24"/>
        </w:rPr>
        <w:t xml:space="preserve">anticipated problems involving risks to subjects or others in accordance with these </w:t>
      </w:r>
      <w:proofErr w:type="gramStart"/>
      <w:r w:rsidR="0037334D" w:rsidRPr="00AA4677">
        <w:rPr>
          <w:rFonts w:eastAsia="Times New Roman" w:cs="Times New Roman"/>
          <w:szCs w:val="24"/>
        </w:rPr>
        <w:t>SOPs</w:t>
      </w:r>
      <w:r w:rsidR="003C70E7" w:rsidRPr="00AA4677">
        <w:rPr>
          <w:rFonts w:eastAsia="Times New Roman" w:cs="Times New Roman"/>
          <w:szCs w:val="24"/>
        </w:rPr>
        <w:t>;</w:t>
      </w:r>
      <w:proofErr w:type="gramEnd"/>
    </w:p>
    <w:p w14:paraId="2E286470" w14:textId="1FA6AA3E" w:rsidR="00FC174E" w:rsidRPr="00AA4677" w:rsidRDefault="002B368F">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Obtain the </w:t>
      </w:r>
      <w:r w:rsidR="00EE7207" w:rsidRPr="00AA4677">
        <w:rPr>
          <w:rFonts w:eastAsia="Times New Roman" w:cs="Times New Roman"/>
          <w:szCs w:val="24"/>
        </w:rPr>
        <w:t>IRB</w:t>
      </w:r>
      <w:r w:rsidR="00FC174E" w:rsidRPr="00AA4677">
        <w:rPr>
          <w:rFonts w:eastAsia="Times New Roman" w:cs="Times New Roman"/>
          <w:szCs w:val="24"/>
        </w:rPr>
        <w:t xml:space="preserve"> review and approval in writing before changes are made to approved protocols or consent forms</w:t>
      </w:r>
      <w:r w:rsidR="007465F1" w:rsidRPr="00AA4677">
        <w:rPr>
          <w:rFonts w:eastAsia="Times New Roman" w:cs="Times New Roman"/>
          <w:szCs w:val="24"/>
        </w:rPr>
        <w:t>, unless a change is necessary to eliminate apparent immediate hazards to the subject(s)</w:t>
      </w:r>
      <w:r w:rsidR="003C70E7" w:rsidRPr="00AA4677">
        <w:rPr>
          <w:rFonts w:eastAsia="Times New Roman" w:cs="Times New Roman"/>
          <w:szCs w:val="24"/>
        </w:rPr>
        <w:t xml:space="preserve">; and </w:t>
      </w:r>
    </w:p>
    <w:p w14:paraId="5EA1F9BF" w14:textId="6643618E" w:rsidR="00FC174E" w:rsidRPr="00AA4677" w:rsidRDefault="00AC4893">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Seek</w:t>
      </w:r>
      <w:r w:rsidR="002B368F" w:rsidRPr="00AA4677">
        <w:rPr>
          <w:rFonts w:eastAsia="Times New Roman" w:cs="Times New Roman"/>
          <w:szCs w:val="24"/>
        </w:rPr>
        <w:t xml:space="preserve"> </w:t>
      </w:r>
      <w:r w:rsidR="00EE7207" w:rsidRPr="00AA4677">
        <w:rPr>
          <w:rFonts w:eastAsia="Times New Roman" w:cs="Times New Roman"/>
          <w:szCs w:val="24"/>
        </w:rPr>
        <w:t>IRB</w:t>
      </w:r>
      <w:r w:rsidR="00FC174E" w:rsidRPr="00AA4677">
        <w:rPr>
          <w:rFonts w:eastAsia="Times New Roman" w:cs="Times New Roman"/>
          <w:szCs w:val="24"/>
        </w:rPr>
        <w:t xml:space="preserve"> assistance when in doubt about whether p</w:t>
      </w:r>
      <w:r w:rsidR="002B368F" w:rsidRPr="00AA4677">
        <w:rPr>
          <w:rFonts w:eastAsia="Times New Roman" w:cs="Times New Roman"/>
          <w:szCs w:val="24"/>
        </w:rPr>
        <w:t xml:space="preserve">roposed research requires the </w:t>
      </w:r>
      <w:r w:rsidR="00EE7207" w:rsidRPr="00AA4677">
        <w:rPr>
          <w:rFonts w:eastAsia="Times New Roman" w:cs="Times New Roman"/>
          <w:szCs w:val="24"/>
        </w:rPr>
        <w:t>IRB</w:t>
      </w:r>
      <w:r w:rsidR="00FC174E" w:rsidRPr="00AA4677">
        <w:rPr>
          <w:rFonts w:eastAsia="Times New Roman" w:cs="Times New Roman"/>
          <w:szCs w:val="24"/>
        </w:rPr>
        <w:t xml:space="preserve"> review</w:t>
      </w:r>
      <w:r w:rsidR="003C70E7" w:rsidRPr="00AA4677">
        <w:rPr>
          <w:rFonts w:eastAsia="Times New Roman" w:cs="Times New Roman"/>
          <w:szCs w:val="24"/>
        </w:rPr>
        <w:t>.</w:t>
      </w:r>
    </w:p>
    <w:p w14:paraId="42027AE6" w14:textId="2F67B3DF" w:rsidR="0089527F" w:rsidRPr="00AA4677" w:rsidRDefault="0089527F">
      <w:pPr>
        <w:pStyle w:val="ListParagraph"/>
        <w:numPr>
          <w:ilvl w:val="0"/>
          <w:numId w:val="11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Maintain records of drugs and devices that document adequately that the participants are provided the doses or device specified by the protocol and reconcile all investigational products received from the sponsor</w:t>
      </w:r>
    </w:p>
    <w:p w14:paraId="06F70528" w14:textId="58F28127" w:rsidR="00FC174E" w:rsidRPr="00AA4677" w:rsidRDefault="00FC174E" w:rsidP="00696B35">
      <w:pPr>
        <w:pStyle w:val="Heading2"/>
      </w:pPr>
      <w:bookmarkStart w:id="314" w:name="_Toc192678249"/>
      <w:r w:rsidRPr="00AA4677">
        <w:lastRenderedPageBreak/>
        <w:t xml:space="preserve">12.4 Training/ Ongoing Education of Investigators and </w:t>
      </w:r>
      <w:r w:rsidR="00516F61" w:rsidRPr="00AA4677">
        <w:t xml:space="preserve">the </w:t>
      </w:r>
      <w:r w:rsidRPr="00AA4677">
        <w:t>Research Team</w:t>
      </w:r>
      <w:bookmarkEnd w:id="314"/>
    </w:p>
    <w:p w14:paraId="4B06FCF5" w14:textId="1DE8B70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As stated above, one component of a comprehensive human research protection program is an education </w:t>
      </w:r>
      <w:r w:rsidR="00AC4893" w:rsidRPr="00AA4677">
        <w:rPr>
          <w:rFonts w:eastAsia="Times New Roman" w:cs="Times New Roman"/>
          <w:szCs w:val="24"/>
        </w:rPr>
        <w:t>and training</w:t>
      </w:r>
      <w:r w:rsidRPr="00AA4677">
        <w:rPr>
          <w:rFonts w:eastAsia="Times New Roman" w:cs="Times New Roman"/>
          <w:szCs w:val="24"/>
        </w:rPr>
        <w:t xml:space="preserve"> for</w:t>
      </w:r>
      <w:r w:rsidR="00044212" w:rsidRPr="00AA4677">
        <w:rPr>
          <w:rFonts w:eastAsia="Times New Roman" w:cs="Times New Roman"/>
          <w:szCs w:val="24"/>
        </w:rPr>
        <w:t xml:space="preserve"> all individuals involved with human</w:t>
      </w:r>
      <w:r w:rsidRPr="00AA4677">
        <w:rPr>
          <w:rFonts w:eastAsia="Times New Roman" w:cs="Times New Roman"/>
          <w:szCs w:val="24"/>
        </w:rPr>
        <w:t xml:space="preserve"> subjects. </w:t>
      </w:r>
      <w:r w:rsidR="00044212" w:rsidRPr="00AA4677">
        <w:rPr>
          <w:rFonts w:eastAsia="Times New Roman" w:cs="Times New Roman"/>
          <w:szCs w:val="24"/>
        </w:rPr>
        <w:t>The University</w:t>
      </w:r>
      <w:r w:rsidRPr="00AA4677">
        <w:rPr>
          <w:rFonts w:eastAsia="Times New Roman" w:cs="Times New Roman"/>
          <w:szCs w:val="24"/>
        </w:rPr>
        <w:t xml:space="preserve"> is committed to providing training and an on-going educational process for investigators and members of their research team related to ethical concerns and regulatory and institutional requirements for the protection of human subjects. As an example, initial and continuing research ethics education is required for all personnel who conduct, review, approve, oversee, support, or manage human subjects research sponsored by the Department of Defense.</w:t>
      </w:r>
    </w:p>
    <w:p w14:paraId="062B33EF" w14:textId="3E1D2D42" w:rsidR="00BA15C7" w:rsidRPr="00AA4677" w:rsidRDefault="00FC174E" w:rsidP="00BA15C7">
      <w:pPr>
        <w:shd w:val="clear" w:color="auto" w:fill="FFFFFF"/>
        <w:spacing w:before="100" w:beforeAutospacing="1" w:after="100" w:afterAutospacing="1"/>
      </w:pPr>
      <w:r w:rsidRPr="00AA4677">
        <w:rPr>
          <w:rFonts w:eastAsia="Times New Roman" w:cs="Times New Roman"/>
          <w:szCs w:val="24"/>
        </w:rPr>
        <w:t xml:space="preserve">Approval of new and continuing review submissions will be withheld unless all individuals listed </w:t>
      </w:r>
      <w:r w:rsidR="0037334D" w:rsidRPr="00AA4677">
        <w:rPr>
          <w:rFonts w:eastAsia="Times New Roman" w:cs="Times New Roman"/>
          <w:szCs w:val="24"/>
        </w:rPr>
        <w:t>in the electronic submission form a</w:t>
      </w:r>
      <w:r w:rsidRPr="00AA4677">
        <w:rPr>
          <w:rFonts w:eastAsia="Times New Roman" w:cs="Times New Roman"/>
          <w:szCs w:val="24"/>
        </w:rPr>
        <w:t>s part of the study team are current in their certifi</w:t>
      </w:r>
      <w:r w:rsidR="00044212" w:rsidRPr="00AA4677">
        <w:rPr>
          <w:rFonts w:eastAsia="Times New Roman" w:cs="Times New Roman"/>
          <w:szCs w:val="24"/>
        </w:rPr>
        <w:t>cation to conduct human subject</w:t>
      </w:r>
      <w:r w:rsidRPr="00AA4677">
        <w:rPr>
          <w:rFonts w:eastAsia="Times New Roman" w:cs="Times New Roman"/>
          <w:szCs w:val="24"/>
        </w:rPr>
        <w:t xml:space="preserve"> research, as defined in this document. </w:t>
      </w:r>
      <w:r w:rsidR="00382703" w:rsidRPr="00AA4677">
        <w:rPr>
          <w:rFonts w:eastAsia="Times New Roman"/>
        </w:rPr>
        <w:t xml:space="preserve">myResearch </w:t>
      </w:r>
      <w:r w:rsidR="00BA15C7" w:rsidRPr="00AA4677">
        <w:rPr>
          <w:rFonts w:eastAsia="Times New Roman"/>
        </w:rPr>
        <w:t>automatically indicates if the training for the person is up to date.</w:t>
      </w:r>
    </w:p>
    <w:p w14:paraId="6A4790F6" w14:textId="14BDA94D" w:rsidR="00FC174E" w:rsidRPr="00AA4677" w:rsidRDefault="00401269" w:rsidP="00C57C98">
      <w:pPr>
        <w:pStyle w:val="Heading3"/>
      </w:pPr>
      <w:r w:rsidRPr="00AA4677">
        <w:t>12.4.1 Initial/Continuing Education</w:t>
      </w:r>
    </w:p>
    <w:p w14:paraId="64AE61DD" w14:textId="402CD8AE" w:rsidR="00205AE9" w:rsidRPr="00AA4677" w:rsidRDefault="00FC174E" w:rsidP="00AC489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All </w:t>
      </w:r>
      <w:r w:rsidR="00044212" w:rsidRPr="00AA4677">
        <w:rPr>
          <w:rFonts w:eastAsia="Times New Roman" w:cs="Times New Roman"/>
          <w:szCs w:val="24"/>
        </w:rPr>
        <w:t>PIs</w:t>
      </w:r>
      <w:r w:rsidRPr="00AA4677">
        <w:rPr>
          <w:rFonts w:eastAsia="Times New Roman" w:cs="Times New Roman"/>
          <w:szCs w:val="24"/>
        </w:rPr>
        <w:t xml:space="preserve"> and members of their research team</w:t>
      </w:r>
      <w:r w:rsidR="001B789B" w:rsidRPr="00AA4677">
        <w:rPr>
          <w:rFonts w:eastAsia="Times New Roman" w:cs="Times New Roman"/>
          <w:szCs w:val="24"/>
        </w:rPr>
        <w:t xml:space="preserve"> (including students)</w:t>
      </w:r>
      <w:r w:rsidRPr="00AA4677">
        <w:rPr>
          <w:rFonts w:eastAsia="Times New Roman" w:cs="Times New Roman"/>
          <w:szCs w:val="24"/>
        </w:rPr>
        <w:t xml:space="preserve"> must: </w:t>
      </w:r>
    </w:p>
    <w:p w14:paraId="5AD94BF8" w14:textId="0D76367B" w:rsidR="00205AE9" w:rsidRPr="00AA4677" w:rsidRDefault="00AC4893">
      <w:pPr>
        <w:pStyle w:val="ListParagraph"/>
        <w:numPr>
          <w:ilvl w:val="0"/>
          <w:numId w:val="11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R</w:t>
      </w:r>
      <w:r w:rsidR="00FC174E" w:rsidRPr="00AA4677">
        <w:rPr>
          <w:rFonts w:eastAsia="Times New Roman" w:cs="Times New Roman"/>
          <w:szCs w:val="24"/>
        </w:rPr>
        <w:t>eview core training documentation including the “SBU Standard Operating Policies and Procedures for Human Research Protection” and the “Belmont Report: Ethical Principles and Guidelines for the Protection of Human Subjects of</w:t>
      </w:r>
      <w:r w:rsidR="00044212" w:rsidRPr="00AA4677">
        <w:rPr>
          <w:rFonts w:eastAsia="Times New Roman" w:cs="Times New Roman"/>
          <w:szCs w:val="24"/>
        </w:rPr>
        <w:t xml:space="preserve"> Research</w:t>
      </w:r>
      <w:proofErr w:type="gramStart"/>
      <w:r w:rsidR="0037334D" w:rsidRPr="00AA4677">
        <w:rPr>
          <w:rFonts w:eastAsia="Times New Roman" w:cs="Times New Roman"/>
          <w:szCs w:val="24"/>
        </w:rPr>
        <w:t>”</w:t>
      </w:r>
      <w:r w:rsidR="00044212" w:rsidRPr="00AA4677">
        <w:rPr>
          <w:rFonts w:eastAsia="Times New Roman" w:cs="Times New Roman"/>
          <w:szCs w:val="24"/>
        </w:rPr>
        <w:t>;</w:t>
      </w:r>
      <w:proofErr w:type="gramEnd"/>
      <w:r w:rsidR="00044212" w:rsidRPr="00AA4677">
        <w:rPr>
          <w:rFonts w:eastAsia="Times New Roman" w:cs="Times New Roman"/>
          <w:szCs w:val="24"/>
        </w:rPr>
        <w:t xml:space="preserve"> </w:t>
      </w:r>
    </w:p>
    <w:p w14:paraId="166F1B2D" w14:textId="0699F1AE" w:rsidR="00FC174E" w:rsidRPr="00AA4677" w:rsidRDefault="00044212">
      <w:pPr>
        <w:pStyle w:val="ListParagraph"/>
        <w:numPr>
          <w:ilvl w:val="0"/>
          <w:numId w:val="11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B</w:t>
      </w:r>
      <w:r w:rsidR="00FC174E" w:rsidRPr="00AA4677">
        <w:rPr>
          <w:rFonts w:eastAsia="Times New Roman" w:cs="Times New Roman"/>
          <w:szCs w:val="24"/>
        </w:rPr>
        <w:t xml:space="preserve">e familiar with the </w:t>
      </w:r>
      <w:r w:rsidRPr="00AA4677">
        <w:rPr>
          <w:rFonts w:eastAsia="Times New Roman" w:cs="Times New Roman"/>
          <w:szCs w:val="24"/>
        </w:rPr>
        <w:t>University</w:t>
      </w:r>
      <w:r w:rsidR="00FC174E" w:rsidRPr="00AA4677">
        <w:rPr>
          <w:rFonts w:eastAsia="Times New Roman" w:cs="Times New Roman"/>
          <w:szCs w:val="24"/>
        </w:rPr>
        <w:t xml:space="preserve"> HRPP website, and the availability of links and other information contained </w:t>
      </w:r>
      <w:proofErr w:type="gramStart"/>
      <w:r w:rsidR="00FC174E" w:rsidRPr="00AA4677">
        <w:rPr>
          <w:rFonts w:eastAsia="Times New Roman" w:cs="Times New Roman"/>
          <w:szCs w:val="24"/>
        </w:rPr>
        <w:t>within</w:t>
      </w:r>
      <w:r w:rsidRPr="00AA4677">
        <w:rPr>
          <w:rFonts w:eastAsia="Times New Roman" w:cs="Times New Roman"/>
          <w:szCs w:val="24"/>
        </w:rPr>
        <w:t>;</w:t>
      </w:r>
      <w:proofErr w:type="gramEnd"/>
      <w:r w:rsidR="00FC174E" w:rsidRPr="00AA4677">
        <w:rPr>
          <w:rFonts w:eastAsia="Times New Roman" w:cs="Times New Roman"/>
          <w:szCs w:val="24"/>
        </w:rPr>
        <w:t xml:space="preserve"> </w:t>
      </w:r>
    </w:p>
    <w:p w14:paraId="51DBF670" w14:textId="77777777" w:rsidR="00401269" w:rsidRPr="00AA4677" w:rsidRDefault="00401269">
      <w:pPr>
        <w:numPr>
          <w:ilvl w:val="0"/>
          <w:numId w:val="11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Complete the University-required Basic Modules in the CITI Course in the Protection of Human Research </w:t>
      </w:r>
      <w:proofErr w:type="gramStart"/>
      <w:r w:rsidRPr="00AA4677">
        <w:rPr>
          <w:rFonts w:eastAsia="Times New Roman" w:cs="Times New Roman"/>
          <w:szCs w:val="24"/>
        </w:rPr>
        <w:t>Subjects, and</w:t>
      </w:r>
      <w:proofErr w:type="gramEnd"/>
      <w:r w:rsidRPr="00AA4677">
        <w:rPr>
          <w:rFonts w:eastAsia="Times New Roman" w:cs="Times New Roman"/>
          <w:szCs w:val="24"/>
        </w:rPr>
        <w:t xml:space="preserve"> pass the required quizzes with a score of 80 or better. Ongoing refresher training must be completed every 3 years.</w:t>
      </w:r>
    </w:p>
    <w:p w14:paraId="7E8A0E16" w14:textId="77777777" w:rsidR="00401269" w:rsidRPr="00AA4677" w:rsidRDefault="00401269">
      <w:pPr>
        <w:numPr>
          <w:ilvl w:val="0"/>
          <w:numId w:val="11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Monthly workshops are provided to study team members on various topics regarding human subject research. These topics range from recruitment/advertisements to consent forms.</w:t>
      </w:r>
    </w:p>
    <w:p w14:paraId="421B688A" w14:textId="43C47888" w:rsidR="006C359B" w:rsidRPr="00AA4677" w:rsidRDefault="00C91922" w:rsidP="00AC489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Additional training:  </w:t>
      </w:r>
    </w:p>
    <w:p w14:paraId="60DB8078" w14:textId="30865E5C" w:rsidR="00FC174E" w:rsidRPr="00AA4677" w:rsidRDefault="00C91922">
      <w:pPr>
        <w:numPr>
          <w:ilvl w:val="1"/>
          <w:numId w:val="257"/>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Study Coordinators on file with the Office of Clinical Trials must satisfy a one-time completion of the CITI course on Clinical Research Coordinators (CRC)</w:t>
      </w:r>
    </w:p>
    <w:p w14:paraId="605AD592" w14:textId="2EE00B64" w:rsidR="0037034E" w:rsidRPr="00AA4677" w:rsidRDefault="006C359B">
      <w:pPr>
        <w:numPr>
          <w:ilvl w:val="1"/>
          <w:numId w:val="257"/>
        </w:numPr>
        <w:shd w:val="clear" w:color="auto" w:fill="FFFFFF"/>
        <w:spacing w:after="0" w:line="240" w:lineRule="auto"/>
        <w:ind w:left="360"/>
        <w:rPr>
          <w:rFonts w:eastAsia="Times New Roman" w:cs="Times New Roman"/>
          <w:szCs w:val="24"/>
        </w:rPr>
      </w:pPr>
      <w:r w:rsidRPr="00AA4677">
        <w:rPr>
          <w:rFonts w:eastAsia="Times New Roman" w:cs="Times New Roman"/>
          <w:szCs w:val="24"/>
        </w:rPr>
        <w:t>NIH-funded investigators and clinical trial site staff who are responsible for the conduct, management and oversight of NIH-funded clinical trials</w:t>
      </w:r>
      <w:r w:rsidR="006A4535" w:rsidRPr="00AA4677">
        <w:rPr>
          <w:rFonts w:eastAsia="Times New Roman" w:cs="Times New Roman"/>
          <w:szCs w:val="24"/>
        </w:rPr>
        <w:t xml:space="preserve"> must complete training in GCP </w:t>
      </w:r>
      <w:r w:rsidRPr="00AA4677">
        <w:rPr>
          <w:rFonts w:eastAsia="Times New Roman" w:cs="Times New Roman"/>
          <w:szCs w:val="24"/>
        </w:rPr>
        <w:t xml:space="preserve">every </w:t>
      </w:r>
      <w:r w:rsidR="006A4535" w:rsidRPr="00AA4677">
        <w:rPr>
          <w:rFonts w:eastAsia="Times New Roman" w:cs="Times New Roman"/>
          <w:szCs w:val="24"/>
        </w:rPr>
        <w:t>three years</w:t>
      </w:r>
      <w:r w:rsidRPr="00AA4677">
        <w:rPr>
          <w:rFonts w:eastAsia="Times New Roman" w:cs="Times New Roman"/>
          <w:szCs w:val="24"/>
        </w:rPr>
        <w:t>.</w:t>
      </w:r>
      <w:r w:rsidR="008E52F4" w:rsidRPr="00AA4677">
        <w:rPr>
          <w:rFonts w:eastAsia="Times New Roman" w:cs="Times New Roman"/>
          <w:szCs w:val="24"/>
        </w:rPr>
        <w:t xml:space="preserve"> </w:t>
      </w:r>
      <w:r w:rsidR="0037034E" w:rsidRPr="00AA4677">
        <w:rPr>
          <w:rFonts w:eastAsia="Times New Roman" w:cs="Times New Roman"/>
          <w:szCs w:val="24"/>
        </w:rPr>
        <w:t xml:space="preserve">Individuals who are funded externally must take the following training for conflict of interest: </w:t>
      </w:r>
    </w:p>
    <w:p w14:paraId="6433EFDF" w14:textId="7C82E7E2" w:rsidR="0037034E" w:rsidRPr="00AA4677" w:rsidRDefault="0037034E">
      <w:pPr>
        <w:numPr>
          <w:ilvl w:val="0"/>
          <w:numId w:val="255"/>
        </w:numPr>
        <w:shd w:val="clear" w:color="auto" w:fill="FFFFFF"/>
        <w:spacing w:after="0" w:line="240" w:lineRule="auto"/>
        <w:rPr>
          <w:rFonts w:eastAsia="Times New Roman" w:cs="Times New Roman"/>
          <w:szCs w:val="24"/>
        </w:rPr>
      </w:pPr>
      <w:r w:rsidRPr="00AA4677">
        <w:rPr>
          <w:rFonts w:eastAsia="Times New Roman" w:cs="Times New Roman"/>
          <w:szCs w:val="24"/>
        </w:rPr>
        <w:t>Required every 4 years</w:t>
      </w:r>
    </w:p>
    <w:p w14:paraId="37862FE7" w14:textId="77777777" w:rsidR="0037034E" w:rsidRPr="00AA4677" w:rsidRDefault="0037034E">
      <w:pPr>
        <w:pStyle w:val="ListParagraph"/>
        <w:numPr>
          <w:ilvl w:val="0"/>
          <w:numId w:val="255"/>
        </w:num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Education is required immediately when:</w:t>
      </w:r>
    </w:p>
    <w:p w14:paraId="31E88E5B" w14:textId="782A1734" w:rsidR="0037034E" w:rsidRPr="00AA4677" w:rsidRDefault="0037034E">
      <w:pPr>
        <w:pStyle w:val="ListParagraph"/>
        <w:numPr>
          <w:ilvl w:val="0"/>
          <w:numId w:val="256"/>
        </w:numPr>
        <w:shd w:val="clear" w:color="auto" w:fill="FFFFFF"/>
        <w:tabs>
          <w:tab w:val="clear" w:pos="720"/>
          <w:tab w:val="left" w:pos="1080"/>
        </w:tabs>
        <w:spacing w:after="0" w:line="240" w:lineRule="auto"/>
        <w:ind w:left="1080"/>
        <w:rPr>
          <w:rFonts w:eastAsia="Times New Roman" w:cs="Times New Roman"/>
          <w:szCs w:val="24"/>
        </w:rPr>
      </w:pPr>
      <w:r w:rsidRPr="00AA4677">
        <w:rPr>
          <w:rFonts w:eastAsia="Times New Roman" w:cs="Times New Roman"/>
          <w:szCs w:val="24"/>
        </w:rPr>
        <w:t xml:space="preserve">Financial conflict of interest policies </w:t>
      </w:r>
      <w:proofErr w:type="gramStart"/>
      <w:r w:rsidRPr="00AA4677">
        <w:rPr>
          <w:rFonts w:eastAsia="Times New Roman" w:cs="Times New Roman"/>
          <w:szCs w:val="24"/>
        </w:rPr>
        <w:t>are</w:t>
      </w:r>
      <w:proofErr w:type="gramEnd"/>
      <w:r w:rsidRPr="00AA4677">
        <w:rPr>
          <w:rFonts w:eastAsia="Times New Roman" w:cs="Times New Roman"/>
          <w:szCs w:val="24"/>
        </w:rPr>
        <w:t xml:space="preserve"> revised in a manner that changes research </w:t>
      </w:r>
      <w:r w:rsidR="008E52F4" w:rsidRPr="00AA4677">
        <w:rPr>
          <w:rFonts w:eastAsia="Times New Roman" w:cs="Times New Roman"/>
          <w:szCs w:val="24"/>
        </w:rPr>
        <w:t xml:space="preserve"> </w:t>
      </w:r>
      <w:r w:rsidRPr="00AA4677">
        <w:rPr>
          <w:rFonts w:eastAsia="Times New Roman" w:cs="Times New Roman"/>
          <w:szCs w:val="24"/>
        </w:rPr>
        <w:t>requirements</w:t>
      </w:r>
    </w:p>
    <w:p w14:paraId="41A9FFF1" w14:textId="77777777" w:rsidR="0037034E" w:rsidRPr="00AA4677" w:rsidRDefault="0037034E">
      <w:pPr>
        <w:numPr>
          <w:ilvl w:val="0"/>
          <w:numId w:val="256"/>
        </w:numPr>
        <w:shd w:val="clear" w:color="auto" w:fill="FFFFFF"/>
        <w:tabs>
          <w:tab w:val="left" w:pos="1080"/>
        </w:tabs>
        <w:spacing w:after="0" w:line="240" w:lineRule="auto"/>
        <w:ind w:firstLine="0"/>
        <w:rPr>
          <w:rFonts w:eastAsia="Times New Roman" w:cs="Times New Roman"/>
          <w:szCs w:val="24"/>
        </w:rPr>
      </w:pPr>
      <w:r w:rsidRPr="00AA4677">
        <w:rPr>
          <w:rFonts w:eastAsia="Times New Roman" w:cs="Times New Roman"/>
          <w:szCs w:val="24"/>
        </w:rPr>
        <w:t>A researcher is new to the organization</w:t>
      </w:r>
    </w:p>
    <w:p w14:paraId="508FE195" w14:textId="095BEEA0" w:rsidR="0037034E" w:rsidRPr="00AA4677" w:rsidRDefault="0037034E">
      <w:pPr>
        <w:numPr>
          <w:ilvl w:val="0"/>
          <w:numId w:val="256"/>
        </w:numPr>
        <w:shd w:val="clear" w:color="auto" w:fill="FFFFFF"/>
        <w:tabs>
          <w:tab w:val="left" w:pos="1080"/>
        </w:tabs>
        <w:spacing w:after="0" w:line="240" w:lineRule="auto"/>
        <w:ind w:firstLine="0"/>
        <w:rPr>
          <w:rFonts w:eastAsia="Times New Roman" w:cs="Times New Roman"/>
          <w:szCs w:val="24"/>
        </w:rPr>
      </w:pPr>
      <w:r w:rsidRPr="00AA4677">
        <w:rPr>
          <w:rFonts w:eastAsia="Times New Roman" w:cs="Times New Roman"/>
          <w:szCs w:val="24"/>
        </w:rPr>
        <w:t>A researcher is non-compliant with financial conflict of interest policies and procedures</w:t>
      </w:r>
    </w:p>
    <w:p w14:paraId="2721A2D2" w14:textId="77777777" w:rsidR="00FC174E" w:rsidRPr="00AA4677" w:rsidRDefault="00FC174E" w:rsidP="001D3801">
      <w:pPr>
        <w:pStyle w:val="Heading4"/>
      </w:pPr>
      <w:r w:rsidRPr="00AA4677">
        <w:t>12.4.1.1 The Collaborative Institutional Training Initiative (CITI)</w:t>
      </w:r>
    </w:p>
    <w:p w14:paraId="5070119A" w14:textId="5A8706E3" w:rsidR="00FC174E" w:rsidRPr="00AA4677" w:rsidRDefault="00044212"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University</w:t>
      </w:r>
      <w:r w:rsidR="00FC174E" w:rsidRPr="00AA4677">
        <w:rPr>
          <w:rFonts w:eastAsia="Times New Roman" w:cs="Times New Roman"/>
          <w:szCs w:val="24"/>
        </w:rPr>
        <w:t xml:space="preserve"> offers access to the CITI program to all </w:t>
      </w:r>
      <w:r w:rsidRPr="00AA4677">
        <w:rPr>
          <w:rFonts w:eastAsia="Times New Roman" w:cs="Times New Roman"/>
          <w:szCs w:val="24"/>
        </w:rPr>
        <w:t>University</w:t>
      </w:r>
      <w:r w:rsidR="00FC174E" w:rsidRPr="00AA4677">
        <w:rPr>
          <w:rFonts w:eastAsia="Times New Roman" w:cs="Times New Roman"/>
          <w:szCs w:val="24"/>
        </w:rPr>
        <w:t xml:space="preserve"> faculty, staff, </w:t>
      </w:r>
      <w:r w:rsidRPr="00AA4677">
        <w:rPr>
          <w:rFonts w:eastAsia="Times New Roman" w:cs="Times New Roman"/>
          <w:szCs w:val="24"/>
        </w:rPr>
        <w:t>and students. Non-University</w:t>
      </w:r>
      <w:r w:rsidR="00FC174E" w:rsidRPr="00AA4677">
        <w:rPr>
          <w:rFonts w:eastAsia="Times New Roman" w:cs="Times New Roman"/>
          <w:szCs w:val="24"/>
        </w:rPr>
        <w:t xml:space="preserve"> investigators can use the CITI program if they are on file with </w:t>
      </w: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as an investigator on an IRB application (approved or pending). </w:t>
      </w:r>
      <w:r w:rsidR="00FC174E" w:rsidRPr="00AA4677">
        <w:rPr>
          <w:rFonts w:eastAsia="Times New Roman" w:cs="Times New Roman"/>
          <w:b/>
          <w:bCs/>
          <w:szCs w:val="24"/>
        </w:rPr>
        <w:t>Unauthorized use of the CITI program is prohibited.</w:t>
      </w:r>
    </w:p>
    <w:p w14:paraId="76602D70" w14:textId="62A0D8D2" w:rsidR="00FC174E" w:rsidRPr="00AA4677" w:rsidRDefault="00FC174E" w:rsidP="00044212">
      <w:pPr>
        <w:shd w:val="clear" w:color="auto" w:fill="FFFFFF"/>
        <w:spacing w:after="0" w:line="240" w:lineRule="auto"/>
        <w:rPr>
          <w:rFonts w:eastAsia="Times New Roman" w:cs="Times New Roman"/>
          <w:szCs w:val="24"/>
        </w:rPr>
      </w:pPr>
      <w:r w:rsidRPr="00AA4677">
        <w:rPr>
          <w:rFonts w:eastAsia="Times New Roman" w:cs="Times New Roman"/>
          <w:szCs w:val="24"/>
        </w:rPr>
        <w:t>The CITI web-based program is available at </w:t>
      </w:r>
      <w:hyperlink r:id="rId124" w:history="1">
        <w:r w:rsidRPr="00696B35">
          <w:rPr>
            <w:rStyle w:val="Hyperlink"/>
            <w:rFonts w:eastAsia="Times New Roman" w:cs="Times New Roman"/>
            <w:b/>
            <w:bCs/>
            <w:szCs w:val="24"/>
          </w:rPr>
          <w:t>http://www.citiprogram.org</w:t>
        </w:r>
      </w:hyperlink>
      <w:r w:rsidR="00044212" w:rsidRPr="00AA4677">
        <w:rPr>
          <w:rFonts w:eastAsia="Times New Roman" w:cs="Times New Roman"/>
          <w:b/>
          <w:bCs/>
          <w:szCs w:val="24"/>
        </w:rPr>
        <w:t xml:space="preserve">. </w:t>
      </w:r>
      <w:r w:rsidRPr="00AA4677">
        <w:rPr>
          <w:rFonts w:eastAsia="Times New Roman" w:cs="Times New Roman"/>
          <w:szCs w:val="24"/>
        </w:rPr>
        <w:t xml:space="preserve">Investigators register under SUNY University at Stony Brook.  After login, questions will be asked to </w:t>
      </w:r>
      <w:r w:rsidR="00AC4893" w:rsidRPr="00AA4677">
        <w:rPr>
          <w:rFonts w:eastAsia="Times New Roman" w:cs="Times New Roman"/>
          <w:szCs w:val="24"/>
        </w:rPr>
        <w:t>assess what type of training is</w:t>
      </w:r>
      <w:r w:rsidRPr="00AA4677">
        <w:rPr>
          <w:rFonts w:eastAsia="Times New Roman" w:cs="Times New Roman"/>
          <w:szCs w:val="24"/>
        </w:rPr>
        <w:t xml:space="preserve"> require</w:t>
      </w:r>
      <w:r w:rsidR="00AC4893" w:rsidRPr="00AA4677">
        <w:rPr>
          <w:rFonts w:eastAsia="Times New Roman" w:cs="Times New Roman"/>
          <w:szCs w:val="24"/>
        </w:rPr>
        <w:t>d</w:t>
      </w:r>
      <w:r w:rsidRPr="00AA4677">
        <w:rPr>
          <w:rFonts w:eastAsia="Times New Roman" w:cs="Times New Roman"/>
          <w:szCs w:val="24"/>
        </w:rPr>
        <w:t xml:space="preserve"> based on certain criteria; it is the investigator’s responsibility to choose the answers that most accurately addresses:</w:t>
      </w:r>
    </w:p>
    <w:p w14:paraId="62BC227D" w14:textId="24C0BB27" w:rsidR="00FC174E" w:rsidRPr="00AA4677" w:rsidRDefault="00AC4893">
      <w:pPr>
        <w:numPr>
          <w:ilvl w:val="0"/>
          <w:numId w:val="25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L</w:t>
      </w:r>
      <w:r w:rsidR="00FC174E" w:rsidRPr="00AA4677">
        <w:rPr>
          <w:rFonts w:eastAsia="Times New Roman" w:cs="Times New Roman"/>
          <w:szCs w:val="24"/>
        </w:rPr>
        <w:t xml:space="preserve">evel of </w:t>
      </w:r>
      <w:r w:rsidR="00044212" w:rsidRPr="00AA4677">
        <w:rPr>
          <w:rFonts w:eastAsia="Times New Roman" w:cs="Times New Roman"/>
          <w:szCs w:val="24"/>
        </w:rPr>
        <w:t xml:space="preserve">University </w:t>
      </w:r>
      <w:r w:rsidR="00FC174E" w:rsidRPr="00AA4677">
        <w:rPr>
          <w:rFonts w:eastAsia="Times New Roman" w:cs="Times New Roman"/>
          <w:szCs w:val="24"/>
        </w:rPr>
        <w:t xml:space="preserve">training (initial, </w:t>
      </w:r>
      <w:r w:rsidR="0037334D" w:rsidRPr="00AA4677">
        <w:rPr>
          <w:rFonts w:eastAsia="Times New Roman" w:cs="Times New Roman"/>
          <w:szCs w:val="24"/>
        </w:rPr>
        <w:t>refresher</w:t>
      </w:r>
      <w:proofErr w:type="gramStart"/>
      <w:r w:rsidR="0037334D" w:rsidRPr="00AA4677">
        <w:rPr>
          <w:rFonts w:eastAsia="Times New Roman" w:cs="Times New Roman"/>
          <w:szCs w:val="24"/>
        </w:rPr>
        <w:t>)</w:t>
      </w:r>
      <w:r w:rsidR="00044212" w:rsidRPr="00AA4677">
        <w:rPr>
          <w:rFonts w:eastAsia="Times New Roman" w:cs="Times New Roman"/>
          <w:szCs w:val="24"/>
        </w:rPr>
        <w:t>;</w:t>
      </w:r>
      <w:proofErr w:type="gramEnd"/>
    </w:p>
    <w:p w14:paraId="6683F88A" w14:textId="3A51E175" w:rsidR="00FC174E" w:rsidRPr="00AA4677" w:rsidRDefault="00AC4893">
      <w:pPr>
        <w:numPr>
          <w:ilvl w:val="0"/>
          <w:numId w:val="25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ype of research (biomedical, social behavioral</w:t>
      </w:r>
      <w:r w:rsidR="0037334D" w:rsidRPr="00AA4677">
        <w:rPr>
          <w:rFonts w:eastAsia="Times New Roman" w:cs="Times New Roman"/>
          <w:szCs w:val="24"/>
        </w:rPr>
        <w:t>)</w:t>
      </w:r>
      <w:r w:rsidR="00044212" w:rsidRPr="00AA4677">
        <w:rPr>
          <w:rFonts w:eastAsia="Times New Roman" w:cs="Times New Roman"/>
          <w:szCs w:val="24"/>
        </w:rPr>
        <w:t>; and</w:t>
      </w:r>
    </w:p>
    <w:p w14:paraId="6FE2ABE2" w14:textId="131A5234" w:rsidR="00FC174E" w:rsidRPr="00AA4677" w:rsidRDefault="00AC4893">
      <w:pPr>
        <w:numPr>
          <w:ilvl w:val="0"/>
          <w:numId w:val="25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R</w:t>
      </w:r>
      <w:r w:rsidR="00FC174E" w:rsidRPr="00AA4677">
        <w:rPr>
          <w:rFonts w:eastAsia="Times New Roman" w:cs="Times New Roman"/>
          <w:szCs w:val="24"/>
        </w:rPr>
        <w:t>ole in the research activities (data/tissues only, interaction with subjects, etc.)</w:t>
      </w:r>
      <w:r w:rsidR="00044212" w:rsidRPr="00AA4677">
        <w:rPr>
          <w:rFonts w:eastAsia="Times New Roman" w:cs="Times New Roman"/>
          <w:szCs w:val="24"/>
        </w:rPr>
        <w:t>.</w:t>
      </w:r>
    </w:p>
    <w:p w14:paraId="65E8F090" w14:textId="5EBE3FA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Completion of the ini</w:t>
      </w:r>
      <w:r w:rsidR="00AC4893" w:rsidRPr="00AA4677">
        <w:rPr>
          <w:rFonts w:eastAsia="Times New Roman" w:cs="Times New Roman"/>
          <w:szCs w:val="24"/>
        </w:rPr>
        <w:t xml:space="preserve">tial training through CITI </w:t>
      </w:r>
      <w:r w:rsidRPr="00AA4677">
        <w:rPr>
          <w:rFonts w:eastAsia="Times New Roman" w:cs="Times New Roman"/>
          <w:szCs w:val="24"/>
        </w:rPr>
        <w:t>take</w:t>
      </w:r>
      <w:r w:rsidR="00AC4893" w:rsidRPr="00AA4677">
        <w:rPr>
          <w:rFonts w:eastAsia="Times New Roman" w:cs="Times New Roman"/>
          <w:szCs w:val="24"/>
        </w:rPr>
        <w:t>s</w:t>
      </w:r>
      <w:r w:rsidRPr="00AA4677">
        <w:rPr>
          <w:rFonts w:eastAsia="Times New Roman" w:cs="Times New Roman"/>
          <w:szCs w:val="24"/>
        </w:rPr>
        <w:t xml:space="preserve"> approximately </w:t>
      </w:r>
      <w:r w:rsidR="00044212" w:rsidRPr="00AA4677">
        <w:rPr>
          <w:rFonts w:eastAsia="Times New Roman" w:cs="Times New Roman"/>
          <w:szCs w:val="24"/>
        </w:rPr>
        <w:t>four to six (</w:t>
      </w:r>
      <w:r w:rsidRPr="00AA4677">
        <w:rPr>
          <w:rFonts w:eastAsia="Times New Roman" w:cs="Times New Roman"/>
          <w:szCs w:val="24"/>
        </w:rPr>
        <w:t>4-6</w:t>
      </w:r>
      <w:r w:rsidR="00044212" w:rsidRPr="00AA4677">
        <w:rPr>
          <w:rFonts w:eastAsia="Times New Roman" w:cs="Times New Roman"/>
          <w:szCs w:val="24"/>
        </w:rPr>
        <w:t>)</w:t>
      </w:r>
      <w:r w:rsidRPr="00AA4677">
        <w:rPr>
          <w:rFonts w:eastAsia="Times New Roman" w:cs="Times New Roman"/>
          <w:szCs w:val="24"/>
        </w:rPr>
        <w:t xml:space="preserve"> hours, although the trainee can go back over multiple sessions to complete training.</w:t>
      </w:r>
    </w:p>
    <w:p w14:paraId="3461C112" w14:textId="468ABFD1" w:rsidR="00FC174E" w:rsidRPr="00AA4677" w:rsidRDefault="0037334D"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Biomedical Research Alliance of New York</w:t>
      </w:r>
      <w:r w:rsidR="00FC174E" w:rsidRPr="00AA4677">
        <w:rPr>
          <w:rFonts w:eastAsia="Times New Roman" w:cs="Times New Roman"/>
          <w:szCs w:val="24"/>
        </w:rPr>
        <w:t xml:space="preserve"> (</w:t>
      </w:r>
      <w:proofErr w:type="gramStart"/>
      <w:r w:rsidRPr="00AA4677">
        <w:rPr>
          <w:rFonts w:eastAsia="Times New Roman" w:cs="Times New Roman"/>
          <w:szCs w:val="24"/>
        </w:rPr>
        <w:t>BRANY;</w:t>
      </w:r>
      <w:proofErr w:type="gramEnd"/>
      <w:r w:rsidRPr="00AA4677">
        <w:rPr>
          <w:rFonts w:eastAsia="Times New Roman" w:cs="Times New Roman"/>
          <w:szCs w:val="24"/>
        </w:rPr>
        <w:t xml:space="preserve"> </w:t>
      </w:r>
      <w:r w:rsidR="00FC174E" w:rsidRPr="00AA4677">
        <w:rPr>
          <w:rFonts w:eastAsia="Times New Roman" w:cs="Times New Roman"/>
          <w:szCs w:val="24"/>
        </w:rPr>
        <w:t xml:space="preserve">which provides the IT, administrative support, and home to the CITI </w:t>
      </w:r>
      <w:r w:rsidR="00BF7B31" w:rsidRPr="00AA4677">
        <w:rPr>
          <w:rFonts w:eastAsia="Times New Roman" w:cs="Times New Roman"/>
          <w:szCs w:val="24"/>
        </w:rPr>
        <w:t>P</w:t>
      </w:r>
      <w:r w:rsidR="00FC174E" w:rsidRPr="00AA4677">
        <w:rPr>
          <w:rFonts w:eastAsia="Times New Roman" w:cs="Times New Roman"/>
          <w:szCs w:val="24"/>
        </w:rPr>
        <w:t xml:space="preserve">rogram) issues CME/CEU credits for a fee. </w:t>
      </w:r>
      <w:proofErr w:type="gramStart"/>
      <w:r w:rsidR="00FC174E" w:rsidRPr="00AA4677">
        <w:rPr>
          <w:rFonts w:eastAsia="Times New Roman" w:cs="Times New Roman"/>
          <w:szCs w:val="24"/>
        </w:rPr>
        <w:t>In order to</w:t>
      </w:r>
      <w:proofErr w:type="gramEnd"/>
      <w:r w:rsidR="00FC174E" w:rsidRPr="00AA4677">
        <w:rPr>
          <w:rFonts w:eastAsia="Times New Roman" w:cs="Times New Roman"/>
          <w:szCs w:val="24"/>
        </w:rPr>
        <w:t xml:space="preserve"> qualify for CME/CEU credits, you must take and pass all required modules for the group you choose. Click the link for CME/CEU credits on the Learner's Menu for detailed information.</w:t>
      </w:r>
    </w:p>
    <w:p w14:paraId="25389393" w14:textId="1B935F39" w:rsidR="00FC174E" w:rsidRPr="00AA4677" w:rsidRDefault="00FC174E" w:rsidP="00C57C98">
      <w:pPr>
        <w:pStyle w:val="Heading3"/>
      </w:pPr>
      <w:r w:rsidRPr="00AA4677">
        <w:t>12.4.2 Waiver of Initial Education</w:t>
      </w:r>
    </w:p>
    <w:p w14:paraId="0682458C" w14:textId="643130FC"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bookmarkStart w:id="315" w:name="_Hlk192161514"/>
      <w:r w:rsidRPr="00AA4677">
        <w:rPr>
          <w:rFonts w:eastAsia="Times New Roman" w:cs="Times New Roman"/>
          <w:szCs w:val="24"/>
        </w:rPr>
        <w:t xml:space="preserve">If investigators or members of their research team are new to </w:t>
      </w:r>
      <w:r w:rsidR="00044212" w:rsidRPr="00AA4677">
        <w:rPr>
          <w:rFonts w:eastAsia="Times New Roman" w:cs="Times New Roman"/>
          <w:szCs w:val="24"/>
        </w:rPr>
        <w:t>the University</w:t>
      </w:r>
      <w:r w:rsidR="00176D4B" w:rsidRPr="00AA4677">
        <w:rPr>
          <w:rFonts w:eastAsia="Times New Roman" w:cs="Times New Roman"/>
          <w:szCs w:val="24"/>
        </w:rPr>
        <w:t xml:space="preserve"> and have come from another institution</w:t>
      </w:r>
      <w:r w:rsidRPr="00AA4677">
        <w:rPr>
          <w:rFonts w:eastAsia="Times New Roman" w:cs="Times New Roman"/>
          <w:szCs w:val="24"/>
        </w:rPr>
        <w:t xml:space="preserve">, they </w:t>
      </w:r>
      <w:r w:rsidR="00347DC9" w:rsidRPr="00AA4677">
        <w:rPr>
          <w:rFonts w:eastAsia="Times New Roman" w:cs="Times New Roman"/>
          <w:szCs w:val="24"/>
        </w:rPr>
        <w:t>should request CITIProgram.org to converge the training from the two institutions</w:t>
      </w:r>
      <w:r w:rsidRPr="00AA4677">
        <w:rPr>
          <w:rFonts w:eastAsia="Times New Roman" w:cs="Times New Roman"/>
          <w:szCs w:val="24"/>
        </w:rPr>
        <w:t>.</w:t>
      </w:r>
      <w:r w:rsidR="00347DC9" w:rsidRPr="00AA4677">
        <w:rPr>
          <w:rFonts w:eastAsia="Times New Roman" w:cs="Times New Roman"/>
          <w:szCs w:val="24"/>
        </w:rPr>
        <w:t xml:space="preserve"> Once this is complete, the individual </w:t>
      </w:r>
      <w:r w:rsidR="00DB5273" w:rsidRPr="00AA4677">
        <w:rPr>
          <w:rFonts w:eastAsia="Times New Roman" w:cs="Times New Roman"/>
          <w:szCs w:val="24"/>
        </w:rPr>
        <w:t>must</w:t>
      </w:r>
      <w:r w:rsidR="00347DC9" w:rsidRPr="00AA4677">
        <w:rPr>
          <w:rFonts w:eastAsia="Times New Roman" w:cs="Times New Roman"/>
          <w:szCs w:val="24"/>
        </w:rPr>
        <w:t xml:space="preserve"> take any modules assigned for Stony Brook University that were not included at his/her former institution.</w:t>
      </w:r>
      <w:bookmarkEnd w:id="315"/>
    </w:p>
    <w:p w14:paraId="4EB2C8DA" w14:textId="48083352" w:rsidR="00FC174E" w:rsidRPr="00AA4677" w:rsidRDefault="00044212" w:rsidP="00C57C98">
      <w:pPr>
        <w:pStyle w:val="Heading3"/>
      </w:pPr>
      <w:r w:rsidRPr="00AA4677">
        <w:t>12.4.3 C</w:t>
      </w:r>
      <w:r w:rsidR="00FC174E" w:rsidRPr="00AA4677">
        <w:t>ontinuing Education and Recertification</w:t>
      </w:r>
    </w:p>
    <w:p w14:paraId="3BD0277D" w14:textId="1CFAEA7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All investigators and members of their research teams must meet </w:t>
      </w:r>
      <w:r w:rsidR="00044212" w:rsidRPr="00AA4677">
        <w:rPr>
          <w:rFonts w:eastAsia="Times New Roman" w:cs="Times New Roman"/>
          <w:szCs w:val="24"/>
        </w:rPr>
        <w:t>University</w:t>
      </w:r>
      <w:r w:rsidRPr="00AA4677">
        <w:rPr>
          <w:rFonts w:eastAsia="Times New Roman" w:cs="Times New Roman"/>
          <w:szCs w:val="24"/>
        </w:rPr>
        <w:t xml:space="preserve"> continuing education requirement every three </w:t>
      </w:r>
      <w:r w:rsidR="00044212" w:rsidRPr="00AA4677">
        <w:rPr>
          <w:rFonts w:eastAsia="Times New Roman" w:cs="Times New Roman"/>
          <w:szCs w:val="24"/>
        </w:rPr>
        <w:t xml:space="preserve">(3) </w:t>
      </w:r>
      <w:r w:rsidR="00AC4893" w:rsidRPr="00AA4677">
        <w:rPr>
          <w:rFonts w:eastAsia="Times New Roman" w:cs="Times New Roman"/>
          <w:szCs w:val="24"/>
        </w:rPr>
        <w:t>years after certification of initial e</w:t>
      </w:r>
      <w:r w:rsidRPr="00AA4677">
        <w:rPr>
          <w:rFonts w:eastAsia="Times New Roman" w:cs="Times New Roman"/>
          <w:szCs w:val="24"/>
        </w:rPr>
        <w:t xml:space="preserve">ducation for as long as they are </w:t>
      </w:r>
      <w:r w:rsidRPr="00AA4677">
        <w:rPr>
          <w:rFonts w:eastAsia="Times New Roman" w:cs="Times New Roman"/>
          <w:szCs w:val="24"/>
        </w:rPr>
        <w:lastRenderedPageBreak/>
        <w:t>involved in human subject research. There is no exception to this requirement. Acceptable training includes:</w:t>
      </w:r>
    </w:p>
    <w:p w14:paraId="63E3F207" w14:textId="7A753201" w:rsidR="00FC174E" w:rsidRPr="00AA4677" w:rsidRDefault="00072E46" w:rsidP="007E3362">
      <w:pPr>
        <w:numPr>
          <w:ilvl w:val="0"/>
          <w:numId w:val="46"/>
        </w:numPr>
        <w:shd w:val="clear" w:color="auto" w:fill="FFFFFF"/>
        <w:tabs>
          <w:tab w:val="clear" w:pos="720"/>
          <w:tab w:val="num" w:pos="360"/>
        </w:tabs>
        <w:spacing w:after="0" w:line="240" w:lineRule="auto"/>
        <w:ind w:left="360"/>
        <w:rPr>
          <w:rFonts w:eastAsia="Times New Roman" w:cs="Times New Roman"/>
          <w:b/>
          <w:bCs/>
          <w:szCs w:val="24"/>
        </w:rPr>
      </w:pPr>
      <w:r w:rsidRPr="00AA4677">
        <w:rPr>
          <w:rFonts w:eastAsia="Times New Roman" w:cs="Times New Roman"/>
          <w:szCs w:val="24"/>
        </w:rPr>
        <w:t>T</w:t>
      </w:r>
      <w:r w:rsidR="00FC174E" w:rsidRPr="00AA4677">
        <w:rPr>
          <w:rFonts w:eastAsia="Times New Roman" w:cs="Times New Roman"/>
          <w:szCs w:val="24"/>
        </w:rPr>
        <w:t xml:space="preserve">he </w:t>
      </w:r>
      <w:r w:rsidRPr="00AA4677">
        <w:rPr>
          <w:rFonts w:eastAsia="Times New Roman" w:cs="Times New Roman"/>
          <w:szCs w:val="24"/>
        </w:rPr>
        <w:t xml:space="preserve">University </w:t>
      </w:r>
      <w:r w:rsidR="00FC174E" w:rsidRPr="00AA4677">
        <w:rPr>
          <w:rFonts w:eastAsia="Times New Roman" w:cs="Times New Roman"/>
          <w:szCs w:val="24"/>
        </w:rPr>
        <w:t>required CITI Refresher Modules (chosen in accordance with the criteria referenced above in Section 12.4.1.1</w:t>
      </w:r>
      <w:r w:rsidR="00F518E4" w:rsidRPr="00AA4677">
        <w:rPr>
          <w:rFonts w:eastAsia="Times New Roman" w:cs="Times New Roman"/>
          <w:szCs w:val="24"/>
        </w:rPr>
        <w:t>)</w:t>
      </w:r>
      <w:r w:rsidR="00FC174E" w:rsidRPr="00AA4677">
        <w:rPr>
          <w:rFonts w:eastAsia="Times New Roman" w:cs="Times New Roman"/>
          <w:szCs w:val="24"/>
        </w:rPr>
        <w:t>, with a</w:t>
      </w:r>
      <w:r w:rsidR="00BA15C7" w:rsidRPr="00AA4677">
        <w:rPr>
          <w:rFonts w:eastAsia="Times New Roman" w:cs="Times New Roman"/>
          <w:szCs w:val="24"/>
        </w:rPr>
        <w:t xml:space="preserve"> </w:t>
      </w:r>
      <w:r w:rsidR="00FC174E" w:rsidRPr="00AA4677">
        <w:rPr>
          <w:rFonts w:eastAsia="Times New Roman" w:cs="Times New Roman"/>
          <w:szCs w:val="24"/>
        </w:rPr>
        <w:t>score on th</w:t>
      </w:r>
      <w:r w:rsidR="00BA15C7" w:rsidRPr="00AA4677">
        <w:rPr>
          <w:rFonts w:eastAsia="Times New Roman" w:cs="Times New Roman"/>
          <w:szCs w:val="24"/>
        </w:rPr>
        <w:t xml:space="preserve">e required quizzes </w:t>
      </w:r>
      <w:r w:rsidR="00FC174E" w:rsidRPr="00AA4677">
        <w:rPr>
          <w:rFonts w:eastAsia="Times New Roman" w:cs="Times New Roman"/>
          <w:szCs w:val="24"/>
        </w:rPr>
        <w:t>of 80 or better</w:t>
      </w:r>
      <w:r w:rsidR="007A6A61" w:rsidRPr="00AA4677">
        <w:rPr>
          <w:rFonts w:eastAsia="Times New Roman" w:cs="Times New Roman"/>
          <w:szCs w:val="24"/>
        </w:rPr>
        <w:t>. The refresher course takes approximately 2-3 hours to complete</w:t>
      </w:r>
    </w:p>
    <w:p w14:paraId="7D0C4446" w14:textId="77777777" w:rsidR="00FC2F9E" w:rsidRPr="00AA4677" w:rsidRDefault="00FC2F9E" w:rsidP="00FC2F9E">
      <w:pPr>
        <w:shd w:val="clear" w:color="auto" w:fill="FFFFFF"/>
        <w:spacing w:after="0" w:line="240" w:lineRule="auto"/>
        <w:ind w:left="360"/>
        <w:rPr>
          <w:rFonts w:eastAsia="Times New Roman" w:cs="Times New Roman"/>
          <w:b/>
          <w:bCs/>
          <w:szCs w:val="24"/>
        </w:rPr>
      </w:pPr>
    </w:p>
    <w:p w14:paraId="4A8970BD" w14:textId="0D9BD9CA" w:rsidR="00FC174E" w:rsidRPr="00AA4677" w:rsidRDefault="00BA15C7" w:rsidP="007E3362">
      <w:pPr>
        <w:shd w:val="clear" w:color="auto" w:fill="FFFFFF"/>
        <w:spacing w:after="0" w:line="240" w:lineRule="auto"/>
        <w:rPr>
          <w:rFonts w:eastAsia="Times New Roman" w:cs="Times New Roman"/>
          <w:szCs w:val="24"/>
        </w:rPr>
      </w:pPr>
      <w:proofErr w:type="gramStart"/>
      <w:r w:rsidRPr="00AA4677">
        <w:rPr>
          <w:rFonts w:eastAsia="Times New Roman" w:cs="Times New Roman"/>
          <w:b/>
          <w:bCs/>
          <w:szCs w:val="24"/>
        </w:rPr>
        <w:t>Recommended</w:t>
      </w:r>
      <w:proofErr w:type="gramEnd"/>
    </w:p>
    <w:p w14:paraId="15B6EB43" w14:textId="5AD27513" w:rsidR="00FC174E" w:rsidRPr="00AA4677" w:rsidRDefault="00FC174E">
      <w:pPr>
        <w:numPr>
          <w:ilvl w:val="0"/>
          <w:numId w:val="253"/>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 xml:space="preserve">Thorough review of all </w:t>
      </w:r>
      <w:r w:rsidR="00FC2F9E" w:rsidRPr="00AA4677">
        <w:rPr>
          <w:rFonts w:eastAsia="Times New Roman" w:cs="Times New Roman"/>
          <w:szCs w:val="24"/>
        </w:rPr>
        <w:t>HRPP</w:t>
      </w:r>
      <w:r w:rsidRPr="00AA4677">
        <w:rPr>
          <w:rFonts w:eastAsia="Times New Roman" w:cs="Times New Roman"/>
          <w:szCs w:val="24"/>
        </w:rPr>
        <w:t xml:space="preserve"> </w:t>
      </w:r>
      <w:r w:rsidR="00BA15C7" w:rsidRPr="00AA4677">
        <w:rPr>
          <w:rFonts w:eastAsia="Times New Roman" w:cs="Times New Roman"/>
          <w:szCs w:val="24"/>
        </w:rPr>
        <w:t xml:space="preserve">“Blasts” </w:t>
      </w:r>
      <w:r w:rsidRPr="00AA4677">
        <w:rPr>
          <w:rFonts w:eastAsia="Times New Roman" w:cs="Times New Roman"/>
          <w:szCs w:val="24"/>
        </w:rPr>
        <w:t xml:space="preserve">sent </w:t>
      </w:r>
      <w:r w:rsidR="0037334D" w:rsidRPr="00AA4677">
        <w:rPr>
          <w:rFonts w:eastAsia="Times New Roman" w:cs="Times New Roman"/>
          <w:szCs w:val="24"/>
        </w:rPr>
        <w:t xml:space="preserve">by e-mail </w:t>
      </w:r>
      <w:r w:rsidR="00BF7B31" w:rsidRPr="00AA4677">
        <w:rPr>
          <w:rFonts w:eastAsia="Times New Roman" w:cs="Times New Roman"/>
          <w:szCs w:val="24"/>
        </w:rPr>
        <w:t xml:space="preserve">to the campus community </w:t>
      </w:r>
      <w:r w:rsidRPr="00AA4677">
        <w:rPr>
          <w:rFonts w:eastAsia="Times New Roman" w:cs="Times New Roman"/>
          <w:szCs w:val="24"/>
        </w:rPr>
        <w:t xml:space="preserve">from the </w:t>
      </w:r>
      <w:r w:rsidR="00072E46" w:rsidRPr="00AA4677">
        <w:rPr>
          <w:rFonts w:eastAsia="Times New Roman" w:cs="Times New Roman"/>
          <w:szCs w:val="24"/>
        </w:rPr>
        <w:t>ORC</w:t>
      </w:r>
      <w:r w:rsidR="00BF7B31" w:rsidRPr="00AA4677">
        <w:rPr>
          <w:rFonts w:eastAsia="Times New Roman" w:cs="Times New Roman"/>
          <w:szCs w:val="24"/>
        </w:rPr>
        <w:t>, and/or</w:t>
      </w:r>
    </w:p>
    <w:p w14:paraId="256C32B2" w14:textId="4736A2BF" w:rsidR="00FC174E" w:rsidRPr="00AA4677" w:rsidRDefault="00FC174E">
      <w:pPr>
        <w:numPr>
          <w:ilvl w:val="0"/>
          <w:numId w:val="253"/>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Attendance at PRIM</w:t>
      </w:r>
      <w:r w:rsidR="00AC4893" w:rsidRPr="00AA4677">
        <w:rPr>
          <w:rFonts w:eastAsia="Times New Roman" w:cs="Times New Roman"/>
          <w:szCs w:val="24"/>
        </w:rPr>
        <w:t>&amp;</w:t>
      </w:r>
      <w:r w:rsidRPr="00AA4677">
        <w:rPr>
          <w:rFonts w:eastAsia="Times New Roman" w:cs="Times New Roman"/>
          <w:szCs w:val="24"/>
        </w:rPr>
        <w:t>R or OHRP seminars, conferences and webinars, and/or attendance at an ORC</w:t>
      </w:r>
      <w:r w:rsidR="00072E46" w:rsidRPr="00AA4677">
        <w:rPr>
          <w:rFonts w:eastAsia="Times New Roman" w:cs="Times New Roman"/>
          <w:szCs w:val="24"/>
        </w:rPr>
        <w:t xml:space="preserve"> </w:t>
      </w:r>
      <w:r w:rsidRPr="00AA4677">
        <w:rPr>
          <w:rFonts w:eastAsia="Times New Roman" w:cs="Times New Roman"/>
          <w:szCs w:val="24"/>
        </w:rPr>
        <w:t>sponsored workshop</w:t>
      </w:r>
      <w:r w:rsidR="00BF7B31" w:rsidRPr="00AA4677">
        <w:rPr>
          <w:rFonts w:eastAsia="Times New Roman" w:cs="Times New Roman"/>
          <w:szCs w:val="24"/>
        </w:rPr>
        <w:t>, and/or</w:t>
      </w:r>
    </w:p>
    <w:p w14:paraId="42E1A9D6" w14:textId="03EDCB85" w:rsidR="00FC174E" w:rsidRPr="00AA4677" w:rsidRDefault="00AC4893">
      <w:pPr>
        <w:numPr>
          <w:ilvl w:val="0"/>
          <w:numId w:val="253"/>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Required training for i</w:t>
      </w:r>
      <w:r w:rsidR="00FC174E" w:rsidRPr="00AA4677">
        <w:rPr>
          <w:rFonts w:eastAsia="Times New Roman" w:cs="Times New Roman"/>
          <w:szCs w:val="24"/>
        </w:rPr>
        <w:t xml:space="preserve">nvestigators who are also </w:t>
      </w:r>
      <w:r w:rsidR="00EE7207" w:rsidRPr="00AA4677">
        <w:rPr>
          <w:rFonts w:eastAsia="Times New Roman" w:cs="Times New Roman"/>
          <w:szCs w:val="24"/>
        </w:rPr>
        <w:t>IRB</w:t>
      </w:r>
      <w:r w:rsidR="00FC174E" w:rsidRPr="00AA4677">
        <w:rPr>
          <w:rFonts w:eastAsia="Times New Roman" w:cs="Times New Roman"/>
          <w:szCs w:val="24"/>
        </w:rPr>
        <w:t xml:space="preserve"> Chair</w:t>
      </w:r>
      <w:r w:rsidR="00160475">
        <w:rPr>
          <w:rFonts w:eastAsia="Times New Roman" w:cs="Times New Roman"/>
          <w:szCs w:val="24"/>
        </w:rPr>
        <w:t>s</w:t>
      </w:r>
      <w:r w:rsidR="00FC174E" w:rsidRPr="00AA4677">
        <w:rPr>
          <w:rFonts w:eastAsia="Times New Roman" w:cs="Times New Roman"/>
          <w:szCs w:val="24"/>
        </w:rPr>
        <w:t xml:space="preserve">, </w:t>
      </w:r>
      <w:r w:rsidR="00EE7207" w:rsidRPr="00AA4677">
        <w:rPr>
          <w:rFonts w:eastAsia="Times New Roman" w:cs="Times New Roman"/>
          <w:szCs w:val="24"/>
        </w:rPr>
        <w:t>IRB</w:t>
      </w:r>
      <w:r w:rsidR="00516F61" w:rsidRPr="00AA4677">
        <w:rPr>
          <w:rFonts w:eastAsia="Times New Roman" w:cs="Times New Roman"/>
          <w:szCs w:val="24"/>
        </w:rPr>
        <w:t xml:space="preserve"> members </w:t>
      </w:r>
      <w:r w:rsidRPr="00AA4677">
        <w:rPr>
          <w:rFonts w:eastAsia="Times New Roman" w:cs="Times New Roman"/>
          <w:szCs w:val="24"/>
        </w:rPr>
        <w:t>(</w:t>
      </w:r>
      <w:r w:rsidR="00FC174E" w:rsidRPr="00AA4677">
        <w:rPr>
          <w:rFonts w:eastAsia="Times New Roman" w:cs="Times New Roman"/>
          <w:szCs w:val="24"/>
        </w:rPr>
        <w:t>described in this policy under Section 2.13</w:t>
      </w:r>
      <w:r w:rsidRPr="00AA4677">
        <w:rPr>
          <w:rFonts w:eastAsia="Times New Roman" w:cs="Times New Roman"/>
          <w:szCs w:val="24"/>
        </w:rPr>
        <w:t>)</w:t>
      </w:r>
      <w:r w:rsidR="00FC174E" w:rsidRPr="00AA4677">
        <w:rPr>
          <w:rFonts w:eastAsia="Times New Roman" w:cs="Times New Roman"/>
          <w:szCs w:val="24"/>
        </w:rPr>
        <w:t>.</w:t>
      </w:r>
    </w:p>
    <w:p w14:paraId="663D420B" w14:textId="4BBE0EC0" w:rsidR="00FC174E" w:rsidRPr="00AA4677" w:rsidRDefault="00FC174E" w:rsidP="00C57C98">
      <w:pPr>
        <w:pStyle w:val="Heading3"/>
      </w:pPr>
      <w:r w:rsidRPr="00AA4677">
        <w:t>12.4.4 Additional Resources</w:t>
      </w:r>
    </w:p>
    <w:p w14:paraId="571B8EE4" w14:textId="5EAB3B3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Human research protection information will be made available on the ORC website, and via the </w:t>
      </w:r>
      <w:r w:rsidR="00072E46" w:rsidRPr="00AA4677">
        <w:rPr>
          <w:rFonts w:eastAsia="Times New Roman" w:cs="Times New Roman"/>
          <w:szCs w:val="24"/>
        </w:rPr>
        <w:t>IRB</w:t>
      </w:r>
      <w:r w:rsidRPr="00AA4677">
        <w:rPr>
          <w:rFonts w:eastAsia="Times New Roman" w:cs="Times New Roman"/>
          <w:szCs w:val="24"/>
        </w:rPr>
        <w:t xml:space="preserve"> updates referenced above, on an ongoing basis to ensure that the University research community is apprised of current regulatory and policy requirements and training opportunities</w:t>
      </w:r>
      <w:r w:rsidR="009279F2" w:rsidRPr="00AA4677">
        <w:rPr>
          <w:rFonts w:eastAsia="Times New Roman" w:cs="Times New Roman"/>
          <w:szCs w:val="24"/>
        </w:rPr>
        <w:t xml:space="preserve"> (including information on the Emergency Preparedness and Response Plan)</w:t>
      </w:r>
      <w:r w:rsidRPr="00AA4677">
        <w:rPr>
          <w:rFonts w:eastAsia="Times New Roman" w:cs="Times New Roman"/>
          <w:szCs w:val="24"/>
        </w:rPr>
        <w:t>.</w:t>
      </w:r>
    </w:p>
    <w:p w14:paraId="57459413" w14:textId="77777777" w:rsidR="00FC174E" w:rsidRPr="00AA4677" w:rsidRDefault="00FC174E" w:rsidP="00696B35">
      <w:pPr>
        <w:pStyle w:val="Heading2"/>
      </w:pPr>
      <w:bookmarkStart w:id="316" w:name="_Toc192678250"/>
      <w:r w:rsidRPr="00AA4677">
        <w:t>12.5 Investigator Concerns</w:t>
      </w:r>
      <w:bookmarkEnd w:id="316"/>
    </w:p>
    <w:p w14:paraId="130BD5C3" w14:textId="1D12A95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Investigators who have concerns or suggestions regarding </w:t>
      </w:r>
      <w:r w:rsidR="00072E46" w:rsidRPr="00AA4677">
        <w:rPr>
          <w:rFonts w:eastAsia="Times New Roman" w:cs="Times New Roman"/>
          <w:szCs w:val="24"/>
        </w:rPr>
        <w:t>the University’s</w:t>
      </w:r>
      <w:r w:rsidRPr="00AA4677">
        <w:rPr>
          <w:rFonts w:eastAsia="Times New Roman" w:cs="Times New Roman"/>
          <w:szCs w:val="24"/>
        </w:rPr>
        <w:t xml:space="preserve"> human research protection program should convey</w:t>
      </w:r>
      <w:r w:rsidR="00072E46" w:rsidRPr="00AA4677">
        <w:rPr>
          <w:rFonts w:eastAsia="Times New Roman" w:cs="Times New Roman"/>
          <w:szCs w:val="24"/>
        </w:rPr>
        <w:t xml:space="preserve"> them to the </w:t>
      </w:r>
      <w:r w:rsidR="00C66572" w:rsidRPr="00AA4677">
        <w:rPr>
          <w:rFonts w:eastAsia="Times New Roman" w:cs="Times New Roman"/>
          <w:szCs w:val="24"/>
        </w:rPr>
        <w:t>AVP-RC</w:t>
      </w:r>
      <w:r w:rsidR="005C33BD" w:rsidRPr="00AA4677">
        <w:rPr>
          <w:rFonts w:eastAsia="Times New Roman" w:cs="Times New Roman"/>
          <w:szCs w:val="24"/>
        </w:rPr>
        <w:t xml:space="preserve">, the </w:t>
      </w:r>
      <w:r w:rsidR="00072E46" w:rsidRPr="00AA4677">
        <w:rPr>
          <w:rFonts w:eastAsia="Times New Roman" w:cs="Times New Roman"/>
          <w:szCs w:val="24"/>
        </w:rPr>
        <w:t>IO</w:t>
      </w:r>
      <w:r w:rsidR="005C33BD" w:rsidRPr="00AA4677">
        <w:rPr>
          <w:rFonts w:eastAsia="Times New Roman" w:cs="Times New Roman"/>
          <w:szCs w:val="24"/>
        </w:rPr>
        <w:t>,</w:t>
      </w:r>
      <w:r w:rsidRPr="00AA4677">
        <w:rPr>
          <w:rFonts w:eastAsia="Times New Roman" w:cs="Times New Roman"/>
          <w:szCs w:val="24"/>
        </w:rPr>
        <w:t xml:space="preserve"> or other responsible parties (e.g. college dean, departmental </w:t>
      </w:r>
      <w:r w:rsidR="00072E46" w:rsidRPr="00AA4677">
        <w:rPr>
          <w:rFonts w:eastAsia="Times New Roman" w:cs="Times New Roman"/>
          <w:szCs w:val="24"/>
        </w:rPr>
        <w:t>c</w:t>
      </w:r>
      <w:r w:rsidRPr="00AA4677">
        <w:rPr>
          <w:rFonts w:eastAsia="Times New Roman" w:cs="Times New Roman"/>
          <w:szCs w:val="24"/>
        </w:rPr>
        <w:t xml:space="preserve">hair) regarding the issue, when appropriate. The </w:t>
      </w:r>
      <w:r w:rsidR="00C66572" w:rsidRPr="00AA4677">
        <w:rPr>
          <w:rFonts w:eastAsia="Times New Roman" w:cs="Times New Roman"/>
          <w:szCs w:val="24"/>
        </w:rPr>
        <w:t>AVP-RC</w:t>
      </w:r>
      <w:r w:rsidR="005C33BD" w:rsidRPr="00AA4677">
        <w:rPr>
          <w:rFonts w:eastAsia="Times New Roman" w:cs="Times New Roman"/>
          <w:szCs w:val="24"/>
        </w:rPr>
        <w:t xml:space="preserve"> </w:t>
      </w:r>
      <w:r w:rsidRPr="00AA4677">
        <w:rPr>
          <w:rFonts w:eastAsia="Times New Roman" w:cs="Times New Roman"/>
          <w:szCs w:val="24"/>
        </w:rPr>
        <w:t>will research the issue, and when deemed necessary, convene the parties involved to form a response for the investigator or make necessary procedural or policy modifications, as warranted. In addition, the</w:t>
      </w:r>
      <w:r w:rsidR="00072E46"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Chair</w:t>
      </w:r>
      <w:r w:rsidR="00C66572" w:rsidRPr="00AA4677">
        <w:rPr>
          <w:rFonts w:eastAsia="Times New Roman" w:cs="Times New Roman"/>
          <w:szCs w:val="24"/>
        </w:rPr>
        <w:t>, AVP-RC</w:t>
      </w:r>
      <w:r w:rsidR="005C33BD" w:rsidRPr="00AA4677">
        <w:rPr>
          <w:rFonts w:eastAsia="Times New Roman" w:cs="Times New Roman"/>
          <w:szCs w:val="24"/>
        </w:rPr>
        <w:t>,</w:t>
      </w:r>
      <w:r w:rsidRPr="00AA4677">
        <w:rPr>
          <w:rFonts w:eastAsia="Times New Roman" w:cs="Times New Roman"/>
          <w:szCs w:val="24"/>
        </w:rPr>
        <w:t xml:space="preserve"> </w:t>
      </w:r>
      <w:r w:rsidR="00072E46" w:rsidRPr="00AA4677">
        <w:rPr>
          <w:rFonts w:eastAsia="Times New Roman" w:cs="Times New Roman"/>
          <w:szCs w:val="24"/>
        </w:rPr>
        <w:t>or the</w:t>
      </w:r>
      <w:r w:rsidRPr="00AA4677">
        <w:rPr>
          <w:rFonts w:eastAsia="Times New Roman" w:cs="Times New Roman"/>
          <w:szCs w:val="24"/>
        </w:rPr>
        <w:t xml:space="preserve"> IO will be available to address investigators’ questions, concerns and suggestions.</w:t>
      </w:r>
    </w:p>
    <w:p w14:paraId="48144719" w14:textId="77777777" w:rsidR="00FC174E" w:rsidRPr="00AA4677" w:rsidRDefault="00FC174E" w:rsidP="00696B35">
      <w:pPr>
        <w:pStyle w:val="Heading2"/>
      </w:pPr>
      <w:bookmarkStart w:id="317" w:name="_Toc192678251"/>
      <w:r w:rsidRPr="00AA4677">
        <w:t>12.6 Investigator Disclosures of Significant Financial Interest</w:t>
      </w:r>
      <w:bookmarkEnd w:id="317"/>
    </w:p>
    <w:p w14:paraId="6E74B98B" w14:textId="2F0EE12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respo</w:t>
      </w:r>
      <w:r w:rsidR="00072E46" w:rsidRPr="00AA4677">
        <w:rPr>
          <w:rFonts w:eastAsia="Times New Roman" w:cs="Times New Roman"/>
          <w:szCs w:val="24"/>
        </w:rPr>
        <w:t>nsibilities and obligations of i</w:t>
      </w:r>
      <w:r w:rsidRPr="00AA4677">
        <w:rPr>
          <w:rFonts w:eastAsia="Times New Roman" w:cs="Times New Roman"/>
          <w:szCs w:val="24"/>
        </w:rPr>
        <w:t xml:space="preserve">nvestigators to the University must be clearly separated from personal financial interests or other obligations. Prudent stewardship of public funds requires protecting University research, education and public service from being compromised by the private interests or obligations of any </w:t>
      </w:r>
      <w:r w:rsidR="00072E46" w:rsidRPr="00AA4677">
        <w:rPr>
          <w:rFonts w:eastAsia="Times New Roman" w:cs="Times New Roman"/>
          <w:szCs w:val="24"/>
        </w:rPr>
        <w:t>i</w:t>
      </w:r>
      <w:r w:rsidRPr="00AA4677">
        <w:rPr>
          <w:rFonts w:eastAsia="Times New Roman" w:cs="Times New Roman"/>
          <w:szCs w:val="24"/>
        </w:rPr>
        <w:t>nvestigator.</w:t>
      </w:r>
    </w:p>
    <w:p w14:paraId="0EFF055B" w14:textId="3D366BB8" w:rsidR="00FC174E" w:rsidRPr="00AA4677" w:rsidRDefault="00FC174E" w:rsidP="00072E46">
      <w:p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 xml:space="preserve">Investigators will follow these SOPs </w:t>
      </w:r>
      <w:r w:rsidR="00AC4893" w:rsidRPr="00AA4677">
        <w:rPr>
          <w:rFonts w:eastAsia="Times New Roman" w:cs="Times New Roman"/>
          <w:szCs w:val="24"/>
        </w:rPr>
        <w:t xml:space="preserve">located </w:t>
      </w:r>
      <w:r w:rsidRPr="00AA4677">
        <w:rPr>
          <w:rFonts w:eastAsia="Times New Roman" w:cs="Times New Roman"/>
          <w:szCs w:val="24"/>
        </w:rPr>
        <w:t>at Section 14</w:t>
      </w:r>
      <w:r w:rsidR="00AC4893" w:rsidRPr="00AA4677">
        <w:rPr>
          <w:rFonts w:eastAsia="Times New Roman" w:cs="Times New Roman"/>
          <w:szCs w:val="24"/>
        </w:rPr>
        <w:t>, which set</w:t>
      </w:r>
      <w:r w:rsidRPr="00AA4677">
        <w:rPr>
          <w:rFonts w:eastAsia="Times New Roman" w:cs="Times New Roman"/>
          <w:szCs w:val="24"/>
        </w:rPr>
        <w:t xml:space="preserve"> forth requirements and guidelines for:</w:t>
      </w:r>
    </w:p>
    <w:p w14:paraId="687D3146" w14:textId="2D0CBCFB" w:rsidR="00FC174E" w:rsidRPr="00AA4677" w:rsidRDefault="00072E46">
      <w:pPr>
        <w:pStyle w:val="ListParagraph"/>
        <w:numPr>
          <w:ilvl w:val="0"/>
          <w:numId w:val="114"/>
        </w:numPr>
        <w:shd w:val="clear" w:color="auto" w:fill="FFFFFF"/>
        <w:spacing w:after="0" w:line="240" w:lineRule="auto"/>
        <w:rPr>
          <w:rFonts w:eastAsia="Times New Roman" w:cs="Times New Roman"/>
          <w:szCs w:val="24"/>
        </w:rPr>
      </w:pPr>
      <w:r w:rsidRPr="00AA4677">
        <w:rPr>
          <w:rFonts w:eastAsia="Times New Roman" w:cs="Times New Roman"/>
          <w:szCs w:val="24"/>
        </w:rPr>
        <w:t>D</w:t>
      </w:r>
      <w:r w:rsidR="00FC174E" w:rsidRPr="00AA4677">
        <w:rPr>
          <w:rFonts w:eastAsia="Times New Roman" w:cs="Times New Roman"/>
          <w:szCs w:val="24"/>
        </w:rPr>
        <w:t>isclosure of outside interests by investigators at </w:t>
      </w:r>
      <w:r w:rsidRPr="00AA4677">
        <w:rPr>
          <w:rFonts w:eastAsia="Times New Roman" w:cs="Times New Roman"/>
          <w:szCs w:val="24"/>
        </w:rPr>
        <w:t>the</w:t>
      </w:r>
      <w:r w:rsidR="00FC174E" w:rsidRPr="00AA4677">
        <w:rPr>
          <w:rFonts w:eastAsia="Times New Roman" w:cs="Times New Roman"/>
          <w:szCs w:val="24"/>
        </w:rPr>
        <w:t xml:space="preserve"> University who engage in </w:t>
      </w:r>
      <w:proofErr w:type="gramStart"/>
      <w:r w:rsidR="00FC174E" w:rsidRPr="00AA4677">
        <w:rPr>
          <w:rFonts w:eastAsia="Times New Roman" w:cs="Times New Roman"/>
          <w:szCs w:val="24"/>
        </w:rPr>
        <w:t>University</w:t>
      </w:r>
      <w:proofErr w:type="gramEnd"/>
      <w:r w:rsidR="00FC174E" w:rsidRPr="00AA4677">
        <w:rPr>
          <w:rFonts w:eastAsia="Times New Roman" w:cs="Times New Roman"/>
          <w:szCs w:val="24"/>
        </w:rPr>
        <w:t xml:space="preserve"> activities funded by specified internal and external </w:t>
      </w:r>
      <w:proofErr w:type="gramStart"/>
      <w:r w:rsidR="00FC174E" w:rsidRPr="00AA4677">
        <w:rPr>
          <w:rFonts w:eastAsia="Times New Roman" w:cs="Times New Roman"/>
          <w:szCs w:val="24"/>
        </w:rPr>
        <w:t>entities;</w:t>
      </w:r>
      <w:proofErr w:type="gramEnd"/>
    </w:p>
    <w:p w14:paraId="25D833A2" w14:textId="0E29FDB6" w:rsidR="00FC174E" w:rsidRPr="00AA4677" w:rsidRDefault="00072E46">
      <w:pPr>
        <w:pStyle w:val="ListParagraph"/>
        <w:numPr>
          <w:ilvl w:val="0"/>
          <w:numId w:val="114"/>
        </w:numPr>
        <w:shd w:val="clear" w:color="auto" w:fill="FFFFFF"/>
        <w:spacing w:after="0" w:line="240" w:lineRule="auto"/>
        <w:rPr>
          <w:rFonts w:eastAsia="Times New Roman" w:cs="Times New Roman"/>
          <w:szCs w:val="24"/>
        </w:rPr>
      </w:pPr>
      <w:r w:rsidRPr="00AA4677">
        <w:rPr>
          <w:rFonts w:eastAsia="Times New Roman" w:cs="Times New Roman"/>
          <w:szCs w:val="24"/>
        </w:rPr>
        <w:t>R</w:t>
      </w:r>
      <w:r w:rsidR="00AC4893" w:rsidRPr="00AA4677">
        <w:rPr>
          <w:rFonts w:eastAsia="Times New Roman" w:cs="Times New Roman"/>
          <w:szCs w:val="24"/>
        </w:rPr>
        <w:t>eview of i</w:t>
      </w:r>
      <w:r w:rsidR="00FC174E" w:rsidRPr="00AA4677">
        <w:rPr>
          <w:rFonts w:eastAsia="Times New Roman" w:cs="Times New Roman"/>
          <w:szCs w:val="24"/>
        </w:rPr>
        <w:t xml:space="preserve">nvestigator disclosures by </w:t>
      </w:r>
      <w:proofErr w:type="gramStart"/>
      <w:r w:rsidR="00FC174E" w:rsidRPr="00AA4677">
        <w:rPr>
          <w:rFonts w:eastAsia="Times New Roman" w:cs="Times New Roman"/>
          <w:szCs w:val="24"/>
        </w:rPr>
        <w:t>University</w:t>
      </w:r>
      <w:proofErr w:type="gramEnd"/>
      <w:r w:rsidR="00FC174E" w:rsidRPr="00AA4677">
        <w:rPr>
          <w:rFonts w:eastAsia="Times New Roman" w:cs="Times New Roman"/>
          <w:szCs w:val="24"/>
        </w:rPr>
        <w:t xml:space="preserve"> officials; and</w:t>
      </w:r>
    </w:p>
    <w:p w14:paraId="74551DBB" w14:textId="479B3C91" w:rsidR="0095224B" w:rsidRPr="00AA4677" w:rsidRDefault="00072E46">
      <w:pPr>
        <w:pStyle w:val="ListParagraph"/>
        <w:numPr>
          <w:ilvl w:val="0"/>
          <w:numId w:val="114"/>
        </w:numPr>
        <w:shd w:val="clear" w:color="auto" w:fill="FFFFFF"/>
        <w:spacing w:after="0" w:line="240" w:lineRule="auto"/>
        <w:rPr>
          <w:rFonts w:eastAsia="Times New Roman" w:cs="Times New Roman"/>
          <w:szCs w:val="24"/>
        </w:rPr>
      </w:pPr>
      <w:r w:rsidRPr="00AA4677">
        <w:rPr>
          <w:rFonts w:eastAsia="Times New Roman" w:cs="Times New Roman"/>
          <w:szCs w:val="24"/>
        </w:rPr>
        <w:t>I</w:t>
      </w:r>
      <w:r w:rsidR="00FC174E" w:rsidRPr="00AA4677">
        <w:rPr>
          <w:rFonts w:eastAsia="Times New Roman" w:cs="Times New Roman"/>
          <w:szCs w:val="24"/>
        </w:rPr>
        <w:t>dentifying, reporting and managing conflicts of interest.</w:t>
      </w:r>
    </w:p>
    <w:p w14:paraId="296F59EC" w14:textId="77777777" w:rsidR="0095224B" w:rsidRPr="00AA4677" w:rsidRDefault="0095224B" w:rsidP="0095224B">
      <w:pPr>
        <w:pStyle w:val="ListParagraph"/>
        <w:shd w:val="clear" w:color="auto" w:fill="FFFFFF"/>
        <w:spacing w:after="0" w:line="240" w:lineRule="auto"/>
        <w:ind w:left="360"/>
        <w:rPr>
          <w:rFonts w:eastAsia="Times New Roman" w:cs="Times New Roman"/>
          <w:szCs w:val="24"/>
        </w:rPr>
      </w:pPr>
    </w:p>
    <w:p w14:paraId="34B712AA" w14:textId="68E6ABAE" w:rsidR="00FC174E" w:rsidRPr="00AA4677" w:rsidRDefault="00FC174E" w:rsidP="005920B2">
      <w:pPr>
        <w:pStyle w:val="Heading1"/>
      </w:pPr>
      <w:bookmarkStart w:id="318" w:name="_Toc192678252"/>
      <w:r w:rsidRPr="00AA4677">
        <w:t>13 Sponsored Research</w:t>
      </w:r>
      <w:bookmarkEnd w:id="318"/>
    </w:p>
    <w:p w14:paraId="6E53E46A" w14:textId="4C22E060" w:rsidR="00FC174E" w:rsidRPr="00AA4677" w:rsidRDefault="00FC174E" w:rsidP="00696B35">
      <w:pPr>
        <w:pStyle w:val="Heading2"/>
      </w:pPr>
      <w:bookmarkStart w:id="319" w:name="_Toc192678253"/>
      <w:r w:rsidRPr="00AA4677">
        <w:t>13.1 Policy</w:t>
      </w:r>
      <w:bookmarkEnd w:id="319"/>
    </w:p>
    <w:p w14:paraId="65762320" w14:textId="22EE577E"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It is </w:t>
      </w:r>
      <w:r w:rsidR="00072E46" w:rsidRPr="00AA4677">
        <w:rPr>
          <w:rFonts w:eastAsia="Times New Roman" w:cs="Times New Roman"/>
          <w:szCs w:val="24"/>
        </w:rPr>
        <w:t>University</w:t>
      </w:r>
      <w:r w:rsidRPr="00AA4677">
        <w:rPr>
          <w:rFonts w:eastAsia="Times New Roman" w:cs="Times New Roman"/>
          <w:szCs w:val="24"/>
        </w:rPr>
        <w:t xml:space="preserve"> policy that any sponsored research conducted under the auspices of </w:t>
      </w:r>
      <w:r w:rsidR="00072E46" w:rsidRPr="00AA4677">
        <w:rPr>
          <w:rFonts w:eastAsia="Times New Roman" w:cs="Times New Roman"/>
          <w:szCs w:val="24"/>
        </w:rPr>
        <w:t>the University</w:t>
      </w:r>
      <w:r w:rsidRPr="00AA4677">
        <w:rPr>
          <w:rFonts w:eastAsia="Times New Roman" w:cs="Times New Roman"/>
          <w:szCs w:val="24"/>
        </w:rPr>
        <w:t xml:space="preserve"> is conducted in accordance with federal guidelines and ethical standards.</w:t>
      </w:r>
    </w:p>
    <w:p w14:paraId="002E79EA"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following describe the procedures required to ensure that all sponsored research meets this requirement.</w:t>
      </w:r>
    </w:p>
    <w:p w14:paraId="1207C015" w14:textId="77777777" w:rsidR="00FC174E" w:rsidRPr="00AA4677" w:rsidRDefault="00FC174E" w:rsidP="00696B35">
      <w:pPr>
        <w:pStyle w:val="Heading2"/>
      </w:pPr>
      <w:bookmarkStart w:id="320" w:name="_Toc192678254"/>
      <w:r w:rsidRPr="00AA4677">
        <w:t>13.2 Definitions</w:t>
      </w:r>
      <w:bookmarkEnd w:id="320"/>
    </w:p>
    <w:p w14:paraId="698E2FFA" w14:textId="123F50FC" w:rsidR="00FC174E" w:rsidRPr="00AA4677" w:rsidRDefault="00072E46"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Sponsor:  </w:t>
      </w:r>
      <w:r w:rsidRPr="00AA4677">
        <w:rPr>
          <w:rFonts w:eastAsia="Times New Roman" w:cs="Times New Roman"/>
          <w:bCs/>
          <w:szCs w:val="24"/>
        </w:rPr>
        <w:t>T</w:t>
      </w:r>
      <w:r w:rsidR="00FC174E" w:rsidRPr="00AA4677">
        <w:rPr>
          <w:rFonts w:eastAsia="Times New Roman" w:cs="Times New Roman"/>
          <w:szCs w:val="24"/>
        </w:rPr>
        <w:t>he company, institution, individual donor, or organization responsible for the initiation, management or financing of a research study.</w:t>
      </w:r>
    </w:p>
    <w:p w14:paraId="0BF3E7BA" w14:textId="62210663" w:rsidR="00055CCD" w:rsidRPr="00AA4677" w:rsidRDefault="00FC174E" w:rsidP="00AC4893">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Sponsored research</w:t>
      </w:r>
      <w:r w:rsidR="00072E46" w:rsidRPr="00AA4677">
        <w:rPr>
          <w:rFonts w:eastAsia="Times New Roman" w:cs="Times New Roman"/>
          <w:b/>
          <w:bCs/>
          <w:szCs w:val="24"/>
        </w:rPr>
        <w:t>:</w:t>
      </w:r>
      <w:r w:rsidRPr="00AA4677">
        <w:rPr>
          <w:rFonts w:eastAsia="Times New Roman" w:cs="Times New Roman"/>
          <w:szCs w:val="24"/>
        </w:rPr>
        <w:t> </w:t>
      </w:r>
      <w:r w:rsidR="00072E46" w:rsidRPr="00AA4677">
        <w:rPr>
          <w:rFonts w:eastAsia="Times New Roman" w:cs="Times New Roman"/>
          <w:szCs w:val="24"/>
        </w:rPr>
        <w:t xml:space="preserve"> R</w:t>
      </w:r>
      <w:r w:rsidRPr="00AA4677">
        <w:rPr>
          <w:rFonts w:eastAsia="Times New Roman" w:cs="Times New Roman"/>
          <w:szCs w:val="24"/>
        </w:rPr>
        <w:t>esearch funded by external entities through a grant or contract that involves a specified statement of work (e.g. the research proposal) with a related transfer of value to the sponsor, including clinical trials involving investigational drugs, devices or biologics.</w:t>
      </w:r>
    </w:p>
    <w:p w14:paraId="624C31E8" w14:textId="17BD9A8A" w:rsidR="00FC174E" w:rsidRPr="00AA4677" w:rsidRDefault="00FC174E" w:rsidP="00696B35">
      <w:pPr>
        <w:pStyle w:val="Heading2"/>
      </w:pPr>
      <w:bookmarkStart w:id="321" w:name="_Toc192678255"/>
      <w:r w:rsidRPr="00AA4677">
        <w:t>13.3 Responsibility</w:t>
      </w:r>
      <w:bookmarkEnd w:id="321"/>
    </w:p>
    <w:p w14:paraId="3383F672" w14:textId="77777777" w:rsidR="00223807" w:rsidRPr="00AA4677" w:rsidRDefault="00223807" w:rsidP="00072E46">
      <w:pPr>
        <w:shd w:val="clear" w:color="auto" w:fill="FFFFFF"/>
        <w:spacing w:after="0" w:line="240" w:lineRule="auto"/>
        <w:rPr>
          <w:rFonts w:eastAsia="Times New Roman" w:cs="Times New Roman"/>
          <w:szCs w:val="24"/>
        </w:rPr>
      </w:pPr>
    </w:p>
    <w:p w14:paraId="09A35802" w14:textId="2C96E2B5" w:rsidR="00FC174E" w:rsidRPr="00AA4677" w:rsidRDefault="00FC174E" w:rsidP="00072E46">
      <w:pPr>
        <w:shd w:val="clear" w:color="auto" w:fill="FFFFFF"/>
        <w:spacing w:after="0" w:line="240" w:lineRule="auto"/>
        <w:rPr>
          <w:rFonts w:eastAsia="Times New Roman" w:cs="Times New Roman"/>
          <w:szCs w:val="24"/>
        </w:rPr>
      </w:pPr>
      <w:r w:rsidRPr="00AA4677">
        <w:rPr>
          <w:rFonts w:eastAsia="Times New Roman" w:cs="Times New Roman"/>
          <w:szCs w:val="24"/>
        </w:rPr>
        <w:t xml:space="preserve">All sponsor contracts for research involving human subjects are reviewed by the Office of Sponsored Programs (OSP). </w:t>
      </w:r>
      <w:r w:rsidR="00AC4893" w:rsidRPr="00AA4677">
        <w:rPr>
          <w:rFonts w:eastAsia="Times New Roman" w:cs="Times New Roman"/>
          <w:szCs w:val="24"/>
        </w:rPr>
        <w:t xml:space="preserve">The </w:t>
      </w:r>
      <w:r w:rsidRPr="00AA4677">
        <w:rPr>
          <w:rFonts w:eastAsia="Times New Roman" w:cs="Times New Roman"/>
          <w:szCs w:val="24"/>
        </w:rPr>
        <w:t>O</w:t>
      </w:r>
      <w:r w:rsidR="00AC4893" w:rsidRPr="00AA4677">
        <w:rPr>
          <w:rFonts w:eastAsia="Times New Roman" w:cs="Times New Roman"/>
          <w:szCs w:val="24"/>
        </w:rPr>
        <w:t xml:space="preserve">ffice of </w:t>
      </w:r>
      <w:r w:rsidRPr="00AA4677">
        <w:rPr>
          <w:rFonts w:eastAsia="Times New Roman" w:cs="Times New Roman"/>
          <w:szCs w:val="24"/>
        </w:rPr>
        <w:t>R</w:t>
      </w:r>
      <w:r w:rsidR="00AC4893" w:rsidRPr="00AA4677">
        <w:rPr>
          <w:rFonts w:eastAsia="Times New Roman" w:cs="Times New Roman"/>
          <w:szCs w:val="24"/>
        </w:rPr>
        <w:t xml:space="preserve">esearch </w:t>
      </w:r>
      <w:r w:rsidRPr="00AA4677">
        <w:rPr>
          <w:rFonts w:eastAsia="Times New Roman" w:cs="Times New Roman"/>
          <w:szCs w:val="24"/>
        </w:rPr>
        <w:t>C</w:t>
      </w:r>
      <w:r w:rsidR="00AC4893" w:rsidRPr="00AA4677">
        <w:rPr>
          <w:rFonts w:eastAsia="Times New Roman" w:cs="Times New Roman"/>
          <w:szCs w:val="24"/>
        </w:rPr>
        <w:t>ompliance</w:t>
      </w:r>
      <w:r w:rsidRPr="00AA4677">
        <w:rPr>
          <w:rFonts w:eastAsia="Times New Roman" w:cs="Times New Roman"/>
          <w:szCs w:val="24"/>
        </w:rPr>
        <w:t xml:space="preserve"> and OSP will share contract and study information as necessary for each sponsored protocol to ensure that </w:t>
      </w:r>
      <w:r w:rsidR="00AC4893" w:rsidRPr="00AA4677">
        <w:rPr>
          <w:rFonts w:eastAsia="Times New Roman" w:cs="Times New Roman"/>
          <w:szCs w:val="24"/>
        </w:rPr>
        <w:t xml:space="preserve">the </w:t>
      </w:r>
      <w:r w:rsidRPr="00AA4677">
        <w:rPr>
          <w:rFonts w:eastAsia="Times New Roman" w:cs="Times New Roman"/>
          <w:szCs w:val="24"/>
        </w:rPr>
        <w:t>protocol, consent, and contract language are consistent. Additionally, OSP reviews sponsor contracts to ensure the following:</w:t>
      </w:r>
    </w:p>
    <w:p w14:paraId="2C5687F6" w14:textId="35B90EFF" w:rsidR="00FC174E" w:rsidRPr="00AA4677" w:rsidRDefault="00FC174E">
      <w:pPr>
        <w:pStyle w:val="ListParagraph"/>
        <w:numPr>
          <w:ilvl w:val="0"/>
          <w:numId w:val="115"/>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All sponsor contracts will indicate that </w:t>
      </w:r>
      <w:r w:rsidR="00072E46" w:rsidRPr="00AA4677">
        <w:rPr>
          <w:rFonts w:eastAsia="Times New Roman" w:cs="Times New Roman"/>
          <w:szCs w:val="24"/>
        </w:rPr>
        <w:t>the University</w:t>
      </w:r>
      <w:r w:rsidRPr="00AA4677">
        <w:rPr>
          <w:rFonts w:eastAsia="Times New Roman" w:cs="Times New Roman"/>
          <w:szCs w:val="24"/>
        </w:rPr>
        <w:t xml:space="preserve"> will follow the protocol, applicable regulations and its ethical </w:t>
      </w:r>
      <w:proofErr w:type="gramStart"/>
      <w:r w:rsidRPr="00AA4677">
        <w:rPr>
          <w:rFonts w:eastAsia="Times New Roman" w:cs="Times New Roman"/>
          <w:szCs w:val="24"/>
        </w:rPr>
        <w:t>standards</w:t>
      </w:r>
      <w:r w:rsidR="00072E46" w:rsidRPr="00AA4677">
        <w:rPr>
          <w:rFonts w:eastAsia="Times New Roman" w:cs="Times New Roman"/>
          <w:szCs w:val="24"/>
        </w:rPr>
        <w:t>;</w:t>
      </w:r>
      <w:proofErr w:type="gramEnd"/>
    </w:p>
    <w:p w14:paraId="0EAAC61B" w14:textId="6686FD95" w:rsidR="00FC174E" w:rsidRPr="00AA4677" w:rsidRDefault="00FC174E">
      <w:pPr>
        <w:pStyle w:val="ListParagraph"/>
        <w:numPr>
          <w:ilvl w:val="0"/>
          <w:numId w:val="115"/>
        </w:numPr>
        <w:shd w:val="clear" w:color="auto" w:fill="FFFFFF"/>
        <w:spacing w:after="0" w:line="240" w:lineRule="auto"/>
        <w:rPr>
          <w:rFonts w:eastAsia="Times New Roman" w:cs="Times New Roman"/>
          <w:szCs w:val="24"/>
        </w:rPr>
      </w:pPr>
      <w:r w:rsidRPr="00AA4677">
        <w:rPr>
          <w:rFonts w:eastAsia="Times New Roman" w:cs="Times New Roman"/>
          <w:szCs w:val="24"/>
        </w:rPr>
        <w:t>All sponsor contracts will define who will be responsible for research rel</w:t>
      </w:r>
      <w:r w:rsidR="00072E46" w:rsidRPr="00AA4677">
        <w:rPr>
          <w:rFonts w:eastAsia="Times New Roman" w:cs="Times New Roman"/>
          <w:szCs w:val="24"/>
        </w:rPr>
        <w:t>ated injuries, where applicable</w:t>
      </w:r>
      <w:r w:rsidR="00475568" w:rsidRPr="00AA4677">
        <w:rPr>
          <w:rFonts w:eastAsia="Times New Roman" w:cs="Times New Roman"/>
          <w:szCs w:val="24"/>
        </w:rPr>
        <w:t xml:space="preserve"> (see section 13.4 below for </w:t>
      </w:r>
      <w:proofErr w:type="gramStart"/>
      <w:r w:rsidR="00475568" w:rsidRPr="00AA4677">
        <w:rPr>
          <w:rFonts w:eastAsia="Times New Roman" w:cs="Times New Roman"/>
          <w:szCs w:val="24"/>
        </w:rPr>
        <w:t>University</w:t>
      </w:r>
      <w:proofErr w:type="gramEnd"/>
      <w:r w:rsidR="00475568" w:rsidRPr="00AA4677">
        <w:rPr>
          <w:rFonts w:eastAsia="Times New Roman" w:cs="Times New Roman"/>
          <w:szCs w:val="24"/>
        </w:rPr>
        <w:t xml:space="preserve"> policy</w:t>
      </w:r>
      <w:proofErr w:type="gramStart"/>
      <w:r w:rsidR="00475568" w:rsidRPr="00AA4677">
        <w:rPr>
          <w:rFonts w:eastAsia="Times New Roman" w:cs="Times New Roman"/>
          <w:szCs w:val="24"/>
        </w:rPr>
        <w:t>)</w:t>
      </w:r>
      <w:r w:rsidR="00072E46" w:rsidRPr="00AA4677">
        <w:rPr>
          <w:rFonts w:eastAsia="Times New Roman" w:cs="Times New Roman"/>
          <w:szCs w:val="24"/>
        </w:rPr>
        <w:t>;</w:t>
      </w:r>
      <w:proofErr w:type="gramEnd"/>
      <w:r w:rsidR="00072E46" w:rsidRPr="00AA4677">
        <w:rPr>
          <w:rFonts w:eastAsia="Times New Roman" w:cs="Times New Roman"/>
          <w:szCs w:val="24"/>
        </w:rPr>
        <w:t xml:space="preserve"> </w:t>
      </w:r>
    </w:p>
    <w:p w14:paraId="487EB633" w14:textId="3BB60425" w:rsidR="00FC174E" w:rsidRPr="00AA4677" w:rsidRDefault="00FC174E">
      <w:pPr>
        <w:pStyle w:val="ListParagraph"/>
        <w:numPr>
          <w:ilvl w:val="0"/>
          <w:numId w:val="115"/>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If the sponsor will monitor the conduct of the research, the contract will be required to state that if the study monitor uncovers information that could affect the safety of </w:t>
      </w:r>
      <w:r w:rsidR="00BF7470" w:rsidRPr="00AA4677">
        <w:rPr>
          <w:rFonts w:eastAsia="Times New Roman" w:cs="Times New Roman"/>
          <w:szCs w:val="24"/>
        </w:rPr>
        <w:t>subject</w:t>
      </w:r>
      <w:r w:rsidRPr="00AA4677">
        <w:rPr>
          <w:rFonts w:eastAsia="Times New Roman" w:cs="Times New Roman"/>
          <w:szCs w:val="24"/>
        </w:rPr>
        <w:t xml:space="preserve">s or their willingness to continue participation, influence the conduct of the study, or alter </w:t>
      </w:r>
      <w:r w:rsidR="00072E46"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’s </w:t>
      </w:r>
      <w:r w:rsidRPr="00AA4677">
        <w:rPr>
          <w:rFonts w:eastAsia="Times New Roman" w:cs="Times New Roman"/>
          <w:szCs w:val="24"/>
        </w:rPr>
        <w:lastRenderedPageBreak/>
        <w:t xml:space="preserve">approval to continue the study, the sponsor will make sure that the information is communicated to </w:t>
      </w:r>
      <w:r w:rsidR="00072E46" w:rsidRPr="00AA4677">
        <w:rPr>
          <w:rFonts w:eastAsia="Times New Roman" w:cs="Times New Roman"/>
          <w:szCs w:val="24"/>
        </w:rPr>
        <w:t xml:space="preserve">the </w:t>
      </w:r>
      <w:r w:rsidR="00EE7207" w:rsidRPr="00AA4677">
        <w:rPr>
          <w:rFonts w:eastAsia="Times New Roman" w:cs="Times New Roman"/>
          <w:szCs w:val="24"/>
        </w:rPr>
        <w:t>IRB</w:t>
      </w:r>
      <w:r w:rsidR="00072E46" w:rsidRPr="00AA4677">
        <w:rPr>
          <w:rFonts w:eastAsia="Times New Roman" w:cs="Times New Roman"/>
          <w:szCs w:val="24"/>
        </w:rPr>
        <w:t>;</w:t>
      </w:r>
    </w:p>
    <w:p w14:paraId="4020ABCD" w14:textId="38066A3B" w:rsidR="00FC174E" w:rsidRPr="00AA4677" w:rsidRDefault="00FC174E">
      <w:pPr>
        <w:pStyle w:val="ListParagraph"/>
        <w:numPr>
          <w:ilvl w:val="0"/>
          <w:numId w:val="115"/>
        </w:numPr>
        <w:shd w:val="clear" w:color="auto" w:fill="FFFFFF"/>
        <w:spacing w:after="0" w:line="240" w:lineRule="auto"/>
        <w:rPr>
          <w:rFonts w:eastAsia="Times New Roman" w:cs="Times New Roman"/>
          <w:szCs w:val="24"/>
        </w:rPr>
      </w:pPr>
      <w:r w:rsidRPr="00AA4677">
        <w:rPr>
          <w:rFonts w:eastAsia="Times New Roman" w:cs="Times New Roman"/>
          <w:szCs w:val="24"/>
        </w:rPr>
        <w:t>If the sponsor discovers results that could affect the safety or medical care</w:t>
      </w:r>
      <w:r w:rsidR="00AC4893" w:rsidRPr="00AA4677">
        <w:rPr>
          <w:rFonts w:eastAsia="Times New Roman" w:cs="Times New Roman"/>
          <w:szCs w:val="24"/>
        </w:rPr>
        <w:t xml:space="preserve"> of subjects</w:t>
      </w:r>
      <w:r w:rsidRPr="00AA4677">
        <w:rPr>
          <w:rFonts w:eastAsia="Times New Roman" w:cs="Times New Roman"/>
          <w:szCs w:val="24"/>
        </w:rPr>
        <w:t xml:space="preserve">, the sponsor will make sure </w:t>
      </w:r>
      <w:r w:rsidR="00072E46"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is </w:t>
      </w:r>
      <w:proofErr w:type="gramStart"/>
      <w:r w:rsidRPr="00AA4677">
        <w:rPr>
          <w:rFonts w:eastAsia="Times New Roman" w:cs="Times New Roman"/>
          <w:szCs w:val="24"/>
        </w:rPr>
        <w:t>notified</w:t>
      </w:r>
      <w:r w:rsidR="00072E46" w:rsidRPr="00AA4677">
        <w:rPr>
          <w:rFonts w:eastAsia="Times New Roman" w:cs="Times New Roman"/>
          <w:szCs w:val="24"/>
        </w:rPr>
        <w:t>;</w:t>
      </w:r>
      <w:proofErr w:type="gramEnd"/>
    </w:p>
    <w:p w14:paraId="406BB92E" w14:textId="7E8F3594" w:rsidR="00FC174E" w:rsidRPr="00AA4677" w:rsidRDefault="00FC174E">
      <w:pPr>
        <w:pStyle w:val="ListParagraph"/>
        <w:numPr>
          <w:ilvl w:val="0"/>
          <w:numId w:val="115"/>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When the sponsor is responsible for conducting data and safety monitoring, the agreement will require the sponsor to provide data and safety monitoring reports to </w:t>
      </w:r>
      <w:r w:rsidR="00072E46"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072E46" w:rsidRPr="00AA4677">
        <w:rPr>
          <w:rFonts w:eastAsia="Times New Roman" w:cs="Times New Roman"/>
          <w:szCs w:val="24"/>
        </w:rPr>
        <w:t xml:space="preserve">and to report findings to the </w:t>
      </w:r>
      <w:r w:rsidR="00EE7207" w:rsidRPr="00AA4677">
        <w:rPr>
          <w:rFonts w:eastAsia="Times New Roman" w:cs="Times New Roman"/>
          <w:szCs w:val="24"/>
        </w:rPr>
        <w:t>IRB</w:t>
      </w:r>
      <w:r w:rsidRPr="00AA4677">
        <w:rPr>
          <w:rFonts w:eastAsia="Times New Roman" w:cs="Times New Roman"/>
          <w:szCs w:val="24"/>
        </w:rPr>
        <w:t xml:space="preserve"> that could affect the safety of </w:t>
      </w:r>
      <w:r w:rsidR="00BF7470" w:rsidRPr="00AA4677">
        <w:rPr>
          <w:rFonts w:eastAsia="Times New Roman" w:cs="Times New Roman"/>
          <w:szCs w:val="24"/>
        </w:rPr>
        <w:t>subject</w:t>
      </w:r>
      <w:r w:rsidRPr="00AA4677">
        <w:rPr>
          <w:rFonts w:eastAsia="Times New Roman" w:cs="Times New Roman"/>
          <w:szCs w:val="24"/>
        </w:rPr>
        <w:t>s or influence the conduct of the research during or after the closure of the study</w:t>
      </w:r>
      <w:r w:rsidR="0000513E" w:rsidRPr="00AA4677">
        <w:rPr>
          <w:rFonts w:eastAsia="Times New Roman" w:cs="Times New Roman"/>
          <w:szCs w:val="24"/>
        </w:rPr>
        <w:t xml:space="preserve"> and the timeframes for providing this information</w:t>
      </w:r>
      <w:r w:rsidR="00072E46" w:rsidRPr="00AA4677">
        <w:rPr>
          <w:rFonts w:eastAsia="Times New Roman" w:cs="Times New Roman"/>
          <w:szCs w:val="24"/>
        </w:rPr>
        <w:t>;</w:t>
      </w:r>
    </w:p>
    <w:p w14:paraId="7FABEE27" w14:textId="2D810815" w:rsidR="00FC174E" w:rsidRPr="00AA4677" w:rsidRDefault="00AC4893">
      <w:pPr>
        <w:pStyle w:val="ListParagraph"/>
        <w:numPr>
          <w:ilvl w:val="0"/>
          <w:numId w:val="115"/>
        </w:numPr>
        <w:shd w:val="clear" w:color="auto" w:fill="FFFFFF"/>
        <w:spacing w:after="0" w:line="240" w:lineRule="auto"/>
        <w:rPr>
          <w:rFonts w:eastAsia="Times New Roman" w:cs="Times New Roman"/>
          <w:szCs w:val="24"/>
        </w:rPr>
      </w:pPr>
      <w:r w:rsidRPr="00AA4677">
        <w:rPr>
          <w:rFonts w:eastAsia="Times New Roman" w:cs="Times New Roman"/>
          <w:szCs w:val="24"/>
        </w:rPr>
        <w:t>All s</w:t>
      </w:r>
      <w:r w:rsidR="00FC174E" w:rsidRPr="00AA4677">
        <w:rPr>
          <w:rFonts w:eastAsia="Times New Roman" w:cs="Times New Roman"/>
          <w:szCs w:val="24"/>
        </w:rPr>
        <w:t>ponsor contracts will contain provisions regarding the dissemination of research result</w:t>
      </w:r>
      <w:r w:rsidR="00072E46" w:rsidRPr="00AA4677">
        <w:rPr>
          <w:rFonts w:eastAsia="Times New Roman" w:cs="Times New Roman"/>
          <w:szCs w:val="24"/>
        </w:rPr>
        <w:t>s including the right of the University</w:t>
      </w:r>
      <w:r w:rsidR="00FC174E" w:rsidRPr="00AA4677">
        <w:rPr>
          <w:rFonts w:eastAsia="Times New Roman" w:cs="Times New Roman"/>
          <w:szCs w:val="24"/>
        </w:rPr>
        <w:t xml:space="preserve"> investigator to publish results.  The sponsor may retain the right to review prior to publication and in certain circumstances to delay publication for a reasonable </w:t>
      </w:r>
      <w:proofErr w:type="gramStart"/>
      <w:r w:rsidR="00FC174E" w:rsidRPr="00AA4677">
        <w:rPr>
          <w:rFonts w:eastAsia="Times New Roman" w:cs="Times New Roman"/>
          <w:szCs w:val="24"/>
        </w:rPr>
        <w:t>time period</w:t>
      </w:r>
      <w:proofErr w:type="gramEnd"/>
      <w:r w:rsidR="00072E46" w:rsidRPr="00AA4677">
        <w:rPr>
          <w:rFonts w:eastAsia="Times New Roman" w:cs="Times New Roman"/>
          <w:szCs w:val="24"/>
        </w:rPr>
        <w:t xml:space="preserve">; and </w:t>
      </w:r>
    </w:p>
    <w:p w14:paraId="2247ECDA" w14:textId="035D5D6F" w:rsidR="00475568" w:rsidRPr="00AA4677" w:rsidRDefault="00AC4893">
      <w:pPr>
        <w:pStyle w:val="ListParagraph"/>
        <w:numPr>
          <w:ilvl w:val="0"/>
          <w:numId w:val="115"/>
        </w:numPr>
        <w:shd w:val="clear" w:color="auto" w:fill="FFFFFF"/>
        <w:spacing w:after="0" w:line="240" w:lineRule="auto"/>
        <w:rPr>
          <w:rFonts w:eastAsia="Times New Roman" w:cs="Times New Roman"/>
          <w:szCs w:val="24"/>
        </w:rPr>
      </w:pPr>
      <w:r w:rsidRPr="00AA4677">
        <w:rPr>
          <w:rFonts w:eastAsia="Times New Roman" w:cs="Times New Roman"/>
          <w:szCs w:val="24"/>
        </w:rPr>
        <w:t>All sponsor c</w:t>
      </w:r>
      <w:r w:rsidR="00FC174E" w:rsidRPr="00AA4677">
        <w:rPr>
          <w:rFonts w:eastAsia="Times New Roman" w:cs="Times New Roman"/>
          <w:szCs w:val="24"/>
        </w:rPr>
        <w:t xml:space="preserve">ontracts or other funding agreements require the </w:t>
      </w:r>
      <w:r w:rsidR="00072E46" w:rsidRPr="00AA4677">
        <w:rPr>
          <w:rFonts w:eastAsia="Times New Roman" w:cs="Times New Roman"/>
          <w:szCs w:val="24"/>
        </w:rPr>
        <w:t>s</w:t>
      </w:r>
      <w:r w:rsidR="00FC174E" w:rsidRPr="00AA4677">
        <w:rPr>
          <w:rFonts w:eastAsia="Times New Roman" w:cs="Times New Roman"/>
          <w:szCs w:val="24"/>
        </w:rPr>
        <w:t xml:space="preserve">ponsor to promptly (no longer </w:t>
      </w:r>
      <w:proofErr w:type="gramStart"/>
      <w:r w:rsidR="00FC174E" w:rsidRPr="00AA4677">
        <w:rPr>
          <w:rFonts w:eastAsia="Times New Roman" w:cs="Times New Roman"/>
          <w:szCs w:val="24"/>
        </w:rPr>
        <w:t>than within</w:t>
      </w:r>
      <w:proofErr w:type="gramEnd"/>
      <w:r w:rsidR="00072E46" w:rsidRPr="00AA4677">
        <w:rPr>
          <w:rFonts w:eastAsia="Times New Roman" w:cs="Times New Roman"/>
          <w:szCs w:val="24"/>
        </w:rPr>
        <w:t xml:space="preserve"> thirty (</w:t>
      </w:r>
      <w:r w:rsidR="00FC174E" w:rsidRPr="00AA4677">
        <w:rPr>
          <w:rFonts w:eastAsia="Times New Roman" w:cs="Times New Roman"/>
          <w:szCs w:val="24"/>
        </w:rPr>
        <w:t>30</w:t>
      </w:r>
      <w:r w:rsidR="00BF7B31" w:rsidRPr="00AA4677">
        <w:rPr>
          <w:rFonts w:eastAsia="Times New Roman" w:cs="Times New Roman"/>
          <w:szCs w:val="24"/>
        </w:rPr>
        <w:t xml:space="preserve">) </w:t>
      </w:r>
      <w:r w:rsidR="00FC174E" w:rsidRPr="00AA4677">
        <w:rPr>
          <w:rFonts w:eastAsia="Times New Roman" w:cs="Times New Roman"/>
          <w:szCs w:val="24"/>
        </w:rPr>
        <w:t>days</w:t>
      </w:r>
      <w:r w:rsidRPr="00AA4677">
        <w:rPr>
          <w:rFonts w:eastAsia="Times New Roman" w:cs="Times New Roman"/>
          <w:szCs w:val="24"/>
        </w:rPr>
        <w:t>)</w:t>
      </w:r>
      <w:r w:rsidR="00FC174E" w:rsidRPr="00AA4677">
        <w:rPr>
          <w:rFonts w:eastAsia="Times New Roman" w:cs="Times New Roman"/>
          <w:szCs w:val="24"/>
        </w:rPr>
        <w:t xml:space="preserve"> report to the organization any findings that could affect the safety of </w:t>
      </w:r>
      <w:r w:rsidR="00BF7470" w:rsidRPr="00AA4677">
        <w:rPr>
          <w:rFonts w:eastAsia="Times New Roman" w:cs="Times New Roman"/>
          <w:szCs w:val="24"/>
        </w:rPr>
        <w:t>subject</w:t>
      </w:r>
      <w:r w:rsidR="00FC174E" w:rsidRPr="00AA4677">
        <w:rPr>
          <w:rFonts w:eastAsia="Times New Roman" w:cs="Times New Roman"/>
          <w:szCs w:val="24"/>
        </w:rPr>
        <w:t>s, influence the conduct of the study, or alter the</w:t>
      </w:r>
      <w:r w:rsidR="00914BFF" w:rsidRPr="00AA4677">
        <w:rPr>
          <w:rFonts w:eastAsia="Times New Roman" w:cs="Times New Roman"/>
          <w:szCs w:val="24"/>
        </w:rPr>
        <w:t xml:space="preserve"> </w:t>
      </w:r>
      <w:r w:rsidR="00EE7207" w:rsidRPr="00AA4677">
        <w:rPr>
          <w:rFonts w:eastAsia="Times New Roman" w:cs="Times New Roman"/>
          <w:szCs w:val="24"/>
        </w:rPr>
        <w:t>IRB</w:t>
      </w:r>
      <w:r w:rsidR="00FC174E" w:rsidRPr="00AA4677">
        <w:rPr>
          <w:rFonts w:eastAsia="Times New Roman" w:cs="Times New Roman"/>
          <w:szCs w:val="24"/>
        </w:rPr>
        <w:t>’s approval to continue the study.</w:t>
      </w:r>
    </w:p>
    <w:p w14:paraId="740F0F85" w14:textId="77777777" w:rsidR="00223807" w:rsidRPr="00AA4677" w:rsidRDefault="00223807" w:rsidP="00696B35">
      <w:pPr>
        <w:pStyle w:val="Heading2"/>
      </w:pPr>
    </w:p>
    <w:p w14:paraId="4C8250BC" w14:textId="79B01B2A" w:rsidR="00475568" w:rsidRPr="00AA4677" w:rsidRDefault="00475568" w:rsidP="00696B35">
      <w:pPr>
        <w:pStyle w:val="Heading2"/>
      </w:pPr>
      <w:bookmarkStart w:id="322" w:name="_Toc192678256"/>
      <w:r w:rsidRPr="00AA4677">
        <w:t>13.4 Policy on Payment of Research-related Injury Costs in Industry-funded and Initiated Clinical Trials</w:t>
      </w:r>
      <w:bookmarkEnd w:id="322"/>
      <w:r w:rsidRPr="00AA4677">
        <w:t xml:space="preserve"> </w:t>
      </w:r>
    </w:p>
    <w:p w14:paraId="441DED6E" w14:textId="77777777" w:rsidR="00223807" w:rsidRPr="00AA4677" w:rsidRDefault="00223807" w:rsidP="00475568">
      <w:pPr>
        <w:autoSpaceDE w:val="0"/>
        <w:autoSpaceDN w:val="0"/>
        <w:adjustRightInd w:val="0"/>
        <w:spacing w:after="0" w:line="240" w:lineRule="auto"/>
        <w:rPr>
          <w:rFonts w:cs="Arial"/>
          <w:szCs w:val="24"/>
        </w:rPr>
      </w:pPr>
    </w:p>
    <w:p w14:paraId="29771342" w14:textId="00D34580" w:rsidR="00475568" w:rsidRPr="00AA4677" w:rsidRDefault="00475568" w:rsidP="00475568">
      <w:pPr>
        <w:autoSpaceDE w:val="0"/>
        <w:autoSpaceDN w:val="0"/>
        <w:adjustRightInd w:val="0"/>
        <w:spacing w:after="0" w:line="240" w:lineRule="auto"/>
        <w:rPr>
          <w:rFonts w:cs="Arial"/>
          <w:szCs w:val="24"/>
        </w:rPr>
      </w:pPr>
      <w:r w:rsidRPr="00AA4677">
        <w:rPr>
          <w:rFonts w:cs="Arial"/>
          <w:szCs w:val="24"/>
        </w:rPr>
        <w:t xml:space="preserve">The University’s role as a participating site in clinical trials that are funded and initiated by industry (e.g., pharmaceutical companies, device companies etc.) is critical in facilitating the evaluation and marketing of promising investigational (and new indications for approved) drugs, devices and biologics. </w:t>
      </w:r>
    </w:p>
    <w:p w14:paraId="582AA68A" w14:textId="77777777" w:rsidR="00475568" w:rsidRPr="00AA4677" w:rsidRDefault="00475568" w:rsidP="00475568">
      <w:pPr>
        <w:autoSpaceDE w:val="0"/>
        <w:autoSpaceDN w:val="0"/>
        <w:adjustRightInd w:val="0"/>
        <w:spacing w:after="0" w:line="240" w:lineRule="auto"/>
        <w:rPr>
          <w:rFonts w:cs="Arial"/>
          <w:szCs w:val="24"/>
        </w:rPr>
      </w:pPr>
    </w:p>
    <w:p w14:paraId="7743D49F" w14:textId="27AD5649" w:rsidR="00475568" w:rsidRPr="00AA4677" w:rsidRDefault="00475568" w:rsidP="00475568">
      <w:pPr>
        <w:autoSpaceDE w:val="0"/>
        <w:autoSpaceDN w:val="0"/>
        <w:adjustRightInd w:val="0"/>
        <w:spacing w:after="0" w:line="240" w:lineRule="auto"/>
        <w:rPr>
          <w:rFonts w:cs="Arial"/>
          <w:szCs w:val="24"/>
        </w:rPr>
      </w:pPr>
      <w:r w:rsidRPr="00AA4677">
        <w:rPr>
          <w:rFonts w:cs="Arial"/>
          <w:szCs w:val="24"/>
        </w:rPr>
        <w:t>Given our patients’ important contribution in assisting industry companies in their quest to market such test products for public good and financial gain, it is expected that costs associated with research-related injuries</w:t>
      </w:r>
      <w:r w:rsidRPr="00AA4677">
        <w:rPr>
          <w:rFonts w:cs="Arial"/>
          <w:szCs w:val="24"/>
          <w:vertAlign w:val="superscript"/>
        </w:rPr>
        <w:t>1</w:t>
      </w:r>
      <w:r w:rsidRPr="00AA4677">
        <w:rPr>
          <w:rFonts w:cs="Arial"/>
          <w:szCs w:val="24"/>
        </w:rPr>
        <w:t xml:space="preserve"> occurring in SBU subjects volunteering in such trials must be borne by those companies. Subjects shall not be responsible, either directly or through their insurance, for payment of research-related injury costs in industry clinical trials. </w:t>
      </w:r>
    </w:p>
    <w:p w14:paraId="0040C576" w14:textId="77777777" w:rsidR="00475568" w:rsidRPr="00AA4677" w:rsidRDefault="00475568" w:rsidP="00475568">
      <w:pPr>
        <w:autoSpaceDE w:val="0"/>
        <w:autoSpaceDN w:val="0"/>
        <w:adjustRightInd w:val="0"/>
        <w:spacing w:after="0" w:line="240" w:lineRule="auto"/>
        <w:rPr>
          <w:rFonts w:cs="Arial"/>
          <w:szCs w:val="24"/>
        </w:rPr>
      </w:pPr>
    </w:p>
    <w:p w14:paraId="76697FA3" w14:textId="77777777" w:rsidR="00475568" w:rsidRPr="00AA4677" w:rsidRDefault="00475568" w:rsidP="008B3BF5">
      <w:pPr>
        <w:autoSpaceDE w:val="0"/>
        <w:autoSpaceDN w:val="0"/>
        <w:adjustRightInd w:val="0"/>
        <w:spacing w:after="0" w:line="240" w:lineRule="auto"/>
        <w:ind w:right="550"/>
        <w:rPr>
          <w:rFonts w:cs="Arial"/>
          <w:szCs w:val="24"/>
        </w:rPr>
      </w:pPr>
      <w:r w:rsidRPr="00AA4677">
        <w:rPr>
          <w:rFonts w:cs="Arial"/>
          <w:szCs w:val="24"/>
        </w:rPr>
        <w:t xml:space="preserve">This policy is not intended to waive any of a research subject’s legal rights; or release the investigator, the sponsor, the University or its agents from liability for negligence.  </w:t>
      </w:r>
    </w:p>
    <w:p w14:paraId="67607165" w14:textId="77777777" w:rsidR="00475568" w:rsidRPr="00AA4677" w:rsidRDefault="00475568" w:rsidP="00475568">
      <w:pPr>
        <w:autoSpaceDE w:val="0"/>
        <w:autoSpaceDN w:val="0"/>
        <w:adjustRightInd w:val="0"/>
        <w:spacing w:after="0" w:line="240" w:lineRule="auto"/>
        <w:rPr>
          <w:rFonts w:cs="Arial"/>
          <w:szCs w:val="24"/>
        </w:rPr>
      </w:pPr>
    </w:p>
    <w:p w14:paraId="4FE3F058" w14:textId="7C0EF69C" w:rsidR="00475568" w:rsidRPr="00AA4677" w:rsidRDefault="00475568" w:rsidP="00475568">
      <w:pPr>
        <w:autoSpaceDE w:val="0"/>
        <w:autoSpaceDN w:val="0"/>
        <w:adjustRightInd w:val="0"/>
        <w:spacing w:after="0" w:line="240" w:lineRule="auto"/>
        <w:rPr>
          <w:rFonts w:cs="Arial"/>
          <w:szCs w:val="24"/>
        </w:rPr>
      </w:pPr>
      <w:r w:rsidRPr="00AA4677">
        <w:rPr>
          <w:rFonts w:cs="Arial"/>
          <w:szCs w:val="24"/>
        </w:rPr>
        <w:t xml:space="preserve">Waivers of this policy will be considered on a </w:t>
      </w:r>
      <w:proofErr w:type="gramStart"/>
      <w:r w:rsidRPr="00AA4677">
        <w:rPr>
          <w:rFonts w:cs="Arial"/>
          <w:szCs w:val="24"/>
        </w:rPr>
        <w:t>case by case</w:t>
      </w:r>
      <w:proofErr w:type="gramEnd"/>
      <w:r w:rsidRPr="00AA4677">
        <w:rPr>
          <w:rFonts w:cs="Arial"/>
          <w:szCs w:val="24"/>
        </w:rPr>
        <w:t xml:space="preserve"> basis by the </w:t>
      </w:r>
      <w:r w:rsidR="00C66572" w:rsidRPr="00AA4677">
        <w:rPr>
          <w:rFonts w:eastAsia="Times New Roman" w:cs="Times New Roman"/>
          <w:szCs w:val="24"/>
        </w:rPr>
        <w:t>AVP-RC</w:t>
      </w:r>
      <w:r w:rsidR="005C33BD" w:rsidRPr="00AA4677">
        <w:rPr>
          <w:rFonts w:cs="Arial"/>
          <w:szCs w:val="24"/>
        </w:rPr>
        <w:t xml:space="preserve">, the </w:t>
      </w:r>
      <w:r w:rsidRPr="00AA4677">
        <w:rPr>
          <w:rFonts w:cs="Arial"/>
          <w:szCs w:val="24"/>
        </w:rPr>
        <w:t>IO</w:t>
      </w:r>
      <w:r w:rsidR="005C33BD" w:rsidRPr="00AA4677">
        <w:rPr>
          <w:rFonts w:cs="Arial"/>
          <w:szCs w:val="24"/>
        </w:rPr>
        <w:t>,</w:t>
      </w:r>
      <w:r w:rsidRPr="00AA4677">
        <w:rPr>
          <w:rFonts w:cs="Arial"/>
          <w:szCs w:val="24"/>
        </w:rPr>
        <w:t xml:space="preserve"> and other University Officials as deemed necessary. </w:t>
      </w:r>
    </w:p>
    <w:p w14:paraId="76884DD0" w14:textId="77777777" w:rsidR="00475568" w:rsidRPr="00AA4677" w:rsidRDefault="00475568" w:rsidP="00475568">
      <w:pPr>
        <w:autoSpaceDE w:val="0"/>
        <w:autoSpaceDN w:val="0"/>
        <w:adjustRightInd w:val="0"/>
        <w:spacing w:after="0" w:line="240" w:lineRule="auto"/>
        <w:rPr>
          <w:rFonts w:cs="Arial"/>
          <w:szCs w:val="24"/>
        </w:rPr>
      </w:pPr>
      <w:r w:rsidRPr="00AA4677">
        <w:rPr>
          <w:rFonts w:cs="Arial"/>
          <w:szCs w:val="24"/>
        </w:rPr>
        <w:t xml:space="preserve"> </w:t>
      </w:r>
    </w:p>
    <w:p w14:paraId="1782A5FD" w14:textId="5A6BE529" w:rsidR="00261BA4" w:rsidRPr="00AA4677" w:rsidRDefault="00475568" w:rsidP="008B3BF5">
      <w:pPr>
        <w:shd w:val="clear" w:color="auto" w:fill="FFFFFF"/>
        <w:spacing w:after="0" w:line="240" w:lineRule="auto"/>
        <w:ind w:left="720"/>
        <w:rPr>
          <w:rFonts w:cs="Arial"/>
          <w:i/>
          <w:sz w:val="22"/>
          <w:szCs w:val="24"/>
        </w:rPr>
      </w:pPr>
      <w:r w:rsidRPr="00AA4677">
        <w:rPr>
          <w:rFonts w:cs="Arial"/>
          <w:i/>
          <w:sz w:val="22"/>
          <w:szCs w:val="24"/>
          <w:vertAlign w:val="superscript"/>
        </w:rPr>
        <w:lastRenderedPageBreak/>
        <w:t>1</w:t>
      </w:r>
      <w:r w:rsidRPr="00AA4677">
        <w:rPr>
          <w:rFonts w:cs="Arial"/>
          <w:i/>
          <w:sz w:val="22"/>
          <w:szCs w:val="24"/>
        </w:rPr>
        <w:t xml:space="preserve">Research-related injuries are those directly resulting from the test product or directly from properly performed study procedures. Such injury does not include normal progression of a subject’s underlying disease, or injury resulting from interventions that would have been conducted </w:t>
      </w:r>
      <w:proofErr w:type="gramStart"/>
      <w:r w:rsidRPr="00AA4677">
        <w:rPr>
          <w:rFonts w:cs="Arial"/>
          <w:i/>
          <w:sz w:val="22"/>
          <w:szCs w:val="24"/>
        </w:rPr>
        <w:t>whether or not</w:t>
      </w:r>
      <w:proofErr w:type="gramEnd"/>
      <w:r w:rsidRPr="00AA4677">
        <w:rPr>
          <w:rFonts w:cs="Arial"/>
          <w:i/>
          <w:sz w:val="22"/>
          <w:szCs w:val="24"/>
        </w:rPr>
        <w:t xml:space="preserve"> the subject participated in the industry clinical trial.  </w:t>
      </w:r>
    </w:p>
    <w:p w14:paraId="78433234" w14:textId="77777777" w:rsidR="00065F04" w:rsidRPr="00AA4677" w:rsidRDefault="00065F04" w:rsidP="00065F04">
      <w:pPr>
        <w:shd w:val="clear" w:color="auto" w:fill="FFFFFF"/>
        <w:spacing w:after="0" w:line="240" w:lineRule="auto"/>
        <w:rPr>
          <w:rFonts w:eastAsia="Times New Roman" w:cs="Times New Roman"/>
          <w:b/>
          <w:bCs/>
          <w:sz w:val="22"/>
          <w:szCs w:val="24"/>
        </w:rPr>
      </w:pPr>
    </w:p>
    <w:p w14:paraId="2BCFF984" w14:textId="444E1540" w:rsidR="00261BA4" w:rsidRPr="00AA4677" w:rsidRDefault="00FC174E" w:rsidP="005920B2">
      <w:pPr>
        <w:pStyle w:val="Heading1"/>
      </w:pPr>
      <w:bookmarkStart w:id="323" w:name="_Toc192678257"/>
      <w:r w:rsidRPr="00AA4677">
        <w:t>14 Conflict of Interest in Research</w:t>
      </w:r>
      <w:bookmarkEnd w:id="323"/>
    </w:p>
    <w:p w14:paraId="7A243819" w14:textId="5C0ABDD3" w:rsidR="00FC174E" w:rsidRPr="00AA4677" w:rsidRDefault="00FC174E" w:rsidP="00696B35">
      <w:pPr>
        <w:pStyle w:val="Heading2"/>
      </w:pPr>
      <w:bookmarkStart w:id="324" w:name="_Toc192678258"/>
      <w:r w:rsidRPr="00AA4677">
        <w:t>14.1 Policy</w:t>
      </w:r>
      <w:bookmarkEnd w:id="324"/>
    </w:p>
    <w:p w14:paraId="3FA33341" w14:textId="77777777" w:rsidR="00223807" w:rsidRPr="00AA4677" w:rsidRDefault="00223807" w:rsidP="00261BA4">
      <w:pPr>
        <w:shd w:val="clear" w:color="auto" w:fill="FFFFFF"/>
        <w:spacing w:after="0" w:line="240" w:lineRule="auto"/>
        <w:rPr>
          <w:rFonts w:eastAsia="Times New Roman" w:cs="Times New Roman"/>
          <w:szCs w:val="24"/>
        </w:rPr>
      </w:pPr>
    </w:p>
    <w:p w14:paraId="59E46AF5" w14:textId="4A627EB1" w:rsidR="00FC174E" w:rsidRPr="00AA4677" w:rsidRDefault="00FC174E" w:rsidP="00261BA4">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responsibilities and obligations of </w:t>
      </w:r>
      <w:r w:rsidR="007A7A43" w:rsidRPr="00AA4677">
        <w:rPr>
          <w:rFonts w:eastAsia="Times New Roman" w:cs="Times New Roman"/>
          <w:szCs w:val="24"/>
        </w:rPr>
        <w:t xml:space="preserve">Investigators </w:t>
      </w:r>
      <w:r w:rsidRPr="00AA4677">
        <w:rPr>
          <w:rFonts w:eastAsia="Times New Roman" w:cs="Times New Roman"/>
          <w:szCs w:val="24"/>
        </w:rPr>
        <w:t>to the University must be clearly separated from personal financial interests or other obligations. Prudent stewardship of public funds requires protecting University research, education and public service from being compromised by the private interests or obligations of any Investigator.</w:t>
      </w:r>
    </w:p>
    <w:p w14:paraId="2AE80CC6" w14:textId="77777777" w:rsidR="00FC174E" w:rsidRPr="00AA4677" w:rsidRDefault="00FC174E" w:rsidP="00914BFF">
      <w:pPr>
        <w:shd w:val="clear" w:color="auto" w:fill="FFFFFF"/>
        <w:spacing w:after="0" w:line="240" w:lineRule="auto"/>
        <w:rPr>
          <w:rFonts w:eastAsia="Times New Roman" w:cs="Times New Roman"/>
          <w:szCs w:val="24"/>
        </w:rPr>
      </w:pPr>
      <w:r w:rsidRPr="00AA4677">
        <w:rPr>
          <w:rFonts w:eastAsia="Times New Roman" w:cs="Times New Roman"/>
          <w:szCs w:val="24"/>
        </w:rPr>
        <w:t>This policy sets forth requirements and guidelines for:</w:t>
      </w:r>
    </w:p>
    <w:p w14:paraId="233EE49E" w14:textId="6A42DF96" w:rsidR="00FC174E" w:rsidRPr="00AA4677" w:rsidRDefault="00914BFF">
      <w:pPr>
        <w:pStyle w:val="ListParagraph"/>
        <w:numPr>
          <w:ilvl w:val="0"/>
          <w:numId w:val="116"/>
        </w:numPr>
        <w:shd w:val="clear" w:color="auto" w:fill="FFFFFF"/>
        <w:spacing w:after="0" w:line="240" w:lineRule="auto"/>
        <w:rPr>
          <w:rFonts w:eastAsia="Times New Roman" w:cs="Times New Roman"/>
          <w:szCs w:val="24"/>
        </w:rPr>
      </w:pPr>
      <w:r w:rsidRPr="00AA4677">
        <w:rPr>
          <w:rFonts w:eastAsia="Times New Roman" w:cs="Times New Roman"/>
          <w:szCs w:val="24"/>
        </w:rPr>
        <w:t>D</w:t>
      </w:r>
      <w:r w:rsidR="00FC174E" w:rsidRPr="00AA4677">
        <w:rPr>
          <w:rFonts w:eastAsia="Times New Roman" w:cs="Times New Roman"/>
          <w:szCs w:val="24"/>
        </w:rPr>
        <w:t xml:space="preserve">isclosure of outside interests by </w:t>
      </w:r>
      <w:r w:rsidR="00AC4893" w:rsidRPr="00AA4677">
        <w:rPr>
          <w:rFonts w:eastAsia="Times New Roman" w:cs="Times New Roman"/>
          <w:szCs w:val="24"/>
        </w:rPr>
        <w:t>i</w:t>
      </w:r>
      <w:r w:rsidR="00FC174E" w:rsidRPr="00AA4677">
        <w:rPr>
          <w:rFonts w:eastAsia="Times New Roman" w:cs="Times New Roman"/>
          <w:szCs w:val="24"/>
        </w:rPr>
        <w:t xml:space="preserve">nvestigators at  </w:t>
      </w:r>
      <w:r w:rsidR="00485810" w:rsidRPr="00AA4677">
        <w:rPr>
          <w:rFonts w:eastAsia="Times New Roman" w:cs="Times New Roman"/>
          <w:szCs w:val="24"/>
        </w:rPr>
        <w:t xml:space="preserve">the </w:t>
      </w:r>
      <w:r w:rsidR="00FC174E" w:rsidRPr="00AA4677">
        <w:rPr>
          <w:rFonts w:eastAsia="Times New Roman" w:cs="Times New Roman"/>
          <w:szCs w:val="24"/>
        </w:rPr>
        <w:t xml:space="preserve">University who engage in </w:t>
      </w:r>
      <w:proofErr w:type="gramStart"/>
      <w:r w:rsidR="00FC174E" w:rsidRPr="00AA4677">
        <w:rPr>
          <w:rFonts w:eastAsia="Times New Roman" w:cs="Times New Roman"/>
          <w:szCs w:val="24"/>
        </w:rPr>
        <w:t>University</w:t>
      </w:r>
      <w:proofErr w:type="gramEnd"/>
      <w:r w:rsidR="00FC174E" w:rsidRPr="00AA4677">
        <w:rPr>
          <w:rFonts w:eastAsia="Times New Roman" w:cs="Times New Roman"/>
          <w:szCs w:val="24"/>
        </w:rPr>
        <w:t xml:space="preserve"> activities funded by specified internal and external </w:t>
      </w:r>
      <w:proofErr w:type="gramStart"/>
      <w:r w:rsidR="00FC174E" w:rsidRPr="00AA4677">
        <w:rPr>
          <w:rFonts w:eastAsia="Times New Roman" w:cs="Times New Roman"/>
          <w:szCs w:val="24"/>
        </w:rPr>
        <w:t>entities;</w:t>
      </w:r>
      <w:proofErr w:type="gramEnd"/>
    </w:p>
    <w:p w14:paraId="3ED54F53" w14:textId="7FFB63AD" w:rsidR="00FC174E" w:rsidRPr="00AA4677" w:rsidRDefault="00914BFF">
      <w:pPr>
        <w:pStyle w:val="ListParagraph"/>
        <w:numPr>
          <w:ilvl w:val="0"/>
          <w:numId w:val="116"/>
        </w:numPr>
        <w:shd w:val="clear" w:color="auto" w:fill="FFFFFF"/>
        <w:spacing w:after="0" w:line="240" w:lineRule="auto"/>
        <w:rPr>
          <w:rFonts w:eastAsia="Times New Roman" w:cs="Times New Roman"/>
          <w:szCs w:val="24"/>
        </w:rPr>
      </w:pPr>
      <w:r w:rsidRPr="00AA4677">
        <w:rPr>
          <w:rFonts w:eastAsia="Times New Roman" w:cs="Times New Roman"/>
          <w:szCs w:val="24"/>
        </w:rPr>
        <w:t>R</w:t>
      </w:r>
      <w:r w:rsidR="00AC4893" w:rsidRPr="00AA4677">
        <w:rPr>
          <w:rFonts w:eastAsia="Times New Roman" w:cs="Times New Roman"/>
          <w:szCs w:val="24"/>
        </w:rPr>
        <w:t>eview of i</w:t>
      </w:r>
      <w:r w:rsidR="00FC174E" w:rsidRPr="00AA4677">
        <w:rPr>
          <w:rFonts w:eastAsia="Times New Roman" w:cs="Times New Roman"/>
          <w:szCs w:val="24"/>
        </w:rPr>
        <w:t xml:space="preserve">nvestigator disclosures by </w:t>
      </w:r>
      <w:proofErr w:type="gramStart"/>
      <w:r w:rsidR="00FC174E" w:rsidRPr="00AA4677">
        <w:rPr>
          <w:rFonts w:eastAsia="Times New Roman" w:cs="Times New Roman"/>
          <w:szCs w:val="24"/>
        </w:rPr>
        <w:t>University</w:t>
      </w:r>
      <w:proofErr w:type="gramEnd"/>
      <w:r w:rsidR="00FC174E" w:rsidRPr="00AA4677">
        <w:rPr>
          <w:rFonts w:eastAsia="Times New Roman" w:cs="Times New Roman"/>
          <w:szCs w:val="24"/>
        </w:rPr>
        <w:t xml:space="preserve"> officials; and</w:t>
      </w:r>
    </w:p>
    <w:p w14:paraId="1850F966" w14:textId="3704D76E" w:rsidR="00FC174E" w:rsidRPr="00AA4677" w:rsidRDefault="00914BFF">
      <w:pPr>
        <w:pStyle w:val="ListParagraph"/>
        <w:numPr>
          <w:ilvl w:val="0"/>
          <w:numId w:val="116"/>
        </w:numPr>
        <w:shd w:val="clear" w:color="auto" w:fill="FFFFFF"/>
        <w:spacing w:after="0" w:line="240" w:lineRule="auto"/>
        <w:rPr>
          <w:rFonts w:eastAsia="Times New Roman" w:cs="Times New Roman"/>
          <w:szCs w:val="24"/>
        </w:rPr>
      </w:pPr>
      <w:r w:rsidRPr="00AA4677">
        <w:rPr>
          <w:rFonts w:eastAsia="Times New Roman" w:cs="Times New Roman"/>
          <w:szCs w:val="24"/>
        </w:rPr>
        <w:t>I</w:t>
      </w:r>
      <w:r w:rsidR="00FC174E" w:rsidRPr="00AA4677">
        <w:rPr>
          <w:rFonts w:eastAsia="Times New Roman" w:cs="Times New Roman"/>
          <w:szCs w:val="24"/>
        </w:rPr>
        <w:t>dentifying, reporting and managing conflicts of interest.</w:t>
      </w:r>
    </w:p>
    <w:p w14:paraId="586EAADC" w14:textId="77777777" w:rsidR="00223807" w:rsidRPr="00AA4677" w:rsidRDefault="00223807" w:rsidP="00696B35">
      <w:pPr>
        <w:pStyle w:val="Heading2"/>
      </w:pPr>
    </w:p>
    <w:p w14:paraId="757C7426" w14:textId="3131A409" w:rsidR="00FC174E" w:rsidRPr="00AA4677" w:rsidRDefault="00FC174E" w:rsidP="00696B35">
      <w:pPr>
        <w:pStyle w:val="Heading2"/>
      </w:pPr>
      <w:bookmarkStart w:id="325" w:name="_Toc192678259"/>
      <w:r w:rsidRPr="00AA4677">
        <w:t>14.2 Definitions</w:t>
      </w:r>
      <w:bookmarkEnd w:id="325"/>
    </w:p>
    <w:p w14:paraId="42009D14" w14:textId="77777777" w:rsidR="00223807" w:rsidRPr="00AA4677" w:rsidRDefault="00223807" w:rsidP="007D350B">
      <w:pPr>
        <w:rPr>
          <w:b/>
          <w:bCs/>
        </w:rPr>
      </w:pPr>
    </w:p>
    <w:p w14:paraId="2CAD29F1" w14:textId="289D9F9A" w:rsidR="005B7CE4" w:rsidRPr="00AA4677" w:rsidRDefault="00FC174E" w:rsidP="007D350B">
      <w:r w:rsidRPr="00AA4677">
        <w:rPr>
          <w:b/>
          <w:bCs/>
        </w:rPr>
        <w:t>Conflict of Interest</w:t>
      </w:r>
      <w:r w:rsidR="00914BFF" w:rsidRPr="00AA4677">
        <w:rPr>
          <w:b/>
          <w:bCs/>
        </w:rPr>
        <w:t xml:space="preserve">:  </w:t>
      </w:r>
      <w:r w:rsidR="005B7CE4" w:rsidRPr="00AA4677">
        <w:t>When an Investigator</w:t>
      </w:r>
      <w:r w:rsidR="00A10AEE" w:rsidRPr="00AA4677">
        <w:t xml:space="preserve"> or IRB member</w:t>
      </w:r>
      <w:r w:rsidR="005B7CE4" w:rsidRPr="00AA4677">
        <w:t xml:space="preserve"> is, or may be, in a position to influence activities or decisions in the conduct of externally and applicable internally supported activities in ways that could lead to personal financial gain for the Investigator (and/or the Investigator’s </w:t>
      </w:r>
      <w:r w:rsidR="00D14FC8" w:rsidRPr="00AA4677">
        <w:t>i</w:t>
      </w:r>
      <w:r w:rsidR="005B7CE4" w:rsidRPr="00AA4677">
        <w:t xml:space="preserve">mmediate </w:t>
      </w:r>
      <w:r w:rsidR="00D14FC8" w:rsidRPr="00AA4677">
        <w:t>f</w:t>
      </w:r>
      <w:r w:rsidR="005B7CE4" w:rsidRPr="00AA4677">
        <w:t xml:space="preserve">amily </w:t>
      </w:r>
      <w:r w:rsidR="00D14FC8" w:rsidRPr="00AA4677">
        <w:t>m</w:t>
      </w:r>
      <w:r w:rsidR="005B7CE4" w:rsidRPr="00AA4677">
        <w:t xml:space="preserve">ember), or give an improper advantage to third parties in their dealings with the University. </w:t>
      </w:r>
    </w:p>
    <w:p w14:paraId="0A2ED1E7" w14:textId="45EAC470" w:rsidR="005B7CE4" w:rsidRPr="00AA4677" w:rsidRDefault="005B7CE4" w:rsidP="005B7CE4">
      <w:pPr>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Conflicts of interest may also arise when Investigators </w:t>
      </w:r>
      <w:r w:rsidR="00A10AEE" w:rsidRPr="00AA4677">
        <w:rPr>
          <w:rFonts w:eastAsia="Times New Roman" w:cs="Times New Roman"/>
          <w:szCs w:val="24"/>
        </w:rPr>
        <w:t xml:space="preserve">or IRB  members </w:t>
      </w:r>
      <w:r w:rsidRPr="00AA4677">
        <w:rPr>
          <w:rFonts w:eastAsia="Times New Roman" w:cs="Times New Roman"/>
          <w:szCs w:val="24"/>
        </w:rPr>
        <w:t xml:space="preserve">(and/or the Investigator’s </w:t>
      </w:r>
      <w:r w:rsidR="00D14FC8" w:rsidRPr="00AA4677">
        <w:rPr>
          <w:rFonts w:eastAsia="Times New Roman" w:cs="Times New Roman"/>
          <w:szCs w:val="24"/>
        </w:rPr>
        <w:t>i</w:t>
      </w:r>
      <w:r w:rsidRPr="00AA4677">
        <w:rPr>
          <w:rFonts w:eastAsia="Times New Roman" w:cs="Times New Roman"/>
          <w:szCs w:val="24"/>
        </w:rPr>
        <w:t xml:space="preserve">mmediate </w:t>
      </w:r>
      <w:r w:rsidR="00D14FC8" w:rsidRPr="00AA4677">
        <w:rPr>
          <w:rFonts w:eastAsia="Times New Roman" w:cs="Times New Roman"/>
          <w:szCs w:val="24"/>
        </w:rPr>
        <w:t>f</w:t>
      </w:r>
      <w:r w:rsidRPr="00AA4677">
        <w:rPr>
          <w:rFonts w:eastAsia="Times New Roman" w:cs="Times New Roman"/>
          <w:szCs w:val="24"/>
        </w:rPr>
        <w:t xml:space="preserve">amily </w:t>
      </w:r>
      <w:r w:rsidR="00D14FC8" w:rsidRPr="00AA4677">
        <w:rPr>
          <w:rFonts w:eastAsia="Times New Roman" w:cs="Times New Roman"/>
          <w:szCs w:val="24"/>
        </w:rPr>
        <w:t>m</w:t>
      </w:r>
      <w:r w:rsidRPr="00AA4677">
        <w:rPr>
          <w:rFonts w:eastAsia="Times New Roman" w:cs="Times New Roman"/>
          <w:szCs w:val="24"/>
        </w:rPr>
        <w:t xml:space="preserve">ember) have outside obligations of any kind that are in substantial conflict with the Investigator's University responsibilities or the public interest. </w:t>
      </w:r>
    </w:p>
    <w:p w14:paraId="27DE9289" w14:textId="7EEFAE75" w:rsidR="00FC174E" w:rsidRPr="00AA4677" w:rsidRDefault="00FC174E" w:rsidP="005B7CE4">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Designated Institutional Official (DIO): </w:t>
      </w:r>
      <w:r w:rsidR="005B7CE4" w:rsidRPr="00AA4677">
        <w:rPr>
          <w:rFonts w:eastAsia="Times New Roman" w:cs="Times New Roman"/>
          <w:bCs/>
          <w:szCs w:val="24"/>
        </w:rPr>
        <w:t>The DIO is responsibl</w:t>
      </w:r>
      <w:r w:rsidR="00AC4893" w:rsidRPr="00AA4677">
        <w:rPr>
          <w:rFonts w:eastAsia="Times New Roman" w:cs="Times New Roman"/>
          <w:bCs/>
          <w:szCs w:val="24"/>
        </w:rPr>
        <w:t xml:space="preserve">e for soliciting and reviewing </w:t>
      </w:r>
      <w:r w:rsidR="005B7CE4" w:rsidRPr="00AA4677">
        <w:rPr>
          <w:rFonts w:eastAsia="Times New Roman" w:cs="Times New Roman"/>
          <w:bCs/>
          <w:szCs w:val="24"/>
        </w:rPr>
        <w:t>Certifications from Investigators and developing Management Plans that specify the actions that have been and shall be taken to manage the Financial Conflict of Interest or Si</w:t>
      </w:r>
      <w:r w:rsidR="00AC4893" w:rsidRPr="00AA4677">
        <w:rPr>
          <w:rFonts w:eastAsia="Times New Roman" w:cs="Times New Roman"/>
          <w:bCs/>
          <w:szCs w:val="24"/>
        </w:rPr>
        <w:t xml:space="preserve">gnificant Obligation.  The Vice </w:t>
      </w:r>
      <w:r w:rsidR="005B7CE4" w:rsidRPr="00AA4677">
        <w:rPr>
          <w:rFonts w:eastAsia="Times New Roman" w:cs="Times New Roman"/>
          <w:bCs/>
          <w:szCs w:val="24"/>
        </w:rPr>
        <w:t xml:space="preserve">President for Research (VPR) appoints the DIO and serves as the final arbiter in the appeals process.  </w:t>
      </w:r>
    </w:p>
    <w:p w14:paraId="20A865D7" w14:textId="4B1506AE" w:rsidR="00FC174E" w:rsidRPr="00AA4677" w:rsidRDefault="00FC174E" w:rsidP="005B7CE4">
      <w:pPr>
        <w:spacing w:before="100" w:beforeAutospacing="1" w:after="100" w:afterAutospacing="1" w:line="240" w:lineRule="auto"/>
        <w:rPr>
          <w:rFonts w:eastAsia="Times New Roman" w:cs="Times New Roman"/>
          <w:szCs w:val="24"/>
        </w:rPr>
      </w:pPr>
      <w:r w:rsidRPr="00AA4677">
        <w:rPr>
          <w:rFonts w:eastAsia="Times New Roman" w:cs="Times New Roman"/>
          <w:b/>
          <w:bCs/>
          <w:szCs w:val="24"/>
        </w:rPr>
        <w:t>Financial Conflict of Interest (FCOI):</w:t>
      </w:r>
      <w:r w:rsidRPr="00AA4677">
        <w:rPr>
          <w:rFonts w:eastAsia="Times New Roman" w:cs="Times New Roman"/>
          <w:szCs w:val="24"/>
        </w:rPr>
        <w:t> </w:t>
      </w:r>
      <w:r w:rsidR="005B7CE4" w:rsidRPr="00AA4677">
        <w:rPr>
          <w:rFonts w:eastAsia="Times New Roman" w:cs="Times New Roman"/>
          <w:szCs w:val="24"/>
        </w:rPr>
        <w:t xml:space="preserve">A Significant Financial Interest (SFI) that is related to, and that could (or could be perceived to) directly and significantly affect, the design, conduct, or reporting of externally and applicable- internally supported activities. The DIO makes the determination that </w:t>
      </w:r>
      <w:r w:rsidR="005B7CE4" w:rsidRPr="00AA4677">
        <w:rPr>
          <w:rFonts w:eastAsia="Times New Roman" w:cs="Times New Roman"/>
          <w:szCs w:val="24"/>
        </w:rPr>
        <w:lastRenderedPageBreak/>
        <w:t xml:space="preserve">an SFI constitutes a FCOI. </w:t>
      </w:r>
      <w:r w:rsidRPr="00AA4677">
        <w:rPr>
          <w:rFonts w:eastAsia="Times New Roman" w:cs="Times New Roman"/>
          <w:szCs w:val="24"/>
        </w:rPr>
        <w:t xml:space="preserve">When the activity involves human subjects, per OHRP and/or FDA as applicable, the IRB will also make an independent decision regarding </w:t>
      </w:r>
      <w:r w:rsidR="00AC4893" w:rsidRPr="00AA4677">
        <w:rPr>
          <w:rFonts w:eastAsia="Times New Roman" w:cs="Times New Roman"/>
          <w:szCs w:val="24"/>
        </w:rPr>
        <w:t xml:space="preserve">the </w:t>
      </w:r>
      <w:r w:rsidRPr="00AA4677">
        <w:rPr>
          <w:rFonts w:eastAsia="Times New Roman" w:cs="Times New Roman"/>
          <w:szCs w:val="24"/>
        </w:rPr>
        <w:t>presence of</w:t>
      </w:r>
      <w:r w:rsidR="00AC4893" w:rsidRPr="00AA4677">
        <w:rPr>
          <w:rFonts w:eastAsia="Times New Roman" w:cs="Times New Roman"/>
          <w:szCs w:val="24"/>
        </w:rPr>
        <w:t xml:space="preserve"> </w:t>
      </w:r>
      <w:proofErr w:type="gramStart"/>
      <w:r w:rsidR="00AC4893" w:rsidRPr="00AA4677">
        <w:rPr>
          <w:rFonts w:eastAsia="Times New Roman" w:cs="Times New Roman"/>
          <w:szCs w:val="24"/>
        </w:rPr>
        <w:t>a</w:t>
      </w:r>
      <w:r w:rsidRPr="00AA4677">
        <w:rPr>
          <w:rFonts w:eastAsia="Times New Roman" w:cs="Times New Roman"/>
          <w:szCs w:val="24"/>
        </w:rPr>
        <w:t xml:space="preserve"> FCOI</w:t>
      </w:r>
      <w:proofErr w:type="gramEnd"/>
      <w:r w:rsidRPr="00AA4677">
        <w:rPr>
          <w:rFonts w:eastAsia="Times New Roman" w:cs="Times New Roman"/>
          <w:szCs w:val="24"/>
        </w:rPr>
        <w:t>.</w:t>
      </w:r>
    </w:p>
    <w:p w14:paraId="24F23F5F" w14:textId="51311254" w:rsidR="005B7CE4" w:rsidRPr="00AA4677" w:rsidRDefault="005B7CE4" w:rsidP="005B7CE4">
      <w:pPr>
        <w:shd w:val="clear" w:color="auto" w:fill="FFFFFF"/>
        <w:spacing w:after="0" w:line="240" w:lineRule="auto"/>
        <w:rPr>
          <w:rFonts w:eastAsia="Times New Roman" w:cs="Times New Roman"/>
          <w:b/>
          <w:bCs/>
          <w:szCs w:val="24"/>
        </w:rPr>
      </w:pPr>
      <w:r w:rsidRPr="00AA4677">
        <w:rPr>
          <w:rFonts w:eastAsia="Times New Roman" w:cs="Times New Roman"/>
          <w:b/>
          <w:bCs/>
          <w:szCs w:val="24"/>
        </w:rPr>
        <w:t xml:space="preserve">Financial Interest: </w:t>
      </w:r>
    </w:p>
    <w:p w14:paraId="745C046E" w14:textId="22D5A4D1" w:rsidR="005B7CE4" w:rsidRPr="00AA4677" w:rsidRDefault="005B7CE4" w:rsidP="008B3BF5">
      <w:pPr>
        <w:spacing w:after="0" w:line="240" w:lineRule="auto"/>
        <w:ind w:left="360" w:hanging="360"/>
        <w:rPr>
          <w:rFonts w:eastAsia="Times New Roman" w:cs="Times New Roman"/>
          <w:szCs w:val="24"/>
        </w:rPr>
      </w:pPr>
      <w:r w:rsidRPr="00AA4677">
        <w:rPr>
          <w:rFonts w:eastAsia="Times New Roman" w:cs="Times New Roman"/>
          <w:szCs w:val="24"/>
        </w:rPr>
        <w:t xml:space="preserve">1. </w:t>
      </w:r>
      <w:r w:rsidR="008B3BF5" w:rsidRPr="00AA4677">
        <w:rPr>
          <w:rFonts w:eastAsia="Times New Roman" w:cs="Times New Roman"/>
          <w:szCs w:val="24"/>
        </w:rPr>
        <w:t xml:space="preserve">  </w:t>
      </w:r>
      <w:r w:rsidRPr="00AA4677">
        <w:rPr>
          <w:rFonts w:eastAsia="Times New Roman" w:cs="Times New Roman"/>
          <w:szCs w:val="24"/>
        </w:rPr>
        <w:t xml:space="preserve">Any remuneration to the Investigator (and/or those of the Investigator’s </w:t>
      </w:r>
      <w:r w:rsidR="001C5E7A" w:rsidRPr="00AA4677">
        <w:rPr>
          <w:rFonts w:eastAsia="Times New Roman" w:cs="Times New Roman"/>
          <w:szCs w:val="24"/>
        </w:rPr>
        <w:t>i</w:t>
      </w:r>
      <w:r w:rsidRPr="00AA4677">
        <w:rPr>
          <w:rFonts w:eastAsia="Times New Roman" w:cs="Times New Roman"/>
          <w:szCs w:val="24"/>
        </w:rPr>
        <w:t xml:space="preserve">mmediate </w:t>
      </w:r>
      <w:r w:rsidR="001C5E7A" w:rsidRPr="00AA4677">
        <w:rPr>
          <w:rFonts w:eastAsia="Times New Roman" w:cs="Times New Roman"/>
          <w:szCs w:val="24"/>
        </w:rPr>
        <w:t>f</w:t>
      </w:r>
      <w:r w:rsidRPr="00AA4677">
        <w:rPr>
          <w:rFonts w:eastAsia="Times New Roman" w:cs="Times New Roman"/>
          <w:szCs w:val="24"/>
        </w:rPr>
        <w:t xml:space="preserve">amily </w:t>
      </w:r>
      <w:r w:rsidR="001C5E7A" w:rsidRPr="00AA4677">
        <w:rPr>
          <w:rFonts w:eastAsia="Times New Roman" w:cs="Times New Roman"/>
          <w:szCs w:val="24"/>
        </w:rPr>
        <w:t>m</w:t>
      </w:r>
      <w:r w:rsidRPr="00AA4677">
        <w:rPr>
          <w:rFonts w:eastAsia="Times New Roman" w:cs="Times New Roman"/>
          <w:szCs w:val="24"/>
        </w:rPr>
        <w:t>ember) from outside the University, and/or</w:t>
      </w:r>
    </w:p>
    <w:p w14:paraId="0922E201" w14:textId="76B1C7A9" w:rsidR="005B7CE4" w:rsidRPr="00AA4677" w:rsidRDefault="005B7CE4" w:rsidP="008B3BF5">
      <w:pPr>
        <w:spacing w:after="0" w:line="240" w:lineRule="auto"/>
        <w:ind w:left="360" w:hanging="360"/>
        <w:rPr>
          <w:rFonts w:eastAsia="Times New Roman" w:cs="Times New Roman"/>
          <w:szCs w:val="24"/>
        </w:rPr>
      </w:pPr>
      <w:r w:rsidRPr="00AA4677">
        <w:rPr>
          <w:rFonts w:eastAsia="Times New Roman" w:cs="Times New Roman"/>
          <w:szCs w:val="24"/>
        </w:rPr>
        <w:t xml:space="preserve">2. </w:t>
      </w:r>
      <w:r w:rsidR="008B3BF5" w:rsidRPr="00AA4677">
        <w:rPr>
          <w:rFonts w:eastAsia="Times New Roman" w:cs="Times New Roman"/>
          <w:szCs w:val="24"/>
        </w:rPr>
        <w:t xml:space="preserve">  </w:t>
      </w:r>
      <w:r w:rsidRPr="00AA4677">
        <w:rPr>
          <w:rFonts w:eastAsia="Times New Roman" w:cs="Times New Roman"/>
          <w:szCs w:val="24"/>
        </w:rPr>
        <w:t xml:space="preserve">Any equity holdings or ownership of the Investigator (and/or those of the Investigator’s </w:t>
      </w:r>
      <w:r w:rsidR="00D14FC8" w:rsidRPr="00AA4677">
        <w:rPr>
          <w:rFonts w:eastAsia="Times New Roman" w:cs="Times New Roman"/>
          <w:szCs w:val="24"/>
        </w:rPr>
        <w:t>i</w:t>
      </w:r>
      <w:r w:rsidRPr="00AA4677">
        <w:rPr>
          <w:rFonts w:eastAsia="Times New Roman" w:cs="Times New Roman"/>
          <w:szCs w:val="24"/>
        </w:rPr>
        <w:t xml:space="preserve">mmediate </w:t>
      </w:r>
      <w:r w:rsidR="00D14FC8" w:rsidRPr="00AA4677">
        <w:rPr>
          <w:rFonts w:eastAsia="Times New Roman" w:cs="Times New Roman"/>
          <w:szCs w:val="24"/>
        </w:rPr>
        <w:t>f</w:t>
      </w:r>
      <w:r w:rsidRPr="00AA4677">
        <w:rPr>
          <w:rFonts w:eastAsia="Times New Roman" w:cs="Times New Roman"/>
          <w:szCs w:val="24"/>
        </w:rPr>
        <w:t xml:space="preserve">amily </w:t>
      </w:r>
      <w:r w:rsidR="00D14FC8" w:rsidRPr="00AA4677">
        <w:rPr>
          <w:rFonts w:eastAsia="Times New Roman" w:cs="Times New Roman"/>
          <w:szCs w:val="24"/>
        </w:rPr>
        <w:t>m</w:t>
      </w:r>
      <w:r w:rsidRPr="00AA4677">
        <w:rPr>
          <w:rFonts w:eastAsia="Times New Roman" w:cs="Times New Roman"/>
          <w:szCs w:val="24"/>
        </w:rPr>
        <w:t>ember</w:t>
      </w:r>
      <w:r w:rsidR="004E61B4" w:rsidRPr="00AA4677">
        <w:rPr>
          <w:rFonts w:eastAsia="Times New Roman" w:cs="Times New Roman"/>
          <w:szCs w:val="24"/>
        </w:rPr>
        <w:t xml:space="preserve"> – spouse and dependent children</w:t>
      </w:r>
      <w:r w:rsidRPr="00AA4677">
        <w:rPr>
          <w:rFonts w:eastAsia="Times New Roman" w:cs="Times New Roman"/>
          <w:szCs w:val="24"/>
        </w:rPr>
        <w:t>), and/or</w:t>
      </w:r>
    </w:p>
    <w:p w14:paraId="1A450586" w14:textId="0F950B5B" w:rsidR="005B7CE4" w:rsidRPr="00AA4677" w:rsidRDefault="005B7CE4" w:rsidP="008B3BF5">
      <w:pPr>
        <w:spacing w:after="0" w:line="240" w:lineRule="auto"/>
        <w:ind w:left="360" w:hanging="360"/>
        <w:rPr>
          <w:rFonts w:eastAsia="Times New Roman" w:cs="Times New Roman"/>
          <w:szCs w:val="24"/>
        </w:rPr>
      </w:pPr>
      <w:r w:rsidRPr="00AA4677">
        <w:rPr>
          <w:rFonts w:eastAsia="Times New Roman" w:cs="Times New Roman"/>
          <w:szCs w:val="24"/>
        </w:rPr>
        <w:t xml:space="preserve">3. </w:t>
      </w:r>
      <w:r w:rsidR="008B3BF5" w:rsidRPr="00AA4677">
        <w:rPr>
          <w:rFonts w:eastAsia="Times New Roman" w:cs="Times New Roman"/>
          <w:szCs w:val="24"/>
        </w:rPr>
        <w:t xml:space="preserve">  </w:t>
      </w:r>
      <w:r w:rsidRPr="00AA4677">
        <w:rPr>
          <w:rFonts w:eastAsia="Times New Roman" w:cs="Times New Roman"/>
          <w:szCs w:val="24"/>
        </w:rPr>
        <w:t xml:space="preserve">Intellectual property rights and interests (e.g., new technology disclosures, patents, copyrights) where a company has </w:t>
      </w:r>
      <w:proofErr w:type="gramStart"/>
      <w:r w:rsidRPr="00AA4677">
        <w:rPr>
          <w:rFonts w:eastAsia="Times New Roman" w:cs="Times New Roman"/>
          <w:szCs w:val="24"/>
        </w:rPr>
        <w:t>entered into</w:t>
      </w:r>
      <w:proofErr w:type="gramEnd"/>
      <w:r w:rsidRPr="00AA4677">
        <w:rPr>
          <w:rFonts w:eastAsia="Times New Roman" w:cs="Times New Roman"/>
          <w:szCs w:val="24"/>
        </w:rPr>
        <w:t xml:space="preserve"> a</w:t>
      </w:r>
      <w:r w:rsidR="00AC4893" w:rsidRPr="00AA4677">
        <w:rPr>
          <w:rFonts w:eastAsia="Times New Roman" w:cs="Times New Roman"/>
          <w:szCs w:val="24"/>
        </w:rPr>
        <w:t>n option to license, or license,</w:t>
      </w:r>
      <w:r w:rsidRPr="00AA4677">
        <w:rPr>
          <w:rFonts w:eastAsia="Times New Roman" w:cs="Times New Roman"/>
          <w:szCs w:val="24"/>
        </w:rPr>
        <w:t xml:space="preserve"> such rights and interests from the University. </w:t>
      </w:r>
    </w:p>
    <w:p w14:paraId="64F1B241" w14:textId="552E2ADD" w:rsidR="005B7CE4" w:rsidRPr="00AA4677" w:rsidRDefault="005B7CE4" w:rsidP="008B3BF5">
      <w:pPr>
        <w:spacing w:after="0" w:line="240" w:lineRule="auto"/>
        <w:ind w:left="360" w:hanging="360"/>
        <w:rPr>
          <w:rFonts w:eastAsia="Times New Roman" w:cs="Times New Roman"/>
          <w:szCs w:val="24"/>
        </w:rPr>
      </w:pPr>
      <w:r w:rsidRPr="00AA4677">
        <w:rPr>
          <w:rFonts w:eastAsia="Times New Roman" w:cs="Times New Roman"/>
          <w:szCs w:val="24"/>
        </w:rPr>
        <w:t xml:space="preserve">4. </w:t>
      </w:r>
      <w:r w:rsidR="008B3BF5" w:rsidRPr="00AA4677">
        <w:rPr>
          <w:rFonts w:eastAsia="Times New Roman" w:cs="Times New Roman"/>
          <w:szCs w:val="24"/>
        </w:rPr>
        <w:t xml:space="preserve">  </w:t>
      </w:r>
      <w:r w:rsidRPr="00AA4677">
        <w:rPr>
          <w:rFonts w:eastAsia="Times New Roman" w:cs="Times New Roman"/>
          <w:szCs w:val="24"/>
        </w:rPr>
        <w:t xml:space="preserve">Intellectual property rights and interests upon receipt of income related to such rights and interests. </w:t>
      </w:r>
    </w:p>
    <w:p w14:paraId="275059E1" w14:textId="77777777" w:rsidR="005B7CE4" w:rsidRPr="00AA4677" w:rsidRDefault="005B7CE4" w:rsidP="005B7CE4">
      <w:pPr>
        <w:spacing w:after="0" w:line="240" w:lineRule="auto"/>
        <w:rPr>
          <w:rFonts w:eastAsia="Times New Roman" w:cs="Times New Roman"/>
          <w:szCs w:val="24"/>
        </w:rPr>
      </w:pPr>
    </w:p>
    <w:p w14:paraId="5094E6A7" w14:textId="470FB247" w:rsidR="005B7CE4" w:rsidRPr="00AA4677" w:rsidRDefault="00AC4893" w:rsidP="005B7CE4">
      <w:pPr>
        <w:spacing w:after="0" w:line="240" w:lineRule="auto"/>
        <w:rPr>
          <w:rFonts w:eastAsia="Times New Roman" w:cs="Times New Roman"/>
          <w:i/>
          <w:szCs w:val="24"/>
        </w:rPr>
      </w:pPr>
      <w:r w:rsidRPr="00AA4677">
        <w:rPr>
          <w:rFonts w:eastAsia="Times New Roman" w:cs="Times New Roman"/>
          <w:i/>
          <w:szCs w:val="24"/>
        </w:rPr>
        <w:t>Note: A</w:t>
      </w:r>
      <w:r w:rsidR="005B7CE4" w:rsidRPr="00AA4677">
        <w:rPr>
          <w:rFonts w:eastAsia="Times New Roman" w:cs="Times New Roman"/>
          <w:i/>
          <w:szCs w:val="24"/>
        </w:rPr>
        <w:t>ll royalties, including those received by the Investigator from this University, are to be disclosed.</w:t>
      </w:r>
    </w:p>
    <w:p w14:paraId="655B1EE9" w14:textId="54F29D3B" w:rsidR="00475568" w:rsidRPr="00AA4677" w:rsidRDefault="00475568" w:rsidP="005B7CE4">
      <w:pPr>
        <w:shd w:val="clear" w:color="auto" w:fill="FFFFFF"/>
        <w:spacing w:after="0" w:line="240" w:lineRule="auto"/>
        <w:rPr>
          <w:rFonts w:eastAsia="Times New Roman" w:cs="Times New Roman"/>
          <w:b/>
          <w:bCs/>
          <w:szCs w:val="24"/>
        </w:rPr>
      </w:pPr>
      <w:bookmarkStart w:id="326" w:name="_Toc474499064"/>
    </w:p>
    <w:p w14:paraId="7A86BEC4" w14:textId="71AC660D" w:rsidR="00A97E7C" w:rsidRPr="00AA4677" w:rsidRDefault="00A97E7C" w:rsidP="005B7CE4">
      <w:pPr>
        <w:shd w:val="clear" w:color="auto" w:fill="FFFFFF"/>
        <w:spacing w:after="0" w:line="240" w:lineRule="auto"/>
        <w:rPr>
          <w:rFonts w:eastAsia="Times New Roman" w:cs="Times New Roman"/>
          <w:b/>
          <w:bCs/>
          <w:szCs w:val="24"/>
        </w:rPr>
      </w:pPr>
      <w:r w:rsidRPr="00AA4677">
        <w:rPr>
          <w:rFonts w:eastAsia="Times New Roman" w:cs="Times New Roman"/>
          <w:b/>
          <w:bCs/>
          <w:szCs w:val="24"/>
        </w:rPr>
        <w:t>Financial Interest Related to the Research:</w:t>
      </w:r>
    </w:p>
    <w:p w14:paraId="7DD403B2" w14:textId="3BCB04F4" w:rsidR="00A97E7C" w:rsidRPr="00AA4677" w:rsidRDefault="00A97E7C" w:rsidP="005B7CE4">
      <w:pPr>
        <w:shd w:val="clear" w:color="auto" w:fill="FFFFFF"/>
        <w:spacing w:after="0" w:line="240" w:lineRule="auto"/>
        <w:rPr>
          <w:rFonts w:eastAsia="Times New Roman" w:cs="Times New Roman"/>
          <w:bCs/>
          <w:szCs w:val="24"/>
        </w:rPr>
      </w:pPr>
      <w:r w:rsidRPr="00AA4677">
        <w:rPr>
          <w:rFonts w:eastAsia="Times New Roman" w:cs="Times New Roman"/>
          <w:bCs/>
          <w:szCs w:val="24"/>
        </w:rPr>
        <w:t>Financial interest in the sponsor, product or service being tested.</w:t>
      </w:r>
    </w:p>
    <w:p w14:paraId="42B8603C" w14:textId="77777777" w:rsidR="00A97E7C" w:rsidRPr="00AA4677" w:rsidRDefault="00A97E7C" w:rsidP="005B7CE4">
      <w:pPr>
        <w:shd w:val="clear" w:color="auto" w:fill="FFFFFF"/>
        <w:spacing w:after="0" w:line="240" w:lineRule="auto"/>
        <w:rPr>
          <w:rFonts w:eastAsia="Times New Roman" w:cs="Times New Roman"/>
          <w:b/>
          <w:bCs/>
          <w:szCs w:val="24"/>
        </w:rPr>
      </w:pPr>
    </w:p>
    <w:p w14:paraId="7B616D4E" w14:textId="77777777" w:rsidR="005B7CE4" w:rsidRPr="00AA4677" w:rsidRDefault="005B7CE4" w:rsidP="005B7CE4">
      <w:pPr>
        <w:shd w:val="clear" w:color="auto" w:fill="FFFFFF"/>
        <w:spacing w:after="0" w:line="240" w:lineRule="auto"/>
        <w:rPr>
          <w:rFonts w:eastAsia="Times New Roman" w:cs="Times New Roman"/>
          <w:b/>
          <w:bCs/>
          <w:szCs w:val="24"/>
        </w:rPr>
      </w:pPr>
      <w:r w:rsidRPr="00AA4677">
        <w:rPr>
          <w:rFonts w:eastAsia="Times New Roman" w:cs="Times New Roman"/>
          <w:b/>
          <w:bCs/>
          <w:szCs w:val="24"/>
        </w:rPr>
        <w:t>Financial Interest (FI) Exclusions:</w:t>
      </w:r>
      <w:bookmarkEnd w:id="326"/>
    </w:p>
    <w:p w14:paraId="63AB44F7" w14:textId="77777777" w:rsidR="005B7CE4" w:rsidRPr="00AA4677" w:rsidRDefault="005B7CE4">
      <w:pPr>
        <w:numPr>
          <w:ilvl w:val="0"/>
          <w:numId w:val="252"/>
        </w:numPr>
        <w:spacing w:after="0" w:line="240" w:lineRule="auto"/>
        <w:rPr>
          <w:rFonts w:eastAsia="Times New Roman" w:cs="Times New Roman"/>
          <w:szCs w:val="24"/>
        </w:rPr>
      </w:pPr>
      <w:r w:rsidRPr="00AA4677">
        <w:rPr>
          <w:rFonts w:eastAsia="Times New Roman" w:cs="Times New Roman"/>
          <w:szCs w:val="24"/>
        </w:rPr>
        <w:t xml:space="preserve">Income from investment vehicles, such as mutual funds and retirement accounts, </w:t>
      </w:r>
      <w:proofErr w:type="gramStart"/>
      <w:r w:rsidRPr="00AA4677">
        <w:rPr>
          <w:rFonts w:eastAsia="Times New Roman" w:cs="Times New Roman"/>
          <w:szCs w:val="24"/>
        </w:rPr>
        <w:t>as long as</w:t>
      </w:r>
      <w:proofErr w:type="gramEnd"/>
      <w:r w:rsidRPr="00AA4677">
        <w:rPr>
          <w:rFonts w:eastAsia="Times New Roman" w:cs="Times New Roman"/>
          <w:szCs w:val="24"/>
        </w:rPr>
        <w:t xml:space="preserve"> the Investigator does not directly control the investment decisions made in these </w:t>
      </w:r>
      <w:proofErr w:type="gramStart"/>
      <w:r w:rsidRPr="00AA4677">
        <w:rPr>
          <w:rFonts w:eastAsia="Times New Roman" w:cs="Times New Roman"/>
          <w:szCs w:val="24"/>
        </w:rPr>
        <w:t>vehicles;</w:t>
      </w:r>
      <w:proofErr w:type="gramEnd"/>
    </w:p>
    <w:p w14:paraId="3C81ACD8" w14:textId="644408BA" w:rsidR="005B7CE4" w:rsidRPr="00AA4677" w:rsidRDefault="005B7CE4">
      <w:pPr>
        <w:numPr>
          <w:ilvl w:val="0"/>
          <w:numId w:val="252"/>
        </w:numPr>
        <w:spacing w:after="0" w:line="240" w:lineRule="auto"/>
        <w:rPr>
          <w:rFonts w:eastAsia="Times New Roman" w:cs="Times New Roman"/>
          <w:szCs w:val="24"/>
        </w:rPr>
      </w:pPr>
      <w:r w:rsidRPr="00AA4677">
        <w:rPr>
          <w:rFonts w:eastAsia="Times New Roman" w:cs="Times New Roman"/>
          <w:szCs w:val="24"/>
        </w:rPr>
        <w:t xml:space="preserve">Income from seminars, lectures or teaching engagements sponsored by a federal, state or local government agency, a (United States) institution of higher education as defined at 20 U.S.C. 1001 (a), an academic teaching hospital, a medical center, or a research institute that is affiliated with an institution of higher education; or </w:t>
      </w:r>
    </w:p>
    <w:p w14:paraId="55D0B0A3" w14:textId="18FA52DD" w:rsidR="005B7CE4" w:rsidRPr="00AA4677" w:rsidRDefault="005B7CE4">
      <w:pPr>
        <w:numPr>
          <w:ilvl w:val="0"/>
          <w:numId w:val="252"/>
        </w:numPr>
        <w:spacing w:after="0" w:line="240" w:lineRule="auto"/>
        <w:rPr>
          <w:rFonts w:eastAsia="Times New Roman" w:cs="Times New Roman"/>
          <w:szCs w:val="24"/>
        </w:rPr>
      </w:pPr>
      <w:r w:rsidRPr="00AA4677">
        <w:rPr>
          <w:rFonts w:eastAsia="Times New Roman" w:cs="Times New Roman"/>
          <w:szCs w:val="24"/>
        </w:rPr>
        <w:t>Income from service on advisory committees or review panels for a federal, state or</w:t>
      </w:r>
      <w:r w:rsidR="00AC4893" w:rsidRPr="00AA4677">
        <w:rPr>
          <w:rFonts w:eastAsia="Times New Roman" w:cs="Times New Roman"/>
          <w:szCs w:val="24"/>
        </w:rPr>
        <w:t xml:space="preserve"> a</w:t>
      </w:r>
      <w:r w:rsidRPr="00AA4677">
        <w:rPr>
          <w:rFonts w:eastAsia="Times New Roman" w:cs="Times New Roman"/>
          <w:szCs w:val="24"/>
        </w:rPr>
        <w:t xml:space="preserve"> local government agency, a (United States) institution of higher education as defined at 20 U.S.C. 1001 (a), an academic teaching hospital, a medical center, or a research institute that is affiliated with an institution of higher education. </w:t>
      </w:r>
    </w:p>
    <w:p w14:paraId="7BB95CC6" w14:textId="7791D0C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Institutional</w:t>
      </w:r>
      <w:r w:rsidR="001924B2" w:rsidRPr="00AA4677">
        <w:rPr>
          <w:rFonts w:eastAsia="Times New Roman" w:cs="Times New Roman"/>
          <w:b/>
          <w:bCs/>
          <w:szCs w:val="24"/>
        </w:rPr>
        <w:t xml:space="preserve"> R</w:t>
      </w:r>
      <w:r w:rsidRPr="00AA4677">
        <w:rPr>
          <w:rFonts w:eastAsia="Times New Roman" w:cs="Times New Roman"/>
          <w:b/>
          <w:bCs/>
          <w:szCs w:val="24"/>
        </w:rPr>
        <w:t>esponsibilities:</w:t>
      </w:r>
      <w:r w:rsidR="005B7CE4" w:rsidRPr="00AA4677">
        <w:rPr>
          <w:rFonts w:eastAsia="Times New Roman" w:cs="Times New Roman"/>
          <w:b/>
          <w:bCs/>
          <w:szCs w:val="24"/>
        </w:rPr>
        <w:t xml:space="preserve"> </w:t>
      </w:r>
      <w:r w:rsidRPr="00AA4677">
        <w:rPr>
          <w:rFonts w:eastAsia="Times New Roman" w:cs="Times New Roman"/>
          <w:szCs w:val="24"/>
        </w:rPr>
        <w:t xml:space="preserve">All professional responsibilities and activities for which the investigator was hired to perform at, and is paid by, this </w:t>
      </w:r>
      <w:r w:rsidR="007A7A43" w:rsidRPr="00AA4677">
        <w:rPr>
          <w:rFonts w:eastAsia="Times New Roman" w:cs="Times New Roman"/>
          <w:szCs w:val="24"/>
        </w:rPr>
        <w:t>University</w:t>
      </w:r>
      <w:r w:rsidRPr="00AA4677">
        <w:rPr>
          <w:rFonts w:eastAsia="Times New Roman" w:cs="Times New Roman"/>
          <w:szCs w:val="24"/>
        </w:rPr>
        <w:t>, including but not limited to research, research consultation, teaching, professional practice, institutional committee memberships, and service on panels such as Institutional Review Boards or Data and Safety Monitoring Boards.</w:t>
      </w:r>
    </w:p>
    <w:p w14:paraId="703F25B8" w14:textId="4F0771B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lastRenderedPageBreak/>
        <w:t xml:space="preserve">Investigator (specific to </w:t>
      </w:r>
      <w:r w:rsidR="005B7CE4" w:rsidRPr="00AA4677">
        <w:rPr>
          <w:rFonts w:eastAsia="Times New Roman" w:cs="Times New Roman"/>
          <w:b/>
          <w:bCs/>
          <w:szCs w:val="24"/>
        </w:rPr>
        <w:t xml:space="preserve">IRB </w:t>
      </w:r>
      <w:r w:rsidRPr="00AA4677">
        <w:rPr>
          <w:rFonts w:eastAsia="Times New Roman" w:cs="Times New Roman"/>
          <w:b/>
          <w:bCs/>
          <w:szCs w:val="24"/>
        </w:rPr>
        <w:t>submissions only):</w:t>
      </w:r>
      <w:r w:rsidR="005B7CE4" w:rsidRPr="00AA4677">
        <w:rPr>
          <w:rFonts w:eastAsia="Times New Roman" w:cs="Times New Roman"/>
          <w:b/>
          <w:bCs/>
          <w:szCs w:val="24"/>
        </w:rPr>
        <w:t xml:space="preserve">  </w:t>
      </w:r>
      <w:r w:rsidRPr="00AA4677">
        <w:rPr>
          <w:rFonts w:eastAsia="Times New Roman" w:cs="Times New Roman"/>
          <w:szCs w:val="24"/>
        </w:rPr>
        <w:t xml:space="preserve">All </w:t>
      </w:r>
      <w:r w:rsidR="00475568" w:rsidRPr="00AA4677">
        <w:rPr>
          <w:rFonts w:eastAsia="Times New Roman" w:cs="Times New Roman"/>
          <w:szCs w:val="24"/>
        </w:rPr>
        <w:t xml:space="preserve">study team members </w:t>
      </w:r>
      <w:r w:rsidRPr="00AA4677">
        <w:rPr>
          <w:rFonts w:eastAsia="Times New Roman" w:cs="Times New Roman"/>
          <w:szCs w:val="24"/>
        </w:rPr>
        <w:t xml:space="preserve">listed </w:t>
      </w:r>
      <w:r w:rsidR="00475568" w:rsidRPr="00AA4677">
        <w:rPr>
          <w:rFonts w:eastAsia="Times New Roman" w:cs="Times New Roman"/>
          <w:szCs w:val="24"/>
        </w:rPr>
        <w:t>i</w:t>
      </w:r>
      <w:r w:rsidRPr="00AA4677">
        <w:rPr>
          <w:rFonts w:eastAsia="Times New Roman" w:cs="Times New Roman"/>
          <w:szCs w:val="24"/>
        </w:rPr>
        <w:t>n the</w:t>
      </w:r>
      <w:r w:rsidR="00475568" w:rsidRPr="00AA4677">
        <w:rPr>
          <w:rFonts w:eastAsia="Times New Roman" w:cs="Times New Roman"/>
          <w:szCs w:val="24"/>
        </w:rPr>
        <w:t xml:space="preserve"> </w:t>
      </w:r>
      <w:r w:rsidR="00DC5138" w:rsidRPr="00AA4677">
        <w:rPr>
          <w:rFonts w:eastAsia="Times New Roman" w:cs="Times New Roman"/>
          <w:szCs w:val="24"/>
        </w:rPr>
        <w:t>electronic management system</w:t>
      </w:r>
      <w:r w:rsidRPr="00AA4677">
        <w:rPr>
          <w:rFonts w:eastAsia="Times New Roman" w:cs="Times New Roman"/>
          <w:szCs w:val="24"/>
        </w:rPr>
        <w:t xml:space="preserve"> for a project submitted to</w:t>
      </w:r>
      <w:r w:rsidR="00475568" w:rsidRPr="00AA4677">
        <w:rPr>
          <w:rFonts w:eastAsia="Times New Roman" w:cs="Times New Roman"/>
          <w:szCs w:val="24"/>
        </w:rPr>
        <w:t xml:space="preserve"> the IRB</w:t>
      </w:r>
      <w:r w:rsidRPr="00AA4677">
        <w:rPr>
          <w:rFonts w:eastAsia="Times New Roman" w:cs="Times New Roman"/>
          <w:szCs w:val="24"/>
        </w:rPr>
        <w:t>. For</w:t>
      </w:r>
      <w:r w:rsidR="00AC4893" w:rsidRPr="00AA4677">
        <w:rPr>
          <w:rFonts w:eastAsia="Times New Roman" w:cs="Times New Roman"/>
          <w:szCs w:val="24"/>
        </w:rPr>
        <w:t xml:space="preserve"> the purposes of this policy, "investigator" shall include the i</w:t>
      </w:r>
      <w:r w:rsidRPr="00AA4677">
        <w:rPr>
          <w:rFonts w:eastAsia="Times New Roman" w:cs="Times New Roman"/>
          <w:szCs w:val="24"/>
        </w:rPr>
        <w:t>nvestigator's spouse and all dependent children.</w:t>
      </w:r>
    </w:p>
    <w:p w14:paraId="3315FF18" w14:textId="116F5D50" w:rsidR="005B7CE4" w:rsidRPr="00AA4677" w:rsidRDefault="005B7CE4" w:rsidP="00E56E02">
      <w:bookmarkStart w:id="327" w:name="_Toc474499070"/>
      <w:r w:rsidRPr="00AA4677">
        <w:rPr>
          <w:b/>
          <w:bCs/>
        </w:rPr>
        <w:t>Obligation:</w:t>
      </w:r>
      <w:bookmarkEnd w:id="327"/>
      <w:r w:rsidRPr="00AA4677">
        <w:rPr>
          <w:b/>
          <w:bCs/>
        </w:rPr>
        <w:t xml:space="preserve">  </w:t>
      </w:r>
      <w:r w:rsidRPr="00AA4677">
        <w:t>An unpaid position - held as an officer, trustee, director, adjunct professor, advisor, scientific advis</w:t>
      </w:r>
      <w:r w:rsidR="00AC4893" w:rsidRPr="00AA4677">
        <w:t>or, board member or consultant</w:t>
      </w:r>
      <w:r w:rsidRPr="00AA4677">
        <w:t xml:space="preserve"> of a for-profit or not-for-profit entity. </w:t>
      </w:r>
    </w:p>
    <w:p w14:paraId="4F0AD44E" w14:textId="3CD82AC0" w:rsidR="005B7CE4" w:rsidRPr="00AA4677" w:rsidRDefault="00FC174E" w:rsidP="005B7CE4">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Significant Financial Interest (SFI):</w:t>
      </w:r>
      <w:r w:rsidR="005B7CE4" w:rsidRPr="00AA4677">
        <w:rPr>
          <w:rFonts w:eastAsia="Times New Roman" w:cs="Times New Roman"/>
          <w:b/>
          <w:bCs/>
          <w:szCs w:val="24"/>
        </w:rPr>
        <w:t xml:space="preserve"> </w:t>
      </w:r>
      <w:r w:rsidR="005B7CE4" w:rsidRPr="00AA4677">
        <w:rPr>
          <w:rFonts w:eastAsia="Times New Roman" w:cs="Times New Roman"/>
          <w:bCs/>
          <w:szCs w:val="24"/>
        </w:rPr>
        <w:t>One or more of the following types of Financial Interests</w:t>
      </w:r>
      <w:r w:rsidR="005B7CE4" w:rsidRPr="00AA4677">
        <w:rPr>
          <w:rFonts w:eastAsia="Times New Roman" w:cs="Times New Roman"/>
          <w:szCs w:val="24"/>
        </w:rPr>
        <w:t xml:space="preserve"> of the Investigator (and/or those of the Investigator's </w:t>
      </w:r>
      <w:r w:rsidR="00CE26BB" w:rsidRPr="00AA4677">
        <w:rPr>
          <w:rFonts w:eastAsia="Times New Roman" w:cs="Times New Roman"/>
          <w:szCs w:val="24"/>
        </w:rPr>
        <w:t>i</w:t>
      </w:r>
      <w:r w:rsidR="005B7CE4" w:rsidRPr="00AA4677">
        <w:rPr>
          <w:rFonts w:eastAsia="Times New Roman" w:cs="Times New Roman"/>
          <w:szCs w:val="24"/>
        </w:rPr>
        <w:t xml:space="preserve">mmediate </w:t>
      </w:r>
      <w:r w:rsidR="00CE26BB" w:rsidRPr="00AA4677">
        <w:rPr>
          <w:rFonts w:eastAsia="Times New Roman" w:cs="Times New Roman"/>
          <w:szCs w:val="24"/>
        </w:rPr>
        <w:t>f</w:t>
      </w:r>
      <w:r w:rsidR="005B7CE4" w:rsidRPr="00AA4677">
        <w:rPr>
          <w:rFonts w:eastAsia="Times New Roman" w:cs="Times New Roman"/>
          <w:szCs w:val="24"/>
        </w:rPr>
        <w:t xml:space="preserve">amily </w:t>
      </w:r>
      <w:r w:rsidR="00CE26BB" w:rsidRPr="00AA4677">
        <w:rPr>
          <w:rFonts w:eastAsia="Times New Roman" w:cs="Times New Roman"/>
          <w:szCs w:val="24"/>
        </w:rPr>
        <w:t>m</w:t>
      </w:r>
      <w:r w:rsidR="005B7CE4" w:rsidRPr="00AA4677">
        <w:rPr>
          <w:rFonts w:eastAsia="Times New Roman" w:cs="Times New Roman"/>
          <w:szCs w:val="24"/>
        </w:rPr>
        <w:t xml:space="preserve">ember) </w:t>
      </w:r>
      <w:r w:rsidR="005B7CE4" w:rsidRPr="00AA4677">
        <w:rPr>
          <w:rFonts w:eastAsia="Times New Roman" w:cs="Times New Roman"/>
          <w:b/>
          <w:i/>
          <w:szCs w:val="24"/>
        </w:rPr>
        <w:t xml:space="preserve">that reasonably </w:t>
      </w:r>
      <w:proofErr w:type="gramStart"/>
      <w:r w:rsidR="005B7CE4" w:rsidRPr="00AA4677">
        <w:rPr>
          <w:rFonts w:eastAsia="Times New Roman" w:cs="Times New Roman"/>
          <w:b/>
          <w:i/>
          <w:szCs w:val="24"/>
        </w:rPr>
        <w:t>appears</w:t>
      </w:r>
      <w:proofErr w:type="gramEnd"/>
      <w:r w:rsidR="005B7CE4" w:rsidRPr="00AA4677">
        <w:rPr>
          <w:rFonts w:eastAsia="Times New Roman" w:cs="Times New Roman"/>
          <w:b/>
          <w:i/>
          <w:szCs w:val="24"/>
        </w:rPr>
        <w:t xml:space="preserve"> to be related to the Investigator's Institutional Responsibilities </w:t>
      </w:r>
      <w:r w:rsidR="005B7CE4" w:rsidRPr="00AA4677">
        <w:rPr>
          <w:rFonts w:eastAsia="Times New Roman" w:cs="Times New Roman"/>
          <w:szCs w:val="24"/>
        </w:rPr>
        <w:t xml:space="preserve">is considered an SFI: </w:t>
      </w:r>
    </w:p>
    <w:p w14:paraId="6D7F8BED" w14:textId="77777777" w:rsidR="005B7CE4" w:rsidRPr="00AA4677" w:rsidRDefault="005B7CE4" w:rsidP="008B3BF5">
      <w:pPr>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Publicly Traded Entity:  Value of any remuneration received from the entity in the twelve months preceding the disclosure </w:t>
      </w:r>
      <w:r w:rsidRPr="00AA4677">
        <w:rPr>
          <w:rFonts w:eastAsia="Times New Roman" w:cs="Times New Roman"/>
          <w:bCs/>
          <w:szCs w:val="24"/>
        </w:rPr>
        <w:t>and/or</w:t>
      </w:r>
      <w:r w:rsidRPr="00AA4677">
        <w:rPr>
          <w:rFonts w:eastAsia="Times New Roman" w:cs="Times New Roman"/>
          <w:szCs w:val="24"/>
        </w:rPr>
        <w:t xml:space="preserve"> </w:t>
      </w:r>
      <w:r w:rsidRPr="00AA4677">
        <w:rPr>
          <w:rFonts w:eastAsia="Times New Roman" w:cs="Times New Roman"/>
          <w:bCs/>
          <w:szCs w:val="24"/>
        </w:rPr>
        <w:t>the value of any equity interest</w:t>
      </w:r>
      <w:r w:rsidRPr="00AA4677">
        <w:rPr>
          <w:rFonts w:eastAsia="Times New Roman" w:cs="Times New Roman"/>
          <w:szCs w:val="24"/>
        </w:rPr>
        <w:t xml:space="preserve"> in the entity as of the date of disclosure, </w:t>
      </w:r>
      <w:r w:rsidRPr="00AA4677">
        <w:rPr>
          <w:rFonts w:eastAsia="Times New Roman" w:cs="Times New Roman"/>
          <w:bCs/>
          <w:szCs w:val="24"/>
        </w:rPr>
        <w:t>when aggregated, exceeds $5,000.</w:t>
      </w:r>
      <w:r w:rsidRPr="00AA4677">
        <w:rPr>
          <w:rFonts w:eastAsia="Times New Roman" w:cs="Times New Roman"/>
          <w:szCs w:val="24"/>
        </w:rPr>
        <w:t xml:space="preserve"> </w:t>
      </w:r>
    </w:p>
    <w:p w14:paraId="5127E9E6" w14:textId="77777777" w:rsidR="005B7CE4" w:rsidRPr="00AA4677" w:rsidRDefault="005B7CE4" w:rsidP="008B3BF5">
      <w:pPr>
        <w:spacing w:before="100" w:beforeAutospacing="1" w:after="100" w:afterAutospacing="1" w:line="240" w:lineRule="auto"/>
        <w:ind w:left="360"/>
        <w:rPr>
          <w:rFonts w:eastAsia="Times New Roman" w:cs="Times New Roman"/>
          <w:szCs w:val="24"/>
        </w:rPr>
      </w:pPr>
      <w:r w:rsidRPr="00AA4677">
        <w:rPr>
          <w:rFonts w:eastAsia="Times New Roman" w:cs="Times New Roman"/>
          <w:bCs/>
          <w:szCs w:val="24"/>
        </w:rPr>
        <w:t>Non-Publicly Traded Entity</w:t>
      </w:r>
      <w:r w:rsidRPr="00AA4677">
        <w:rPr>
          <w:rFonts w:eastAsia="Times New Roman" w:cs="Times New Roman"/>
          <w:b/>
          <w:bCs/>
          <w:szCs w:val="24"/>
        </w:rPr>
        <w:t>:</w:t>
      </w:r>
      <w:r w:rsidRPr="00AA4677">
        <w:rPr>
          <w:rFonts w:eastAsia="Times New Roman" w:cs="Times New Roman"/>
          <w:szCs w:val="24"/>
        </w:rPr>
        <w:t xml:space="preserve">  Value of any remuneration received from the entity in the twelve months preceding the disclosure, when aggregated, exceeds $5,000, and/or the </w:t>
      </w:r>
      <w:r w:rsidRPr="00AA4677">
        <w:rPr>
          <w:rFonts w:eastAsia="Times New Roman" w:cs="Times New Roman"/>
          <w:bCs/>
          <w:szCs w:val="24"/>
        </w:rPr>
        <w:t>Investigator</w:t>
      </w:r>
      <w:r w:rsidRPr="00AA4677">
        <w:rPr>
          <w:rFonts w:eastAsia="Times New Roman" w:cs="Times New Roman"/>
          <w:szCs w:val="24"/>
        </w:rPr>
        <w:t xml:space="preserve"> (and/or the Investigator's Immediate Family Member) </w:t>
      </w:r>
      <w:r w:rsidRPr="00AA4677">
        <w:rPr>
          <w:rFonts w:eastAsia="Times New Roman" w:cs="Times New Roman"/>
          <w:bCs/>
          <w:szCs w:val="24"/>
        </w:rPr>
        <w:t>holds any equity interest.</w:t>
      </w:r>
      <w:r w:rsidRPr="00AA4677">
        <w:rPr>
          <w:rFonts w:eastAsia="Times New Roman" w:cs="Times New Roman"/>
          <w:szCs w:val="24"/>
        </w:rPr>
        <w:t xml:space="preserve"> </w:t>
      </w:r>
    </w:p>
    <w:p w14:paraId="0344FE7D" w14:textId="3CA59A83" w:rsidR="005B7CE4" w:rsidRPr="00AA4677" w:rsidRDefault="005B7CE4" w:rsidP="008B3BF5">
      <w:pPr>
        <w:spacing w:before="100" w:beforeAutospacing="1" w:after="100" w:afterAutospacing="1" w:line="240" w:lineRule="auto"/>
        <w:ind w:left="360"/>
        <w:rPr>
          <w:rFonts w:eastAsia="Times New Roman" w:cs="Times New Roman"/>
          <w:szCs w:val="24"/>
        </w:rPr>
      </w:pPr>
      <w:r w:rsidRPr="00AA4677">
        <w:rPr>
          <w:rFonts w:eastAsia="Times New Roman" w:cs="Times New Roman"/>
          <w:bCs/>
          <w:szCs w:val="24"/>
        </w:rPr>
        <w:t>Intellectual Property: rights and interests (e.g., patents, copyrights), royalties from such rights, and agreements to share in royalties related to such rights (upon receipt of income related to such rights and interests).</w:t>
      </w:r>
      <w:r w:rsidRPr="00AA4677">
        <w:rPr>
          <w:rFonts w:eastAsia="Times New Roman" w:cs="Times New Roman"/>
          <w:b/>
          <w:bCs/>
          <w:szCs w:val="24"/>
        </w:rPr>
        <w:t xml:space="preserve"> </w:t>
      </w:r>
      <w:r w:rsidRPr="00AA4677">
        <w:rPr>
          <w:rFonts w:eastAsia="Times New Roman" w:cs="Times New Roman"/>
          <w:szCs w:val="24"/>
        </w:rPr>
        <w:t>At SBU, all royalties are to be disclosed, including those rec</w:t>
      </w:r>
      <w:r w:rsidR="004E2EDD" w:rsidRPr="00AA4677">
        <w:rPr>
          <w:rFonts w:eastAsia="Times New Roman" w:cs="Times New Roman"/>
          <w:szCs w:val="24"/>
        </w:rPr>
        <w:t>eived by the i</w:t>
      </w:r>
      <w:r w:rsidRPr="00AA4677">
        <w:rPr>
          <w:rFonts w:eastAsia="Times New Roman" w:cs="Times New Roman"/>
          <w:szCs w:val="24"/>
        </w:rPr>
        <w:t xml:space="preserve">nvestigator from this University. </w:t>
      </w:r>
    </w:p>
    <w:p w14:paraId="08E3C466" w14:textId="382A61A1" w:rsidR="005B7CE4" w:rsidRPr="00AA4677" w:rsidRDefault="005B7CE4" w:rsidP="008B3BF5">
      <w:pPr>
        <w:spacing w:before="100" w:beforeAutospacing="1" w:after="240" w:line="240" w:lineRule="auto"/>
        <w:ind w:left="360"/>
        <w:rPr>
          <w:rFonts w:eastAsia="Times New Roman" w:cs="Times New Roman"/>
          <w:szCs w:val="24"/>
        </w:rPr>
      </w:pPr>
      <w:r w:rsidRPr="00AA4677">
        <w:rPr>
          <w:rFonts w:eastAsia="Times New Roman" w:cs="Times New Roman"/>
          <w:szCs w:val="24"/>
        </w:rPr>
        <w:t xml:space="preserve">Travel (PHS/NIH only): Investigators also must disclose the </w:t>
      </w:r>
      <w:r w:rsidRPr="00AA4677">
        <w:rPr>
          <w:rFonts w:eastAsia="Times New Roman" w:cs="Times New Roman"/>
          <w:bCs/>
          <w:szCs w:val="24"/>
        </w:rPr>
        <w:t xml:space="preserve">occurrence (over the preceding 12 months) of reimbursed travel or sponsored travel </w:t>
      </w:r>
      <w:r w:rsidRPr="00AA4677">
        <w:rPr>
          <w:rFonts w:eastAsia="Times New Roman" w:cs="Times New Roman"/>
          <w:szCs w:val="24"/>
        </w:rPr>
        <w:t xml:space="preserve">(i.e., that which is paid on behalf of the Investigator) that is related to their Institutional Responsibilities and which totals &gt; $5,000 per reimbursing / paying entity. The disclosure must include the sponsor, destination, duration, and purpose of the travel. </w:t>
      </w:r>
      <w:r w:rsidRPr="00AA4677">
        <w:rPr>
          <w:rFonts w:eastAsia="Times New Roman" w:cs="Times New Roman"/>
          <w:bCs/>
          <w:szCs w:val="24"/>
        </w:rPr>
        <w:t>Excluded from this requirement</w:t>
      </w:r>
      <w:r w:rsidRPr="00AA4677">
        <w:rPr>
          <w:rFonts w:eastAsia="Times New Roman" w:cs="Times New Roman"/>
          <w:b/>
          <w:bCs/>
          <w:szCs w:val="24"/>
        </w:rPr>
        <w:t xml:space="preserve"> </w:t>
      </w:r>
      <w:r w:rsidR="004E2EDD" w:rsidRPr="00AA4677">
        <w:rPr>
          <w:rFonts w:eastAsia="Times New Roman" w:cs="Times New Roman"/>
          <w:szCs w:val="24"/>
        </w:rPr>
        <w:t>is travel that is</w:t>
      </w:r>
      <w:r w:rsidRPr="00AA4677">
        <w:rPr>
          <w:rFonts w:eastAsia="Times New Roman" w:cs="Times New Roman"/>
          <w:szCs w:val="24"/>
        </w:rPr>
        <w:t xml:space="preserve"> reimbursed or sponsored by federal, state or local government agency, an institution of higher education as defined at 20 U.S.C. 1001(a), an academic teaching hospital, a medical center or a research institute that is affiliated with an Institution of higher education.</w:t>
      </w:r>
    </w:p>
    <w:p w14:paraId="463541DC" w14:textId="73E73C55" w:rsidR="005B7CE4" w:rsidRPr="00AA4677" w:rsidRDefault="00FC174E" w:rsidP="00E56E02">
      <w:r w:rsidRPr="00AA4677">
        <w:rPr>
          <w:b/>
          <w:bCs/>
        </w:rPr>
        <w:t>Significant Obligations (SO):</w:t>
      </w:r>
      <w:r w:rsidR="005B7CE4" w:rsidRPr="00AA4677">
        <w:t xml:space="preserve">  Signifi</w:t>
      </w:r>
      <w:r w:rsidR="004E2EDD" w:rsidRPr="00AA4677">
        <w:t xml:space="preserve">cant Obligations (SO) </w:t>
      </w:r>
      <w:proofErr w:type="gramStart"/>
      <w:r w:rsidR="004E2EDD" w:rsidRPr="00AA4677">
        <w:t>includes</w:t>
      </w:r>
      <w:proofErr w:type="gramEnd"/>
      <w:r w:rsidR="004E2EDD" w:rsidRPr="00AA4677">
        <w:t xml:space="preserve"> o</w:t>
      </w:r>
      <w:r w:rsidR="005B7CE4" w:rsidRPr="00AA4677">
        <w:t>bligations that would reasona</w:t>
      </w:r>
      <w:r w:rsidR="004E2EDD" w:rsidRPr="00AA4677">
        <w:t>bly appear to be related to an investigator’s institutional r</w:t>
      </w:r>
      <w:r w:rsidR="005B7CE4" w:rsidRPr="00AA4677">
        <w:t xml:space="preserve">esponsibilities. </w:t>
      </w:r>
    </w:p>
    <w:p w14:paraId="64A1F89A" w14:textId="7D91D2B3" w:rsidR="00FC174E" w:rsidRPr="00AA4677" w:rsidRDefault="00FC174E" w:rsidP="00696B35">
      <w:pPr>
        <w:pStyle w:val="Heading2"/>
      </w:pPr>
      <w:bookmarkStart w:id="328" w:name="_Toc192678260"/>
      <w:r w:rsidRPr="00AA4677">
        <w:t>14.3 Procedures for Financial Disclosure</w:t>
      </w:r>
      <w:bookmarkEnd w:id="328"/>
    </w:p>
    <w:p w14:paraId="71020421" w14:textId="1719B6E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Where the research activity involves human subjects, the </w:t>
      </w:r>
      <w:r w:rsidR="005B7CE4" w:rsidRPr="00AA4677">
        <w:rPr>
          <w:rFonts w:eastAsia="Times New Roman" w:cs="Times New Roman"/>
          <w:szCs w:val="24"/>
        </w:rPr>
        <w:t xml:space="preserve">DIO and the </w:t>
      </w:r>
      <w:r w:rsidR="00EE7207" w:rsidRPr="00AA4677">
        <w:rPr>
          <w:rFonts w:eastAsia="Times New Roman" w:cs="Times New Roman"/>
          <w:szCs w:val="24"/>
        </w:rPr>
        <w:t>IRB</w:t>
      </w:r>
      <w:r w:rsidRPr="00AA4677">
        <w:rPr>
          <w:rFonts w:eastAsia="Times New Roman" w:cs="Times New Roman"/>
          <w:szCs w:val="24"/>
        </w:rPr>
        <w:t xml:space="preserve"> retain responsibility for reviewing investigator financial disclosure and for promulg</w:t>
      </w:r>
      <w:r w:rsidR="005B7CE4" w:rsidRPr="00AA4677">
        <w:rPr>
          <w:rFonts w:eastAsia="Times New Roman" w:cs="Times New Roman"/>
          <w:szCs w:val="24"/>
        </w:rPr>
        <w:t>ating conflict management plans.</w:t>
      </w:r>
      <w:r w:rsidRPr="00AA4677">
        <w:rPr>
          <w:rFonts w:eastAsia="Times New Roman" w:cs="Times New Roman"/>
          <w:szCs w:val="24"/>
        </w:rPr>
        <w:t xml:space="preserve"> The </w:t>
      </w:r>
      <w:r w:rsidR="00110F9A" w:rsidRPr="00AA4677">
        <w:rPr>
          <w:rFonts w:eastAsia="Times New Roman" w:cs="Times New Roman"/>
          <w:szCs w:val="24"/>
        </w:rPr>
        <w:lastRenderedPageBreak/>
        <w:t xml:space="preserve">IRB </w:t>
      </w:r>
      <w:r w:rsidR="004E2EDD" w:rsidRPr="00AA4677">
        <w:rPr>
          <w:rFonts w:eastAsia="Times New Roman" w:cs="Times New Roman"/>
          <w:szCs w:val="24"/>
        </w:rPr>
        <w:t>s</w:t>
      </w:r>
      <w:r w:rsidR="00110F9A" w:rsidRPr="00AA4677">
        <w:rPr>
          <w:rFonts w:eastAsia="Times New Roman" w:cs="Times New Roman"/>
          <w:szCs w:val="24"/>
        </w:rPr>
        <w:t>taff</w:t>
      </w:r>
      <w:r w:rsidRPr="00AA4677">
        <w:rPr>
          <w:rFonts w:eastAsia="Times New Roman" w:cs="Times New Roman"/>
          <w:szCs w:val="24"/>
        </w:rPr>
        <w:t xml:space="preserve"> </w:t>
      </w:r>
      <w:r w:rsidR="00110F9A" w:rsidRPr="00AA4677">
        <w:rPr>
          <w:rFonts w:eastAsia="Times New Roman" w:cs="Times New Roman"/>
          <w:szCs w:val="24"/>
        </w:rPr>
        <w:t>liaises with the DIO</w:t>
      </w:r>
      <w:r w:rsidRPr="00AA4677">
        <w:rPr>
          <w:rFonts w:eastAsia="Times New Roman" w:cs="Times New Roman"/>
          <w:szCs w:val="24"/>
        </w:rPr>
        <w:t>. The</w:t>
      </w:r>
      <w:r w:rsidR="00C66572" w:rsidRPr="00AA4677">
        <w:rPr>
          <w:rFonts w:eastAsia="Times New Roman" w:cs="Times New Roman"/>
          <w:szCs w:val="24"/>
        </w:rPr>
        <w:t xml:space="preserve"> AVP-RC</w:t>
      </w:r>
      <w:r w:rsidRPr="00AA4677">
        <w:rPr>
          <w:rFonts w:eastAsia="Times New Roman" w:cs="Times New Roman"/>
          <w:szCs w:val="24"/>
        </w:rPr>
        <w:t xml:space="preserve"> also serves as a non-voting ex</w:t>
      </w:r>
      <w:r w:rsidR="001C5E7A" w:rsidRPr="00AA4677">
        <w:rPr>
          <w:rFonts w:eastAsia="Times New Roman" w:cs="Times New Roman"/>
          <w:szCs w:val="24"/>
        </w:rPr>
        <w:t>-</w:t>
      </w:r>
      <w:r w:rsidRPr="00AA4677">
        <w:rPr>
          <w:rFonts w:eastAsia="Times New Roman" w:cs="Times New Roman"/>
          <w:szCs w:val="24"/>
        </w:rPr>
        <w:t xml:space="preserve">officio member of the </w:t>
      </w:r>
      <w:r w:rsidR="00110F9A" w:rsidRPr="00AA4677">
        <w:rPr>
          <w:rFonts w:eastAsia="Times New Roman" w:cs="Times New Roman"/>
          <w:szCs w:val="24"/>
        </w:rPr>
        <w:t>COI Committee</w:t>
      </w:r>
      <w:r w:rsidRPr="00AA4677">
        <w:rPr>
          <w:rFonts w:eastAsia="Times New Roman" w:cs="Times New Roman"/>
          <w:szCs w:val="24"/>
        </w:rPr>
        <w:t>.</w:t>
      </w:r>
    </w:p>
    <w:p w14:paraId="756560A5" w14:textId="5C8FB2B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University</w:t>
      </w:r>
      <w:r w:rsidR="007E2814" w:rsidRPr="00AA4677">
        <w:rPr>
          <w:rFonts w:eastAsia="Times New Roman" w:cs="Times New Roman"/>
          <w:szCs w:val="24"/>
        </w:rPr>
        <w:t>’s Disclosure of External Interests and Commitments</w:t>
      </w:r>
      <w:r w:rsidRPr="00AA4677">
        <w:rPr>
          <w:rFonts w:eastAsia="Times New Roman" w:cs="Times New Roman"/>
          <w:szCs w:val="24"/>
        </w:rPr>
        <w:t xml:space="preserve"> Policy is follo</w:t>
      </w:r>
      <w:r w:rsidR="00110F9A" w:rsidRPr="00AA4677">
        <w:rPr>
          <w:rFonts w:eastAsia="Times New Roman" w:cs="Times New Roman"/>
          <w:szCs w:val="24"/>
        </w:rPr>
        <w:t>wed regarding requirements for certification submissions</w:t>
      </w:r>
      <w:r w:rsidRPr="00AA4677">
        <w:rPr>
          <w:rFonts w:eastAsia="Times New Roman" w:cs="Times New Roman"/>
          <w:szCs w:val="24"/>
        </w:rPr>
        <w:t xml:space="preserve">, review, determinations of when significant financial interests </w:t>
      </w:r>
      <w:r w:rsidR="00110F9A" w:rsidRPr="00AA4677">
        <w:rPr>
          <w:rFonts w:eastAsia="Times New Roman" w:cs="Times New Roman"/>
          <w:szCs w:val="24"/>
        </w:rPr>
        <w:t xml:space="preserve">and/or significant obligations </w:t>
      </w:r>
      <w:r w:rsidRPr="00AA4677">
        <w:rPr>
          <w:rFonts w:eastAsia="Times New Roman" w:cs="Times New Roman"/>
          <w:szCs w:val="24"/>
        </w:rPr>
        <w:t>constitute conflicts of interest, the development of conflict management plans, and reporting requirements</w:t>
      </w:r>
      <w:r w:rsidR="007A7A43" w:rsidRPr="00AA4677">
        <w:rPr>
          <w:rFonts w:eastAsia="Times New Roman" w:cs="Times New Roman"/>
          <w:szCs w:val="24"/>
        </w:rPr>
        <w:t>.</w:t>
      </w:r>
    </w:p>
    <w:p w14:paraId="321B3A62" w14:textId="599DED7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any such case where human subjects research is involved, </w:t>
      </w:r>
      <w:r w:rsidR="00DB67AE" w:rsidRPr="00AA4677">
        <w:rPr>
          <w:rFonts w:eastAsia="Times New Roman" w:cs="Times New Roman"/>
          <w:szCs w:val="24"/>
        </w:rPr>
        <w:t>the QA Administrator in</w:t>
      </w:r>
      <w:r w:rsidR="001C5E7A" w:rsidRPr="00AA4677">
        <w:rPr>
          <w:rFonts w:eastAsia="Times New Roman" w:cs="Times New Roman"/>
          <w:szCs w:val="24"/>
        </w:rPr>
        <w:t xml:space="preserve"> the</w:t>
      </w:r>
      <w:r w:rsidR="00DB67AE" w:rsidRPr="00AA4677">
        <w:rPr>
          <w:rFonts w:eastAsia="Times New Roman" w:cs="Times New Roman"/>
          <w:szCs w:val="24"/>
        </w:rPr>
        <w:t xml:space="preserve"> ORC notifies the DIO of all funded studies submitted to the IRB, and the DIO advises if any named investigator on the submission has an SFI or SO.  These cases are brought to the full committee for review of conflict and management plan (if required)</w:t>
      </w:r>
      <w:r w:rsidR="00110F9A" w:rsidRPr="00AA4677">
        <w:rPr>
          <w:rFonts w:eastAsia="Times New Roman" w:cs="Times New Roman"/>
          <w:szCs w:val="24"/>
        </w:rPr>
        <w:t xml:space="preserve"> </w:t>
      </w:r>
      <w:r w:rsidRPr="00AA4677">
        <w:rPr>
          <w:rFonts w:eastAsia="Times New Roman" w:cs="Times New Roman"/>
          <w:szCs w:val="24"/>
        </w:rPr>
        <w:t>to ensure the protection of human subjects.</w:t>
      </w:r>
    </w:p>
    <w:p w14:paraId="599B9D50" w14:textId="76873B5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any of the </w:t>
      </w:r>
      <w:r w:rsidR="007A7A43" w:rsidRPr="00AA4677">
        <w:rPr>
          <w:rFonts w:eastAsia="Times New Roman" w:cs="Times New Roman"/>
          <w:szCs w:val="24"/>
        </w:rPr>
        <w:t xml:space="preserve">Investigators </w:t>
      </w:r>
      <w:r w:rsidR="00110F9A" w:rsidRPr="00AA4677">
        <w:rPr>
          <w:rFonts w:eastAsia="Times New Roman" w:cs="Times New Roman"/>
          <w:szCs w:val="24"/>
        </w:rPr>
        <w:t>on the protocol have an FCOI or SO</w:t>
      </w:r>
      <w:r w:rsidRPr="00AA4677">
        <w:rPr>
          <w:rFonts w:eastAsia="Times New Roman" w:cs="Times New Roman"/>
          <w:szCs w:val="24"/>
        </w:rPr>
        <w:t xml:space="preserve"> </w:t>
      </w:r>
      <w:r w:rsidR="00110F9A"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requires</w:t>
      </w:r>
      <w:r w:rsidR="00DB67AE" w:rsidRPr="00AA4677">
        <w:rPr>
          <w:rFonts w:eastAsia="Times New Roman" w:cs="Times New Roman"/>
          <w:szCs w:val="24"/>
        </w:rPr>
        <w:t xml:space="preserve"> (where it is determined that </w:t>
      </w:r>
      <w:r w:rsidRPr="00AA4677">
        <w:rPr>
          <w:rFonts w:eastAsia="Times New Roman" w:cs="Times New Roman"/>
          <w:szCs w:val="24"/>
        </w:rPr>
        <w:t>the conflict can</w:t>
      </w:r>
      <w:r w:rsidR="00DB67AE" w:rsidRPr="00AA4677">
        <w:rPr>
          <w:rFonts w:eastAsia="Times New Roman" w:cs="Times New Roman"/>
          <w:szCs w:val="24"/>
        </w:rPr>
        <w:t xml:space="preserve">, in fact, </w:t>
      </w:r>
      <w:r w:rsidRPr="00AA4677">
        <w:rPr>
          <w:rFonts w:eastAsia="Times New Roman" w:cs="Times New Roman"/>
          <w:szCs w:val="24"/>
        </w:rPr>
        <w:t>be managed</w:t>
      </w:r>
      <w:r w:rsidR="00DB67AE" w:rsidRPr="00AA4677">
        <w:rPr>
          <w:rFonts w:eastAsia="Times New Roman" w:cs="Times New Roman"/>
          <w:szCs w:val="24"/>
        </w:rPr>
        <w:t xml:space="preserve">) </w:t>
      </w:r>
      <w:r w:rsidRPr="00AA4677">
        <w:rPr>
          <w:rFonts w:eastAsia="Times New Roman" w:cs="Times New Roman"/>
          <w:szCs w:val="24"/>
        </w:rPr>
        <w:t>that:</w:t>
      </w:r>
    </w:p>
    <w:p w14:paraId="41EEEC7D" w14:textId="3CFBE786" w:rsidR="00FC174E" w:rsidRPr="00AA4677" w:rsidRDefault="00110F9A">
      <w:pPr>
        <w:numPr>
          <w:ilvl w:val="0"/>
          <w:numId w:val="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w:t>
      </w:r>
      <w:r w:rsidRPr="00AA4677">
        <w:rPr>
          <w:rFonts w:eastAsia="Times New Roman" w:cs="Times New Roman"/>
          <w:szCs w:val="24"/>
        </w:rPr>
        <w:t>DIO</w:t>
      </w:r>
      <w:r w:rsidR="00FC174E" w:rsidRPr="00AA4677">
        <w:rPr>
          <w:rFonts w:eastAsia="Times New Roman" w:cs="Times New Roman"/>
          <w:szCs w:val="24"/>
        </w:rPr>
        <w:t xml:space="preserve"> provides written confirmation that the conflict of interest can be </w:t>
      </w:r>
      <w:proofErr w:type="gramStart"/>
      <w:r w:rsidR="00FC174E" w:rsidRPr="00AA4677">
        <w:rPr>
          <w:rFonts w:eastAsia="Times New Roman" w:cs="Times New Roman"/>
          <w:szCs w:val="24"/>
        </w:rPr>
        <w:t>managed, and</w:t>
      </w:r>
      <w:proofErr w:type="gramEnd"/>
      <w:r w:rsidR="00FC174E" w:rsidRPr="00AA4677">
        <w:rPr>
          <w:rFonts w:eastAsia="Times New Roman" w:cs="Times New Roman"/>
          <w:szCs w:val="24"/>
        </w:rPr>
        <w:t xml:space="preserve"> provides </w:t>
      </w:r>
      <w:r w:rsidR="00DB67AE" w:rsidRPr="00AA4677">
        <w:rPr>
          <w:rFonts w:eastAsia="Times New Roman" w:cs="Times New Roman"/>
          <w:szCs w:val="24"/>
        </w:rPr>
        <w:t>a</w:t>
      </w:r>
      <w:r w:rsidR="00FC174E" w:rsidRPr="00AA4677">
        <w:rPr>
          <w:rFonts w:eastAsia="Times New Roman" w:cs="Times New Roman"/>
          <w:szCs w:val="24"/>
        </w:rPr>
        <w:t xml:space="preserve"> proposed management plan. The</w:t>
      </w:r>
      <w:r w:rsidRPr="00AA4677">
        <w:rPr>
          <w:rFonts w:eastAsia="Times New Roman" w:cs="Times New Roman"/>
          <w:szCs w:val="24"/>
        </w:rPr>
        <w:t xml:space="preserve"> </w:t>
      </w:r>
      <w:r w:rsidR="00EE7207" w:rsidRPr="00AA4677">
        <w:rPr>
          <w:rFonts w:eastAsia="Times New Roman" w:cs="Times New Roman"/>
          <w:szCs w:val="24"/>
        </w:rPr>
        <w:t>IRB</w:t>
      </w:r>
      <w:r w:rsidR="00FC174E" w:rsidRPr="00AA4677">
        <w:rPr>
          <w:rFonts w:eastAsia="Times New Roman" w:cs="Times New Roman"/>
          <w:szCs w:val="24"/>
        </w:rPr>
        <w:t xml:space="preserve"> will review the plan, and may modify and/or add to it, as below. Where there is discrepancy or disagreement, the</w:t>
      </w:r>
      <w:r w:rsidRPr="00AA4677">
        <w:rPr>
          <w:rFonts w:eastAsia="Times New Roman" w:cs="Times New Roman"/>
          <w:szCs w:val="24"/>
        </w:rPr>
        <w:t xml:space="preserve"> </w:t>
      </w:r>
      <w:r w:rsidR="00EE7207" w:rsidRPr="00AA4677">
        <w:rPr>
          <w:rFonts w:eastAsia="Times New Roman" w:cs="Times New Roman"/>
          <w:szCs w:val="24"/>
        </w:rPr>
        <w:t>IRB</w:t>
      </w:r>
      <w:r w:rsidR="00FC174E" w:rsidRPr="00AA4677">
        <w:rPr>
          <w:rFonts w:eastAsia="Times New Roman" w:cs="Times New Roman"/>
          <w:szCs w:val="24"/>
        </w:rPr>
        <w:t xml:space="preserve">’s decision will supersede that of the </w:t>
      </w:r>
      <w:r w:rsidRPr="00AA4677">
        <w:rPr>
          <w:rFonts w:eastAsia="Times New Roman" w:cs="Times New Roman"/>
          <w:szCs w:val="24"/>
        </w:rPr>
        <w:t>DIO</w:t>
      </w:r>
      <w:r w:rsidR="00FC174E" w:rsidRPr="00AA4677">
        <w:rPr>
          <w:rFonts w:eastAsia="Times New Roman" w:cs="Times New Roman"/>
          <w:szCs w:val="24"/>
        </w:rPr>
        <w:t>. </w:t>
      </w:r>
    </w:p>
    <w:p w14:paraId="05F35CDE" w14:textId="1BD5BE3D" w:rsidR="00FC174E" w:rsidRPr="00AA4677" w:rsidRDefault="00110F9A">
      <w:pPr>
        <w:numPr>
          <w:ilvl w:val="0"/>
          <w:numId w:val="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w:t>
      </w:r>
      <w:r w:rsidR="007A7A43" w:rsidRPr="00AA4677">
        <w:rPr>
          <w:rFonts w:eastAsia="Times New Roman" w:cs="Times New Roman"/>
          <w:szCs w:val="24"/>
        </w:rPr>
        <w:t xml:space="preserve">Investigator </w:t>
      </w:r>
      <w:r w:rsidR="00FC174E" w:rsidRPr="00AA4677">
        <w:rPr>
          <w:rFonts w:eastAsia="Times New Roman" w:cs="Times New Roman"/>
          <w:szCs w:val="24"/>
        </w:rPr>
        <w:t>cannot be involved in the recruitment or consenting of subjects, and disclosure of such must be provided in the consent documents. If s</w:t>
      </w:r>
      <w:r w:rsidRPr="00AA4677">
        <w:rPr>
          <w:rFonts w:eastAsia="Times New Roman" w:cs="Times New Roman"/>
          <w:szCs w:val="24"/>
        </w:rPr>
        <w:t>he</w:t>
      </w:r>
      <w:r w:rsidR="00FC174E" w:rsidRPr="00AA4677">
        <w:rPr>
          <w:rFonts w:eastAsia="Times New Roman" w:cs="Times New Roman"/>
          <w:szCs w:val="24"/>
        </w:rPr>
        <w:t>/he is named in the consent form as not involved in recruitment or consenting of subjects, it means that the discussion of any details concerning the research protocol in question must be conducted by a</w:t>
      </w:r>
      <w:r w:rsidR="00794F0D" w:rsidRPr="00AA4677">
        <w:rPr>
          <w:rFonts w:eastAsia="Times New Roman" w:cs="Times New Roman"/>
          <w:szCs w:val="24"/>
        </w:rPr>
        <w:t>n</w:t>
      </w:r>
      <w:r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w:t>
      </w:r>
      <w:r w:rsidR="00FC174E" w:rsidRPr="00AA4677">
        <w:rPr>
          <w:rFonts w:eastAsia="Times New Roman" w:cs="Times New Roman"/>
          <w:szCs w:val="24"/>
        </w:rPr>
        <w:t xml:space="preserve">approved co-investigator. In the case where the </w:t>
      </w:r>
      <w:r w:rsidR="004E2EDD" w:rsidRPr="00AA4677">
        <w:rPr>
          <w:rFonts w:eastAsia="Times New Roman" w:cs="Times New Roman"/>
          <w:szCs w:val="24"/>
        </w:rPr>
        <w:t>i</w:t>
      </w:r>
      <w:r w:rsidR="007A7A43" w:rsidRPr="00AA4677">
        <w:rPr>
          <w:rFonts w:eastAsia="Times New Roman" w:cs="Times New Roman"/>
          <w:szCs w:val="24"/>
        </w:rPr>
        <w:t xml:space="preserve">nvestigator </w:t>
      </w:r>
      <w:r w:rsidR="00FC174E" w:rsidRPr="00AA4677">
        <w:rPr>
          <w:rFonts w:eastAsia="Times New Roman" w:cs="Times New Roman"/>
          <w:szCs w:val="24"/>
        </w:rPr>
        <w:t>may be a patient's treating physician, s</w:t>
      </w:r>
      <w:r w:rsidRPr="00AA4677">
        <w:rPr>
          <w:rFonts w:eastAsia="Times New Roman" w:cs="Times New Roman"/>
          <w:szCs w:val="24"/>
        </w:rPr>
        <w:t>he</w:t>
      </w:r>
      <w:r w:rsidR="00FC174E" w:rsidRPr="00AA4677">
        <w:rPr>
          <w:rFonts w:eastAsia="Times New Roman" w:cs="Times New Roman"/>
          <w:szCs w:val="24"/>
        </w:rPr>
        <w:t xml:space="preserve">/he may state that there are standard therapies available, as well as research studies that the patient may be interested in hearing about. If the patient is interested in hearing more about his/her research options, referral to the </w:t>
      </w:r>
      <w:r w:rsidR="00EE7207" w:rsidRPr="00AA4677">
        <w:rPr>
          <w:rFonts w:eastAsia="Times New Roman" w:cs="Times New Roman"/>
          <w:szCs w:val="24"/>
        </w:rPr>
        <w:t>IRB</w:t>
      </w:r>
      <w:r w:rsidRPr="00AA4677">
        <w:rPr>
          <w:rFonts w:eastAsia="Times New Roman" w:cs="Times New Roman"/>
          <w:szCs w:val="24"/>
        </w:rPr>
        <w:t xml:space="preserve"> </w:t>
      </w:r>
      <w:r w:rsidR="00FC174E" w:rsidRPr="00AA4677">
        <w:rPr>
          <w:rFonts w:eastAsia="Times New Roman" w:cs="Times New Roman"/>
          <w:szCs w:val="24"/>
        </w:rPr>
        <w:t>approved co-investigator must occur. </w:t>
      </w:r>
    </w:p>
    <w:p w14:paraId="643E61E0" w14:textId="71748027" w:rsidR="00FC174E" w:rsidRPr="00AA4677" w:rsidRDefault="00110F9A">
      <w:pPr>
        <w:numPr>
          <w:ilvl w:val="0"/>
          <w:numId w:val="25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w:t>
      </w:r>
      <w:r w:rsidR="007A7A43" w:rsidRPr="00AA4677">
        <w:rPr>
          <w:rFonts w:eastAsia="Times New Roman" w:cs="Times New Roman"/>
          <w:szCs w:val="24"/>
        </w:rPr>
        <w:t>Investigator</w:t>
      </w:r>
      <w:r w:rsidR="00FC174E" w:rsidRPr="00AA4677">
        <w:rPr>
          <w:rFonts w:eastAsia="Times New Roman" w:cs="Times New Roman"/>
          <w:szCs w:val="24"/>
        </w:rPr>
        <w:t xml:space="preserve"> cannot place undue pressure on, or offer incentives to, other investigators to enroll subjects.</w:t>
      </w:r>
    </w:p>
    <w:p w14:paraId="483DB52D" w14:textId="7EE95924" w:rsidR="00FC174E" w:rsidRPr="00AA4677" w:rsidRDefault="00110F9A" w:rsidP="00DF5E84">
      <w:pPr>
        <w:numPr>
          <w:ilvl w:val="0"/>
          <w:numId w:val="251"/>
        </w:numPr>
        <w:shd w:val="clear" w:color="auto" w:fill="FFFFFF"/>
        <w:spacing w:after="0" w:line="240" w:lineRule="auto"/>
        <w:rPr>
          <w:rFonts w:eastAsia="Times New Roman" w:cs="Times New Roman"/>
          <w:szCs w:val="24"/>
        </w:rPr>
      </w:pPr>
      <w:r w:rsidRPr="00AA4677">
        <w:rPr>
          <w:rFonts w:eastAsia="Times New Roman" w:cs="Times New Roman"/>
          <w:szCs w:val="24"/>
        </w:rPr>
        <w:t>A</w:t>
      </w:r>
      <w:r w:rsidR="00FC174E" w:rsidRPr="00AA4677">
        <w:rPr>
          <w:rFonts w:eastAsia="Times New Roman" w:cs="Times New Roman"/>
          <w:szCs w:val="24"/>
        </w:rPr>
        <w:t xml:space="preserve"> section of the consent form must be added that:</w:t>
      </w:r>
    </w:p>
    <w:p w14:paraId="025C6148" w14:textId="0DA926E6" w:rsidR="00FC174E" w:rsidRPr="00AA4677" w:rsidRDefault="004E2EDD" w:rsidP="00DF5E84">
      <w:pPr>
        <w:numPr>
          <w:ilvl w:val="1"/>
          <w:numId w:val="47"/>
        </w:numPr>
        <w:shd w:val="clear" w:color="auto" w:fill="FFFFFF"/>
        <w:tabs>
          <w:tab w:val="clear" w:pos="1080"/>
          <w:tab w:val="num" w:pos="720"/>
        </w:tabs>
        <w:spacing w:after="0" w:line="240" w:lineRule="auto"/>
        <w:ind w:left="720"/>
        <w:rPr>
          <w:rFonts w:eastAsia="Times New Roman" w:cs="Times New Roman"/>
          <w:szCs w:val="24"/>
        </w:rPr>
      </w:pPr>
      <w:r w:rsidRPr="00AA4677">
        <w:rPr>
          <w:rFonts w:eastAsia="Times New Roman" w:cs="Times New Roman"/>
          <w:szCs w:val="24"/>
        </w:rPr>
        <w:t>I</w:t>
      </w:r>
      <w:r w:rsidR="00FC174E" w:rsidRPr="00AA4677">
        <w:rPr>
          <w:rFonts w:eastAsia="Times New Roman" w:cs="Times New Roman"/>
          <w:szCs w:val="24"/>
        </w:rPr>
        <w:t xml:space="preserve">s titled ‘Notice of </w:t>
      </w:r>
      <w:r w:rsidR="007A7A43" w:rsidRPr="00AA4677">
        <w:rPr>
          <w:rFonts w:eastAsia="Times New Roman" w:cs="Times New Roman"/>
          <w:szCs w:val="24"/>
        </w:rPr>
        <w:t>Investigator</w:t>
      </w:r>
      <w:r w:rsidR="00FC174E" w:rsidRPr="00AA4677">
        <w:rPr>
          <w:rFonts w:eastAsia="Times New Roman" w:cs="Times New Roman"/>
          <w:szCs w:val="24"/>
        </w:rPr>
        <w:t xml:space="preserve"> Conflict of Interest</w:t>
      </w:r>
      <w:proofErr w:type="gramStart"/>
      <w:r w:rsidR="00FC174E" w:rsidRPr="00AA4677">
        <w:rPr>
          <w:rFonts w:eastAsia="Times New Roman" w:cs="Times New Roman"/>
          <w:szCs w:val="24"/>
        </w:rPr>
        <w:t>’</w:t>
      </w:r>
      <w:r w:rsidRPr="00AA4677">
        <w:rPr>
          <w:rFonts w:eastAsia="Times New Roman" w:cs="Times New Roman"/>
          <w:szCs w:val="24"/>
        </w:rPr>
        <w:t>;</w:t>
      </w:r>
      <w:proofErr w:type="gramEnd"/>
    </w:p>
    <w:p w14:paraId="2D0CCA25" w14:textId="3F177FD7" w:rsidR="00FC174E" w:rsidRPr="00AA4677" w:rsidRDefault="00FC174E" w:rsidP="00DF5E84">
      <w:pPr>
        <w:numPr>
          <w:ilvl w:val="1"/>
          <w:numId w:val="47"/>
        </w:numPr>
        <w:shd w:val="clear" w:color="auto" w:fill="FFFFFF"/>
        <w:tabs>
          <w:tab w:val="clear" w:pos="1080"/>
          <w:tab w:val="num" w:pos="720"/>
        </w:tabs>
        <w:spacing w:after="0" w:line="240" w:lineRule="auto"/>
        <w:ind w:left="720"/>
        <w:rPr>
          <w:rFonts w:eastAsia="Times New Roman" w:cs="Times New Roman"/>
          <w:szCs w:val="24"/>
        </w:rPr>
      </w:pPr>
      <w:r w:rsidRPr="00AA4677">
        <w:rPr>
          <w:rFonts w:eastAsia="Times New Roman" w:cs="Times New Roman"/>
          <w:szCs w:val="24"/>
        </w:rPr>
        <w:t xml:space="preserve">names the </w:t>
      </w:r>
      <w:r w:rsidR="004E2EDD" w:rsidRPr="00AA4677">
        <w:rPr>
          <w:rFonts w:eastAsia="Times New Roman" w:cs="Times New Roman"/>
          <w:szCs w:val="24"/>
        </w:rPr>
        <w:t>i</w:t>
      </w:r>
      <w:r w:rsidR="007A7A43" w:rsidRPr="00AA4677">
        <w:rPr>
          <w:rFonts w:eastAsia="Times New Roman" w:cs="Times New Roman"/>
          <w:szCs w:val="24"/>
        </w:rPr>
        <w:t>nvestigator</w:t>
      </w:r>
      <w:r w:rsidRPr="00AA4677">
        <w:rPr>
          <w:rFonts w:eastAsia="Times New Roman" w:cs="Times New Roman"/>
          <w:szCs w:val="24"/>
        </w:rPr>
        <w:t>(s) with the FCOI</w:t>
      </w:r>
      <w:r w:rsidR="00234C33" w:rsidRPr="00AA4677">
        <w:rPr>
          <w:rFonts w:eastAsia="Times New Roman" w:cs="Times New Roman"/>
          <w:szCs w:val="24"/>
        </w:rPr>
        <w:t xml:space="preserve"> or </w:t>
      </w:r>
      <w:proofErr w:type="gramStart"/>
      <w:r w:rsidR="00234C33" w:rsidRPr="00AA4677">
        <w:rPr>
          <w:rFonts w:eastAsia="Times New Roman" w:cs="Times New Roman"/>
          <w:szCs w:val="24"/>
        </w:rPr>
        <w:t>SO</w:t>
      </w:r>
      <w:r w:rsidR="004E2EDD" w:rsidRPr="00AA4677">
        <w:rPr>
          <w:rFonts w:eastAsia="Times New Roman" w:cs="Times New Roman"/>
          <w:szCs w:val="24"/>
        </w:rPr>
        <w:t>;</w:t>
      </w:r>
      <w:proofErr w:type="gramEnd"/>
    </w:p>
    <w:p w14:paraId="5EB3AFC1" w14:textId="01CC401B" w:rsidR="00FC174E" w:rsidRPr="00AA4677" w:rsidRDefault="00FC174E" w:rsidP="00DF5E84">
      <w:pPr>
        <w:numPr>
          <w:ilvl w:val="1"/>
          <w:numId w:val="47"/>
        </w:numPr>
        <w:shd w:val="clear" w:color="auto" w:fill="FFFFFF"/>
        <w:tabs>
          <w:tab w:val="clear" w:pos="1080"/>
          <w:tab w:val="num" w:pos="720"/>
        </w:tabs>
        <w:spacing w:after="0" w:line="240" w:lineRule="auto"/>
        <w:ind w:left="720"/>
        <w:rPr>
          <w:rFonts w:eastAsia="Times New Roman" w:cs="Times New Roman"/>
          <w:szCs w:val="24"/>
        </w:rPr>
      </w:pPr>
      <w:r w:rsidRPr="00AA4677">
        <w:rPr>
          <w:rFonts w:eastAsia="Times New Roman" w:cs="Times New Roman"/>
          <w:szCs w:val="24"/>
        </w:rPr>
        <w:t>describes, in lay language, the nature of the FCOI</w:t>
      </w:r>
      <w:r w:rsidR="00234C33" w:rsidRPr="00AA4677">
        <w:rPr>
          <w:rFonts w:eastAsia="Times New Roman" w:cs="Times New Roman"/>
          <w:szCs w:val="24"/>
        </w:rPr>
        <w:t xml:space="preserve"> or </w:t>
      </w:r>
      <w:proofErr w:type="gramStart"/>
      <w:r w:rsidR="00234C33" w:rsidRPr="00AA4677">
        <w:rPr>
          <w:rFonts w:eastAsia="Times New Roman" w:cs="Times New Roman"/>
          <w:szCs w:val="24"/>
        </w:rPr>
        <w:t>SO</w:t>
      </w:r>
      <w:r w:rsidR="004E2EDD" w:rsidRPr="00AA4677">
        <w:rPr>
          <w:rFonts w:eastAsia="Times New Roman" w:cs="Times New Roman"/>
          <w:szCs w:val="24"/>
        </w:rPr>
        <w:t>;</w:t>
      </w:r>
      <w:proofErr w:type="gramEnd"/>
    </w:p>
    <w:p w14:paraId="2E6A6671" w14:textId="02BB35E3" w:rsidR="00FC174E" w:rsidRPr="00AA4677" w:rsidRDefault="00FC174E" w:rsidP="00DF5E84">
      <w:pPr>
        <w:numPr>
          <w:ilvl w:val="1"/>
          <w:numId w:val="47"/>
        </w:numPr>
        <w:shd w:val="clear" w:color="auto" w:fill="FFFFFF"/>
        <w:tabs>
          <w:tab w:val="clear" w:pos="1080"/>
          <w:tab w:val="num" w:pos="720"/>
        </w:tabs>
        <w:spacing w:after="0" w:line="240" w:lineRule="auto"/>
        <w:ind w:left="720"/>
        <w:rPr>
          <w:rFonts w:eastAsia="Times New Roman" w:cs="Times New Roman"/>
          <w:szCs w:val="24"/>
        </w:rPr>
      </w:pPr>
      <w:r w:rsidRPr="00AA4677">
        <w:rPr>
          <w:rFonts w:eastAsia="Times New Roman" w:cs="Times New Roman"/>
          <w:szCs w:val="24"/>
        </w:rPr>
        <w:t xml:space="preserve">states that the named </w:t>
      </w:r>
      <w:r w:rsidR="004E2EDD" w:rsidRPr="00AA4677">
        <w:rPr>
          <w:rFonts w:eastAsia="Times New Roman" w:cs="Times New Roman"/>
          <w:szCs w:val="24"/>
        </w:rPr>
        <w:t>i</w:t>
      </w:r>
      <w:r w:rsidR="007A7A43" w:rsidRPr="00AA4677">
        <w:rPr>
          <w:rFonts w:eastAsia="Times New Roman" w:cs="Times New Roman"/>
          <w:szCs w:val="24"/>
        </w:rPr>
        <w:t>nvestigator</w:t>
      </w:r>
      <w:r w:rsidRPr="00AA4677">
        <w:rPr>
          <w:rFonts w:eastAsia="Times New Roman" w:cs="Times New Roman"/>
          <w:szCs w:val="24"/>
        </w:rPr>
        <w:t xml:space="preserve">(s) will not be involved in recruitment or consenting of </w:t>
      </w:r>
      <w:proofErr w:type="gramStart"/>
      <w:r w:rsidRPr="00AA4677">
        <w:rPr>
          <w:rFonts w:eastAsia="Times New Roman" w:cs="Times New Roman"/>
          <w:szCs w:val="24"/>
        </w:rPr>
        <w:t>subjects </w:t>
      </w:r>
      <w:r w:rsidR="004E2EDD" w:rsidRPr="00AA4677">
        <w:rPr>
          <w:rFonts w:eastAsia="Times New Roman" w:cs="Times New Roman"/>
          <w:szCs w:val="24"/>
        </w:rPr>
        <w:t>;</w:t>
      </w:r>
      <w:proofErr w:type="gramEnd"/>
    </w:p>
    <w:p w14:paraId="42E8C309" w14:textId="534DAD59" w:rsidR="00FC174E" w:rsidRPr="00AA4677" w:rsidRDefault="00FC174E">
      <w:pPr>
        <w:numPr>
          <w:ilvl w:val="1"/>
          <w:numId w:val="47"/>
        </w:numPr>
        <w:shd w:val="clear" w:color="auto" w:fill="FFFFFF"/>
        <w:tabs>
          <w:tab w:val="clear" w:pos="108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 xml:space="preserve">describes any other aspects of a management plan as required by </w:t>
      </w:r>
      <w:r w:rsidR="00110F9A"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w:t>
      </w:r>
    </w:p>
    <w:p w14:paraId="768EFCC5" w14:textId="5B8FE0B5" w:rsidR="00FC174E" w:rsidRPr="00AA4677" w:rsidRDefault="004E2EDD">
      <w:pPr>
        <w:numPr>
          <w:ilvl w:val="0"/>
          <w:numId w:val="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A</w:t>
      </w:r>
      <w:r w:rsidR="00FC174E" w:rsidRPr="00AA4677">
        <w:rPr>
          <w:rFonts w:eastAsia="Times New Roman" w:cs="Times New Roman"/>
          <w:szCs w:val="24"/>
        </w:rPr>
        <w:t>s with any study, the consent processes for any or all subjects may be witnessed by an IRB or ORC representative.</w:t>
      </w:r>
    </w:p>
    <w:p w14:paraId="6683FCDD" w14:textId="751B7EDE"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clinical </w:t>
      </w:r>
      <w:r w:rsidR="004E2EDD" w:rsidRPr="00AA4677">
        <w:rPr>
          <w:rFonts w:eastAsia="Times New Roman" w:cs="Times New Roman"/>
          <w:szCs w:val="24"/>
        </w:rPr>
        <w:t>studies involving the use of investigational</w:t>
      </w:r>
      <w:r w:rsidRPr="00AA4677">
        <w:rPr>
          <w:rFonts w:eastAsia="Times New Roman" w:cs="Times New Roman"/>
          <w:szCs w:val="24"/>
        </w:rPr>
        <w:t xml:space="preserve"> human drugs and biological products or medical devices, certifications and disclosure requirements are defined in Food and Drug Administration (FDA) regulations, Title 21 CFR Part 54.</w:t>
      </w:r>
    </w:p>
    <w:p w14:paraId="45CB3F64" w14:textId="77777777" w:rsidR="00FC174E" w:rsidRPr="00AA4677" w:rsidRDefault="00FC174E" w:rsidP="00696B35">
      <w:pPr>
        <w:pStyle w:val="Heading2"/>
      </w:pPr>
      <w:bookmarkStart w:id="329" w:name="_Toc192678261"/>
      <w:r w:rsidRPr="00AA4677">
        <w:t>14.4 Institutional Conflict of Interest</w:t>
      </w:r>
      <w:bookmarkEnd w:id="329"/>
    </w:p>
    <w:p w14:paraId="6F706AC9" w14:textId="29A097D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As an organization that conducts and reviews research involving human subjects, </w:t>
      </w:r>
      <w:r w:rsidR="00BB2BDD" w:rsidRPr="00AA4677">
        <w:rPr>
          <w:rFonts w:eastAsia="Times New Roman" w:cs="Times New Roman"/>
          <w:szCs w:val="24"/>
        </w:rPr>
        <w:t>the</w:t>
      </w:r>
      <w:r w:rsidRPr="00AA4677">
        <w:rPr>
          <w:rFonts w:eastAsia="Times New Roman" w:cs="Times New Roman"/>
          <w:szCs w:val="24"/>
        </w:rPr>
        <w:t xml:space="preserve"> University recognizes its obligation to protect the rights and welfare of those </w:t>
      </w:r>
      <w:proofErr w:type="gramStart"/>
      <w:r w:rsidR="00BF7470" w:rsidRPr="00AA4677">
        <w:rPr>
          <w:rFonts w:eastAsia="Times New Roman" w:cs="Times New Roman"/>
          <w:szCs w:val="24"/>
        </w:rPr>
        <w:t>subject</w:t>
      </w:r>
      <w:r w:rsidRPr="00AA4677">
        <w:rPr>
          <w:rFonts w:eastAsia="Times New Roman" w:cs="Times New Roman"/>
          <w:szCs w:val="24"/>
        </w:rPr>
        <w:t>s, and</w:t>
      </w:r>
      <w:proofErr w:type="gramEnd"/>
      <w:r w:rsidRPr="00AA4677">
        <w:rPr>
          <w:rFonts w:eastAsia="Times New Roman" w:cs="Times New Roman"/>
          <w:szCs w:val="24"/>
        </w:rPr>
        <w:t xml:space="preserve"> ensure the integrity of the research and the human research protection program. Toward this end, the financial interests of </w:t>
      </w:r>
      <w:r w:rsidR="00BB2BDD" w:rsidRPr="00AA4677">
        <w:rPr>
          <w:rFonts w:eastAsia="Times New Roman" w:cs="Times New Roman"/>
          <w:szCs w:val="24"/>
        </w:rPr>
        <w:t xml:space="preserve">the University </w:t>
      </w:r>
      <w:r w:rsidRPr="00AA4677">
        <w:rPr>
          <w:rFonts w:eastAsia="Times New Roman" w:cs="Times New Roman"/>
          <w:szCs w:val="24"/>
        </w:rPr>
        <w:t xml:space="preserve">or senior administrative officials at the campus/central levels must be identified, evaluated, managed, and minimized or eliminated </w:t>
      </w:r>
      <w:proofErr w:type="gramStart"/>
      <w:r w:rsidRPr="00AA4677">
        <w:rPr>
          <w:rFonts w:eastAsia="Times New Roman" w:cs="Times New Roman"/>
          <w:szCs w:val="24"/>
        </w:rPr>
        <w:t>in order to</w:t>
      </w:r>
      <w:proofErr w:type="gramEnd"/>
      <w:r w:rsidRPr="00AA4677">
        <w:rPr>
          <w:rFonts w:eastAsia="Times New Roman" w:cs="Times New Roman"/>
          <w:szCs w:val="24"/>
        </w:rPr>
        <w:t xml:space="preserve"> ensure that meeting that obligation is not jeopardized.</w:t>
      </w:r>
    </w:p>
    <w:p w14:paraId="46BD8845" w14:textId="3203793A" w:rsidR="00FC174E" w:rsidRPr="00AA4677" w:rsidRDefault="00FC174E" w:rsidP="00C57C98">
      <w:pPr>
        <w:pStyle w:val="Heading3"/>
      </w:pPr>
      <w:r w:rsidRPr="00AA4677">
        <w:rPr>
          <w:rStyle w:val="Heading3Char"/>
          <w:b/>
          <w:color w:val="auto"/>
        </w:rPr>
        <w:t>14.4.1</w:t>
      </w:r>
      <w:r w:rsidRPr="00AA4677">
        <w:t> Definition of Institutional Financial Conflicts of Interest   </w:t>
      </w:r>
    </w:p>
    <w:p w14:paraId="7021A497"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An “</w:t>
      </w:r>
      <w:r w:rsidRPr="00AA4677">
        <w:rPr>
          <w:rFonts w:eastAsia="Times New Roman" w:cs="Times New Roman"/>
          <w:b/>
          <w:bCs/>
          <w:szCs w:val="24"/>
        </w:rPr>
        <w:t>Institutional Financial Conflict of Interest”</w:t>
      </w:r>
      <w:r w:rsidRPr="00AA4677">
        <w:rPr>
          <w:rFonts w:eastAsia="Times New Roman" w:cs="Times New Roman"/>
          <w:szCs w:val="24"/>
        </w:rPr>
        <w:t> arises in human subjects’ research when a financial interest of SBU may affect or appear to affect the design, conduct, reporting, review, or oversight of the human subjects’ research.  Institutional financial conflicts of interest are of significant concern when they create the potential for inappropriate influence over a human subjects’ research project, particularly to the integrity of the research and the safety and care of subjects enrolled in the research. All forms of potential Institutional Financial Conflicts of Interest in human subjects’ research require disclosure, evaluation, and either management or elimination under this Policy. </w:t>
      </w:r>
    </w:p>
    <w:p w14:paraId="55B439C7" w14:textId="10EDDE3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An “</w:t>
      </w:r>
      <w:r w:rsidRPr="00AA4677">
        <w:rPr>
          <w:rFonts w:eastAsia="Times New Roman" w:cs="Times New Roman"/>
          <w:b/>
          <w:bCs/>
          <w:szCs w:val="24"/>
        </w:rPr>
        <w:t>Institutional Financial Conflict of Interest”</w:t>
      </w:r>
      <w:r w:rsidRPr="00AA4677">
        <w:rPr>
          <w:rFonts w:eastAsia="Times New Roman" w:cs="Times New Roman"/>
          <w:szCs w:val="24"/>
        </w:rPr>
        <w:t> (IFCOI) exists when:</w:t>
      </w:r>
    </w:p>
    <w:p w14:paraId="7E196A1F" w14:textId="10718B11" w:rsidR="00FC174E" w:rsidRPr="00AA4677" w:rsidRDefault="00BB2BDD">
      <w:pPr>
        <w:numPr>
          <w:ilvl w:val="0"/>
          <w:numId w:val="4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The University </w:t>
      </w:r>
      <w:r w:rsidR="00FC174E" w:rsidRPr="00AA4677">
        <w:rPr>
          <w:rFonts w:eastAsia="Times New Roman" w:cs="Times New Roman"/>
          <w:szCs w:val="24"/>
        </w:rPr>
        <w:t>receives or might reasonably be expected to receive royalty income from the sale of a product covered by any patent, license or copyright, whether issued or pending, held by SUNY/RF </w:t>
      </w:r>
      <w:r w:rsidR="00FC174E" w:rsidRPr="00AA4677">
        <w:rPr>
          <w:rFonts w:eastAsia="Times New Roman" w:cs="Times New Roman"/>
          <w:b/>
          <w:bCs/>
          <w:szCs w:val="24"/>
        </w:rPr>
        <w:t>and</w:t>
      </w:r>
      <w:r w:rsidR="00FC174E" w:rsidRPr="00AA4677">
        <w:rPr>
          <w:rFonts w:eastAsia="Times New Roman" w:cs="Times New Roman"/>
          <w:szCs w:val="24"/>
        </w:rPr>
        <w:t xml:space="preserve"> is proposed to be used in human subjects’ research projects at </w:t>
      </w:r>
      <w:proofErr w:type="gramStart"/>
      <w:r w:rsidR="00FC174E" w:rsidRPr="00AA4677">
        <w:rPr>
          <w:rFonts w:eastAsia="Times New Roman" w:cs="Times New Roman"/>
          <w:szCs w:val="24"/>
        </w:rPr>
        <w:t>SBU;</w:t>
      </w:r>
      <w:proofErr w:type="gramEnd"/>
    </w:p>
    <w:p w14:paraId="30091781" w14:textId="6EF0C46B" w:rsidR="00FC174E" w:rsidRPr="00AA4677" w:rsidRDefault="00BB2BDD">
      <w:pPr>
        <w:numPr>
          <w:ilvl w:val="0"/>
          <w:numId w:val="4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The University </w:t>
      </w:r>
      <w:r w:rsidR="00FC174E" w:rsidRPr="00AA4677">
        <w:rPr>
          <w:rFonts w:eastAsia="Times New Roman" w:cs="Times New Roman"/>
          <w:szCs w:val="24"/>
        </w:rPr>
        <w:t xml:space="preserve">holds or proposes to hold, directly or indirectly, any equity interests of any amount (or entitlement to the same), in research sponsors of human subjects’ research projects, whether such research sponsor is public or non-public, through its technology licensing activities or investments related to such </w:t>
      </w:r>
      <w:proofErr w:type="gramStart"/>
      <w:r w:rsidR="00FC174E" w:rsidRPr="00AA4677">
        <w:rPr>
          <w:rFonts w:eastAsia="Times New Roman" w:cs="Times New Roman"/>
          <w:szCs w:val="24"/>
        </w:rPr>
        <w:t>activities;</w:t>
      </w:r>
      <w:proofErr w:type="gramEnd"/>
    </w:p>
    <w:p w14:paraId="67D78D99" w14:textId="635734C3" w:rsidR="00FC174E" w:rsidRPr="00AA4677" w:rsidRDefault="00BB2BDD">
      <w:pPr>
        <w:numPr>
          <w:ilvl w:val="0"/>
          <w:numId w:val="4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The University </w:t>
      </w:r>
      <w:r w:rsidR="00FC174E" w:rsidRPr="00AA4677">
        <w:rPr>
          <w:rFonts w:eastAsia="Times New Roman" w:cs="Times New Roman"/>
          <w:szCs w:val="24"/>
        </w:rPr>
        <w:t>has received substantial gifts (including gifts in kind) from a potential comm</w:t>
      </w:r>
      <w:r w:rsidR="004E2EDD" w:rsidRPr="00AA4677">
        <w:rPr>
          <w:rFonts w:eastAsia="Times New Roman" w:cs="Times New Roman"/>
          <w:szCs w:val="24"/>
        </w:rPr>
        <w:t>ercial sponsor of human subject</w:t>
      </w:r>
      <w:r w:rsidR="00FC174E" w:rsidRPr="00AA4677">
        <w:rPr>
          <w:rFonts w:eastAsia="Times New Roman" w:cs="Times New Roman"/>
          <w:szCs w:val="24"/>
        </w:rPr>
        <w:t xml:space="preserve"> research or a company that owns or controls products being studied o</w:t>
      </w:r>
      <w:r w:rsidR="004E2EDD" w:rsidRPr="00AA4677">
        <w:rPr>
          <w:rFonts w:eastAsia="Times New Roman" w:cs="Times New Roman"/>
          <w:szCs w:val="24"/>
        </w:rPr>
        <w:t>r tested in human subject</w:t>
      </w:r>
      <w:r w:rsidR="00FC174E" w:rsidRPr="00AA4677">
        <w:rPr>
          <w:rFonts w:eastAsia="Times New Roman" w:cs="Times New Roman"/>
          <w:szCs w:val="24"/>
        </w:rPr>
        <w:t xml:space="preserve"> research; and/or</w:t>
      </w:r>
    </w:p>
    <w:p w14:paraId="53600956" w14:textId="77777777" w:rsidR="00FC174E" w:rsidRPr="00AA4677" w:rsidRDefault="00FC174E">
      <w:pPr>
        <w:numPr>
          <w:ilvl w:val="0"/>
          <w:numId w:val="4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lastRenderedPageBreak/>
        <w:t>Senior Administrative Officials with direct responsibility for human subject research (or their spouse, dependent children), as defined in Section II below:</w:t>
      </w:r>
    </w:p>
    <w:p w14:paraId="26531185" w14:textId="771E0BAB" w:rsidR="00FC174E" w:rsidRPr="00AA4677" w:rsidRDefault="00BB2BDD">
      <w:pPr>
        <w:numPr>
          <w:ilvl w:val="1"/>
          <w:numId w:val="192"/>
        </w:numPr>
        <w:shd w:val="clear" w:color="auto" w:fill="FFFFFF"/>
        <w:tabs>
          <w:tab w:val="clear" w:pos="1440"/>
          <w:tab w:val="left" w:pos="1080"/>
        </w:tabs>
        <w:spacing w:before="100" w:beforeAutospacing="1" w:after="100" w:afterAutospacing="1" w:line="240" w:lineRule="auto"/>
        <w:ind w:left="1080"/>
        <w:rPr>
          <w:rFonts w:eastAsia="Times New Roman" w:cs="Times New Roman"/>
          <w:szCs w:val="24"/>
        </w:rPr>
      </w:pPr>
      <w:r w:rsidRPr="00AA4677">
        <w:rPr>
          <w:rFonts w:eastAsia="Times New Roman" w:cs="Times New Roman"/>
          <w:szCs w:val="24"/>
        </w:rPr>
        <w:t>Hold</w:t>
      </w:r>
      <w:r w:rsidR="004E2EDD" w:rsidRPr="00AA4677">
        <w:rPr>
          <w:rFonts w:eastAsia="Times New Roman" w:cs="Times New Roman"/>
          <w:szCs w:val="24"/>
        </w:rPr>
        <w:t>s a</w:t>
      </w:r>
      <w:r w:rsidRPr="00AA4677">
        <w:rPr>
          <w:rFonts w:eastAsia="Times New Roman" w:cs="Times New Roman"/>
          <w:szCs w:val="24"/>
        </w:rPr>
        <w:t xml:space="preserve"> </w:t>
      </w:r>
      <w:r w:rsidR="004E2EDD" w:rsidRPr="00AA4677">
        <w:rPr>
          <w:rFonts w:eastAsia="Times New Roman" w:cs="Times New Roman"/>
          <w:szCs w:val="24"/>
        </w:rPr>
        <w:t>position</w:t>
      </w:r>
      <w:r w:rsidR="00FC174E" w:rsidRPr="00AA4677">
        <w:rPr>
          <w:rFonts w:eastAsia="Times New Roman" w:cs="Times New Roman"/>
          <w:szCs w:val="24"/>
        </w:rPr>
        <w:t xml:space="preserve"> such as an officer, trustee, director, employee or consultant in commercial research sponsors, or </w:t>
      </w:r>
      <w:r w:rsidR="00FC174E" w:rsidRPr="00AA4677">
        <w:rPr>
          <w:rFonts w:eastAsia="Times New Roman" w:cs="Times New Roman"/>
          <w:b/>
          <w:bCs/>
          <w:szCs w:val="24"/>
        </w:rPr>
        <w:t>any</w:t>
      </w:r>
      <w:r w:rsidR="00FC174E" w:rsidRPr="00AA4677">
        <w:rPr>
          <w:rFonts w:eastAsia="Times New Roman" w:cs="Times New Roman"/>
          <w:szCs w:val="24"/>
        </w:rPr>
        <w:t> company that owns or controls products being studied or tested in human subjects </w:t>
      </w:r>
    </w:p>
    <w:p w14:paraId="5BD3D6A9" w14:textId="4B3C8C60" w:rsidR="00FC174E" w:rsidRPr="00AA4677" w:rsidRDefault="00BB2BDD">
      <w:pPr>
        <w:numPr>
          <w:ilvl w:val="1"/>
          <w:numId w:val="192"/>
        </w:numPr>
        <w:shd w:val="clear" w:color="auto" w:fill="FFFFFF"/>
        <w:tabs>
          <w:tab w:val="clear" w:pos="1440"/>
          <w:tab w:val="left" w:pos="1080"/>
        </w:tabs>
        <w:spacing w:before="100" w:beforeAutospacing="1" w:after="100" w:afterAutospacing="1" w:line="240" w:lineRule="auto"/>
        <w:ind w:left="1080"/>
        <w:rPr>
          <w:rFonts w:eastAsia="Times New Roman" w:cs="Times New Roman"/>
          <w:szCs w:val="24"/>
        </w:rPr>
      </w:pPr>
      <w:r w:rsidRPr="00AA4677">
        <w:rPr>
          <w:rFonts w:eastAsia="Times New Roman" w:cs="Times New Roman"/>
          <w:szCs w:val="24"/>
        </w:rPr>
        <w:t>R</w:t>
      </w:r>
      <w:r w:rsidR="00FC174E" w:rsidRPr="00AA4677">
        <w:rPr>
          <w:rFonts w:eastAsia="Times New Roman" w:cs="Times New Roman"/>
          <w:szCs w:val="24"/>
        </w:rPr>
        <w:t>eceive</w:t>
      </w:r>
      <w:r w:rsidR="004E2EDD" w:rsidRPr="00AA4677">
        <w:rPr>
          <w:rFonts w:eastAsia="Times New Roman" w:cs="Times New Roman"/>
          <w:szCs w:val="24"/>
        </w:rPr>
        <w:t>s</w:t>
      </w:r>
      <w:r w:rsidR="00FC174E" w:rsidRPr="00AA4677">
        <w:rPr>
          <w:rFonts w:eastAsia="Times New Roman" w:cs="Times New Roman"/>
          <w:szCs w:val="24"/>
        </w:rPr>
        <w:t xml:space="preserve"> remuneration from commercial </w:t>
      </w:r>
      <w:r w:rsidR="009D7D8D" w:rsidRPr="00AA4677">
        <w:rPr>
          <w:rFonts w:eastAsia="Times New Roman" w:cs="Times New Roman"/>
          <w:szCs w:val="24"/>
        </w:rPr>
        <w:t>research sponsors, </w:t>
      </w:r>
      <w:r w:rsidR="00FC174E" w:rsidRPr="00AA4677">
        <w:rPr>
          <w:rFonts w:eastAsia="Times New Roman" w:cs="Times New Roman"/>
          <w:szCs w:val="24"/>
        </w:rPr>
        <w:t>or </w:t>
      </w:r>
      <w:r w:rsidR="00FC174E" w:rsidRPr="00AA4677">
        <w:rPr>
          <w:rFonts w:eastAsia="Times New Roman" w:cs="Times New Roman"/>
          <w:b/>
          <w:bCs/>
          <w:szCs w:val="24"/>
        </w:rPr>
        <w:t>any</w:t>
      </w:r>
      <w:r w:rsidR="00FC174E" w:rsidRPr="00AA4677">
        <w:rPr>
          <w:rFonts w:eastAsia="Times New Roman" w:cs="Times New Roman"/>
          <w:szCs w:val="24"/>
        </w:rPr>
        <w:t> company that owns or controls products being studied or tested in human subjects</w:t>
      </w:r>
      <w:r w:rsidRPr="00AA4677">
        <w:rPr>
          <w:rFonts w:eastAsia="Times New Roman" w:cs="Times New Roman"/>
          <w:szCs w:val="24"/>
        </w:rPr>
        <w:t xml:space="preserve">. </w:t>
      </w:r>
      <w:r w:rsidR="00FC174E" w:rsidRPr="00AA4677">
        <w:rPr>
          <w:rFonts w:eastAsia="Times New Roman" w:cs="Times New Roman"/>
          <w:b/>
          <w:bCs/>
          <w:szCs w:val="24"/>
        </w:rPr>
        <w:t>Remuneration includes</w:t>
      </w:r>
      <w:r w:rsidR="00FC174E" w:rsidRPr="00AA4677">
        <w:rPr>
          <w:rFonts w:eastAsia="Times New Roman" w:cs="Times New Roman"/>
          <w:szCs w:val="24"/>
        </w:rPr>
        <w:t> salary and any payment for services not otherwise identified as salary (e.g., consulting fees, honoraria, paid authorship</w:t>
      </w:r>
      <w:proofErr w:type="gramStart"/>
      <w:r w:rsidR="00FC174E" w:rsidRPr="00AA4677">
        <w:rPr>
          <w:rFonts w:eastAsia="Times New Roman" w:cs="Times New Roman"/>
          <w:szCs w:val="24"/>
        </w:rPr>
        <w:t>);</w:t>
      </w:r>
      <w:proofErr w:type="gramEnd"/>
    </w:p>
    <w:p w14:paraId="68DEE5D6" w14:textId="3C8D3509" w:rsidR="00FC174E" w:rsidRPr="00AA4677" w:rsidRDefault="00BB2BDD">
      <w:pPr>
        <w:numPr>
          <w:ilvl w:val="1"/>
          <w:numId w:val="192"/>
        </w:numPr>
        <w:shd w:val="clear" w:color="auto" w:fill="FFFFFF"/>
        <w:tabs>
          <w:tab w:val="clear" w:pos="1440"/>
          <w:tab w:val="left" w:pos="1080"/>
        </w:tabs>
        <w:spacing w:before="100" w:beforeAutospacing="1" w:after="100" w:afterAutospacing="1" w:line="240" w:lineRule="auto"/>
        <w:ind w:left="1080"/>
        <w:rPr>
          <w:rFonts w:eastAsia="Times New Roman" w:cs="Times New Roman"/>
          <w:szCs w:val="24"/>
        </w:rPr>
      </w:pPr>
      <w:r w:rsidRPr="00AA4677">
        <w:rPr>
          <w:rFonts w:eastAsia="Times New Roman" w:cs="Times New Roman"/>
          <w:szCs w:val="24"/>
        </w:rPr>
        <w:t>H</w:t>
      </w:r>
      <w:r w:rsidR="00FC174E" w:rsidRPr="00AA4677">
        <w:rPr>
          <w:rFonts w:eastAsia="Times New Roman" w:cs="Times New Roman"/>
          <w:szCs w:val="24"/>
        </w:rPr>
        <w:t>old</w:t>
      </w:r>
      <w:r w:rsidR="004E2EDD" w:rsidRPr="00AA4677">
        <w:rPr>
          <w:rFonts w:eastAsia="Times New Roman" w:cs="Times New Roman"/>
          <w:szCs w:val="24"/>
        </w:rPr>
        <w:t>s</w:t>
      </w:r>
      <w:r w:rsidR="00FC174E" w:rsidRPr="00AA4677">
        <w:rPr>
          <w:rFonts w:eastAsia="Times New Roman" w:cs="Times New Roman"/>
          <w:szCs w:val="24"/>
        </w:rPr>
        <w:t xml:space="preserve"> any equity interest (e.g., stock, stock option, or other ownership interest) in commercial research sponsors, or </w:t>
      </w:r>
      <w:r w:rsidR="00FC174E" w:rsidRPr="00AA4677">
        <w:rPr>
          <w:rFonts w:eastAsia="Times New Roman" w:cs="Times New Roman"/>
          <w:b/>
          <w:bCs/>
          <w:szCs w:val="24"/>
        </w:rPr>
        <w:t>any</w:t>
      </w:r>
      <w:r w:rsidR="00FC174E" w:rsidRPr="00AA4677">
        <w:rPr>
          <w:rFonts w:eastAsia="Times New Roman" w:cs="Times New Roman"/>
          <w:szCs w:val="24"/>
        </w:rPr>
        <w:t> company that owns or controls products being studied or tested in</w:t>
      </w:r>
      <w:r w:rsidR="004E2EDD" w:rsidRPr="00AA4677">
        <w:rPr>
          <w:rFonts w:eastAsia="Times New Roman" w:cs="Times New Roman"/>
          <w:szCs w:val="24"/>
        </w:rPr>
        <w:t xml:space="preserve"> a human subject</w:t>
      </w:r>
      <w:r w:rsidR="00FC174E" w:rsidRPr="00AA4677">
        <w:rPr>
          <w:rFonts w:eastAsia="Times New Roman" w:cs="Times New Roman"/>
          <w:szCs w:val="24"/>
        </w:rPr>
        <w:t> </w:t>
      </w:r>
    </w:p>
    <w:p w14:paraId="4A2437C8" w14:textId="5DCD0A3E" w:rsidR="00FC174E" w:rsidRPr="00AA4677" w:rsidRDefault="00BB2BDD">
      <w:pPr>
        <w:numPr>
          <w:ilvl w:val="1"/>
          <w:numId w:val="192"/>
        </w:numPr>
        <w:shd w:val="clear" w:color="auto" w:fill="FFFFFF"/>
        <w:tabs>
          <w:tab w:val="clear" w:pos="1440"/>
          <w:tab w:val="left" w:pos="1080"/>
        </w:tabs>
        <w:spacing w:before="100" w:beforeAutospacing="1" w:after="100" w:afterAutospacing="1" w:line="240" w:lineRule="auto"/>
        <w:ind w:left="1080"/>
        <w:rPr>
          <w:rFonts w:eastAsia="Times New Roman" w:cs="Times New Roman"/>
          <w:szCs w:val="24"/>
        </w:rPr>
      </w:pPr>
      <w:r w:rsidRPr="00AA4677">
        <w:rPr>
          <w:rFonts w:eastAsia="Times New Roman" w:cs="Times New Roman"/>
          <w:szCs w:val="24"/>
        </w:rPr>
        <w:t>H</w:t>
      </w:r>
      <w:r w:rsidR="00FC174E" w:rsidRPr="00AA4677">
        <w:rPr>
          <w:rFonts w:eastAsia="Times New Roman" w:cs="Times New Roman"/>
          <w:szCs w:val="24"/>
        </w:rPr>
        <w:t>old</w:t>
      </w:r>
      <w:r w:rsidR="004E2EDD" w:rsidRPr="00AA4677">
        <w:rPr>
          <w:rFonts w:eastAsia="Times New Roman" w:cs="Times New Roman"/>
          <w:szCs w:val="24"/>
        </w:rPr>
        <w:t>s i</w:t>
      </w:r>
      <w:r w:rsidR="00FC174E" w:rsidRPr="00AA4677">
        <w:rPr>
          <w:rFonts w:eastAsia="Times New Roman" w:cs="Times New Roman"/>
          <w:szCs w:val="24"/>
        </w:rPr>
        <w:t xml:space="preserve">ntellectual property rights and interests (e.g., patents, copyrights), royalties from such rights, etc. relating to products being studied or tested in </w:t>
      </w:r>
      <w:r w:rsidR="004E2EDD" w:rsidRPr="00AA4677">
        <w:rPr>
          <w:rFonts w:eastAsia="Times New Roman" w:cs="Times New Roman"/>
          <w:szCs w:val="24"/>
        </w:rPr>
        <w:t>a human subject</w:t>
      </w:r>
      <w:r w:rsidR="00FC174E" w:rsidRPr="00AA4677">
        <w:rPr>
          <w:rFonts w:eastAsia="Times New Roman" w:cs="Times New Roman"/>
          <w:szCs w:val="24"/>
        </w:rPr>
        <w:t> </w:t>
      </w:r>
    </w:p>
    <w:p w14:paraId="6A7CC2DA" w14:textId="4A4E7B30" w:rsidR="00FC174E" w:rsidRPr="00AA4677" w:rsidRDefault="00FC174E" w:rsidP="00C57C98">
      <w:pPr>
        <w:pStyle w:val="Heading3"/>
      </w:pPr>
      <w:r w:rsidRPr="00AA4677">
        <w:t>14.4.2 Reporting</w:t>
      </w:r>
    </w:p>
    <w:p w14:paraId="4F4C252C" w14:textId="169615DB" w:rsidR="00FC174E" w:rsidRPr="00AA4677" w:rsidRDefault="009D7D8D"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following offices </w:t>
      </w:r>
      <w:r w:rsidR="00FC174E" w:rsidRPr="00AA4677">
        <w:rPr>
          <w:rFonts w:eastAsia="Times New Roman" w:cs="Times New Roman"/>
          <w:szCs w:val="24"/>
        </w:rPr>
        <w:t>report at least semi-annually to the</w:t>
      </w:r>
      <w:r w:rsidRPr="00AA4677">
        <w:rPr>
          <w:rFonts w:eastAsia="Times New Roman" w:cs="Times New Roman"/>
          <w:szCs w:val="24"/>
        </w:rPr>
        <w:t xml:space="preserve"> QA Administrator within ORC </w:t>
      </w:r>
      <w:r w:rsidR="00FC174E" w:rsidRPr="00AA4677">
        <w:rPr>
          <w:rFonts w:eastAsia="Times New Roman" w:cs="Times New Roman"/>
          <w:szCs w:val="24"/>
        </w:rPr>
        <w:t>on interests described above:</w:t>
      </w:r>
    </w:p>
    <w:p w14:paraId="373AEC1E" w14:textId="38470BD8" w:rsidR="00FC174E" w:rsidRPr="00AA4677" w:rsidRDefault="0095224B">
      <w:pPr>
        <w:numPr>
          <w:ilvl w:val="0"/>
          <w:numId w:val="49"/>
        </w:numPr>
        <w:shd w:val="clear" w:color="auto" w:fill="FFFFFF"/>
        <w:tabs>
          <w:tab w:val="clear" w:pos="720"/>
          <w:tab w:val="num" w:pos="360"/>
        </w:tabs>
        <w:spacing w:before="100" w:beforeAutospacing="1" w:after="100" w:afterAutospacing="1" w:line="240" w:lineRule="auto"/>
        <w:ind w:hanging="720"/>
        <w:rPr>
          <w:rFonts w:eastAsia="Times New Roman" w:cs="Times New Roman"/>
          <w:szCs w:val="24"/>
        </w:rPr>
      </w:pPr>
      <w:r w:rsidRPr="00AA4677">
        <w:rPr>
          <w:rFonts w:eastAsia="Times New Roman" w:cs="Times New Roman"/>
          <w:szCs w:val="24"/>
        </w:rPr>
        <w:t>O</w:t>
      </w:r>
      <w:r w:rsidR="009A58B6" w:rsidRPr="00AA4677">
        <w:rPr>
          <w:rFonts w:eastAsia="Times New Roman" w:cs="Times New Roman"/>
          <w:szCs w:val="24"/>
        </w:rPr>
        <w:t xml:space="preserve">ffice of </w:t>
      </w:r>
      <w:r w:rsidR="0037034E" w:rsidRPr="00AA4677">
        <w:rPr>
          <w:rFonts w:eastAsia="Times New Roman" w:cs="Times New Roman"/>
          <w:szCs w:val="24"/>
        </w:rPr>
        <w:t>Intellectual Property Partners</w:t>
      </w:r>
      <w:r w:rsidR="00FC174E" w:rsidRPr="00AA4677">
        <w:rPr>
          <w:rFonts w:eastAsia="Times New Roman" w:cs="Times New Roman"/>
          <w:szCs w:val="24"/>
        </w:rPr>
        <w:t>:</w:t>
      </w:r>
    </w:p>
    <w:p w14:paraId="6A80FA49" w14:textId="77777777" w:rsidR="00FC174E" w:rsidRPr="00AA4677" w:rsidRDefault="00FC174E">
      <w:pPr>
        <w:numPr>
          <w:ilvl w:val="1"/>
          <w:numId w:val="49"/>
        </w:numPr>
        <w:shd w:val="clear" w:color="auto" w:fill="FFFFFF"/>
        <w:tabs>
          <w:tab w:val="clear" w:pos="1440"/>
          <w:tab w:val="num" w:pos="36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 xml:space="preserve">to report licensing arrangements, patents, invention </w:t>
      </w:r>
      <w:proofErr w:type="gramStart"/>
      <w:r w:rsidRPr="00AA4677">
        <w:rPr>
          <w:rFonts w:eastAsia="Times New Roman" w:cs="Times New Roman"/>
          <w:szCs w:val="24"/>
        </w:rPr>
        <w:t>disclosures;</w:t>
      </w:r>
      <w:proofErr w:type="gramEnd"/>
    </w:p>
    <w:p w14:paraId="2A72B3B7" w14:textId="77777777" w:rsidR="00FC174E" w:rsidRPr="00AA4677" w:rsidRDefault="00FC174E">
      <w:pPr>
        <w:numPr>
          <w:ilvl w:val="0"/>
          <w:numId w:val="49"/>
        </w:numPr>
        <w:shd w:val="clear" w:color="auto" w:fill="FFFFFF"/>
        <w:tabs>
          <w:tab w:val="clear" w:pos="720"/>
          <w:tab w:val="num" w:pos="360"/>
        </w:tabs>
        <w:spacing w:before="100" w:beforeAutospacing="1" w:after="100" w:afterAutospacing="1" w:line="240" w:lineRule="auto"/>
        <w:ind w:hanging="720"/>
        <w:rPr>
          <w:rFonts w:eastAsia="Times New Roman" w:cs="Times New Roman"/>
          <w:szCs w:val="24"/>
        </w:rPr>
      </w:pPr>
      <w:r w:rsidRPr="00AA4677">
        <w:rPr>
          <w:rFonts w:eastAsia="Times New Roman" w:cs="Times New Roman"/>
          <w:szCs w:val="24"/>
        </w:rPr>
        <w:t>Advancement Office/Stony Brook Foundation</w:t>
      </w:r>
    </w:p>
    <w:p w14:paraId="0D654EBF" w14:textId="77777777" w:rsidR="00FC174E" w:rsidRPr="00AA4677" w:rsidRDefault="00FC174E">
      <w:pPr>
        <w:numPr>
          <w:ilvl w:val="1"/>
          <w:numId w:val="49"/>
        </w:numPr>
        <w:shd w:val="clear" w:color="auto" w:fill="FFFFFF"/>
        <w:tabs>
          <w:tab w:val="clear" w:pos="144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to report gifts</w:t>
      </w:r>
    </w:p>
    <w:p w14:paraId="028AB202" w14:textId="4D49612B"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following institutional officials are considered senior administrative officials and must </w:t>
      </w:r>
      <w:r w:rsidR="000F42B8" w:rsidRPr="00AA4677">
        <w:rPr>
          <w:rFonts w:eastAsia="Times New Roman" w:cs="Times New Roman"/>
          <w:szCs w:val="24"/>
        </w:rPr>
        <w:t xml:space="preserve">provide initial disclosure of their significant financial interests </w:t>
      </w:r>
      <w:r w:rsidR="002C76D9" w:rsidRPr="00AA4677">
        <w:rPr>
          <w:rFonts w:eastAsia="Times New Roman" w:cs="Times New Roman"/>
          <w:szCs w:val="24"/>
        </w:rPr>
        <w:t xml:space="preserve">relating to human research and </w:t>
      </w:r>
      <w:r w:rsidR="000F42B8" w:rsidRPr="00AA4677">
        <w:rPr>
          <w:rFonts w:eastAsia="Times New Roman" w:cs="Times New Roman"/>
          <w:szCs w:val="24"/>
        </w:rPr>
        <w:t>then receive reminders on an annual basis that if details have changed a new disclosure form needs to be submitted and reviewed for ICOI, with resulting management plans</w:t>
      </w:r>
      <w:r w:rsidRPr="00AA4677">
        <w:rPr>
          <w:rFonts w:eastAsia="Times New Roman" w:cs="Times New Roman"/>
          <w:szCs w:val="24"/>
        </w:rPr>
        <w:t>:</w:t>
      </w:r>
    </w:p>
    <w:p w14:paraId="1DDBA82F" w14:textId="77777777" w:rsidR="00FC174E" w:rsidRPr="00AA4677" w:rsidRDefault="00FC174E">
      <w:pPr>
        <w:numPr>
          <w:ilvl w:val="0"/>
          <w:numId w:val="250"/>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President</w:t>
      </w:r>
    </w:p>
    <w:p w14:paraId="0ECFC20F" w14:textId="77777777" w:rsidR="00FC174E" w:rsidRPr="00AA4677" w:rsidRDefault="00FC174E">
      <w:pPr>
        <w:numPr>
          <w:ilvl w:val="0"/>
          <w:numId w:val="250"/>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Provost</w:t>
      </w:r>
    </w:p>
    <w:p w14:paraId="53547FA8" w14:textId="77777777" w:rsidR="00FC174E" w:rsidRPr="00AA4677" w:rsidRDefault="00FC174E">
      <w:pPr>
        <w:numPr>
          <w:ilvl w:val="0"/>
          <w:numId w:val="250"/>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Vice Presidents</w:t>
      </w:r>
    </w:p>
    <w:p w14:paraId="2E1F74A0" w14:textId="77777777" w:rsidR="00FC174E" w:rsidRPr="00AA4677" w:rsidRDefault="00FC174E">
      <w:pPr>
        <w:numPr>
          <w:ilvl w:val="0"/>
          <w:numId w:val="250"/>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Deans</w:t>
      </w:r>
    </w:p>
    <w:p w14:paraId="07C9D700" w14:textId="77777777" w:rsidR="00FC174E" w:rsidRPr="00AA4677" w:rsidRDefault="00FC174E">
      <w:pPr>
        <w:numPr>
          <w:ilvl w:val="0"/>
          <w:numId w:val="250"/>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Chairs (of departments identified by Office of Research Compliance [ORC] as conducting human research activities)</w:t>
      </w:r>
    </w:p>
    <w:p w14:paraId="5ABC98EA" w14:textId="18ED3A00" w:rsidR="00FC174E" w:rsidRPr="00AA4677" w:rsidRDefault="00FC174E" w:rsidP="00C57C98">
      <w:pPr>
        <w:pStyle w:val="Heading3"/>
      </w:pPr>
      <w:r w:rsidRPr="00AA4677">
        <w:lastRenderedPageBreak/>
        <w:t>14.4.3 Review and Evaluation</w:t>
      </w:r>
    </w:p>
    <w:p w14:paraId="10433236" w14:textId="6CB6189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IRB proposals submitted to the Office of Research Compliance in advance of IRB review and approval will be assessed by the </w:t>
      </w:r>
      <w:r w:rsidR="000F42B8" w:rsidRPr="00AA4677">
        <w:rPr>
          <w:rFonts w:eastAsia="Times New Roman" w:cs="Times New Roman"/>
          <w:szCs w:val="24"/>
        </w:rPr>
        <w:t xml:space="preserve">QA Administrator </w:t>
      </w:r>
      <w:r w:rsidRPr="00AA4677">
        <w:rPr>
          <w:rFonts w:eastAsia="Times New Roman" w:cs="Times New Roman"/>
          <w:szCs w:val="24"/>
        </w:rPr>
        <w:t>for potential IFCOI by assessing applicability of information contained within the reports and forms referred to above.</w:t>
      </w:r>
    </w:p>
    <w:p w14:paraId="7CE9F5FD" w14:textId="55EC3CE6"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As a matter of policy, </w:t>
      </w:r>
      <w:r w:rsidR="00BB2BDD" w:rsidRPr="00AA4677">
        <w:rPr>
          <w:rFonts w:eastAsia="Times New Roman" w:cs="Times New Roman"/>
          <w:szCs w:val="24"/>
        </w:rPr>
        <w:t xml:space="preserve">the University </w:t>
      </w:r>
      <w:r w:rsidRPr="00AA4677">
        <w:rPr>
          <w:rFonts w:eastAsia="Times New Roman" w:cs="Times New Roman"/>
          <w:szCs w:val="24"/>
        </w:rPr>
        <w:t xml:space="preserve">will not </w:t>
      </w:r>
      <w:r w:rsidR="004E2EDD" w:rsidRPr="00AA4677">
        <w:rPr>
          <w:rFonts w:eastAsia="Times New Roman" w:cs="Times New Roman"/>
          <w:szCs w:val="24"/>
        </w:rPr>
        <w:t>participate in a human subject</w:t>
      </w:r>
      <w:r w:rsidRPr="00AA4677">
        <w:rPr>
          <w:rFonts w:eastAsia="Times New Roman" w:cs="Times New Roman"/>
          <w:szCs w:val="24"/>
        </w:rPr>
        <w:t xml:space="preserve"> research project when it has an IFCOI.  An exception to this policy may be made only when the Institutional Review Board, in consultation as deemed necessary with the </w:t>
      </w:r>
      <w:r w:rsidR="000F42B8" w:rsidRPr="00AA4677">
        <w:rPr>
          <w:rFonts w:eastAsia="Times New Roman" w:cs="Times New Roman"/>
          <w:szCs w:val="24"/>
        </w:rPr>
        <w:t xml:space="preserve">COI Administrator, and/or </w:t>
      </w:r>
      <w:r w:rsidRPr="00AA4677">
        <w:rPr>
          <w:rFonts w:eastAsia="Times New Roman" w:cs="Times New Roman"/>
          <w:szCs w:val="24"/>
        </w:rPr>
        <w:t xml:space="preserve">Conflict of Interest Committee (as identified in </w:t>
      </w:r>
      <w:r w:rsidR="007E2814" w:rsidRPr="00AA4677">
        <w:rPr>
          <w:rFonts w:eastAsia="Times New Roman" w:cs="Times New Roman"/>
          <w:szCs w:val="24"/>
        </w:rPr>
        <w:t>University’s Disclosure of External Interests and Commitments</w:t>
      </w:r>
      <w:r w:rsidRPr="00AA4677">
        <w:rPr>
          <w:rFonts w:eastAsia="Times New Roman" w:cs="Times New Roman"/>
          <w:szCs w:val="24"/>
        </w:rPr>
        <w:t xml:space="preserve"> Policy) determines that:</w:t>
      </w:r>
    </w:p>
    <w:p w14:paraId="368EE9D7" w14:textId="4D572B82" w:rsidR="00FC174E" w:rsidRPr="00AA4677" w:rsidRDefault="00BB2BDD">
      <w:pPr>
        <w:numPr>
          <w:ilvl w:val="0"/>
          <w:numId w:val="50"/>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Circumstances </w:t>
      </w:r>
      <w:r w:rsidR="00FC174E" w:rsidRPr="00AA4677">
        <w:rPr>
          <w:rFonts w:eastAsia="Times New Roman" w:cs="Times New Roman"/>
          <w:szCs w:val="24"/>
        </w:rPr>
        <w:t>exist to justify SBU’s participation in the project while still maintaining the protection of human subjects, and</w:t>
      </w:r>
    </w:p>
    <w:p w14:paraId="23ADAB8F" w14:textId="242D041A" w:rsidR="00FC174E" w:rsidRPr="00AA4677" w:rsidRDefault="00BB2BDD">
      <w:pPr>
        <w:numPr>
          <w:ilvl w:val="0"/>
          <w:numId w:val="50"/>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A </w:t>
      </w:r>
      <w:r w:rsidR="00FC174E" w:rsidRPr="00AA4677">
        <w:rPr>
          <w:rFonts w:eastAsia="Times New Roman" w:cs="Times New Roman"/>
          <w:szCs w:val="24"/>
        </w:rPr>
        <w:t>conflict management plan is adopted to maintain research integrity and serve the best interests of subjects enrolled in the research.</w:t>
      </w:r>
    </w:p>
    <w:p w14:paraId="589B473E"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These circumstances and conflict management plans will be documented.</w:t>
      </w:r>
    </w:p>
    <w:p w14:paraId="5808FB80" w14:textId="67AAB02D" w:rsidR="00FC174E" w:rsidRPr="00AA4677" w:rsidRDefault="000F42B8" w:rsidP="00C57C98">
      <w:pPr>
        <w:pStyle w:val="Heading3"/>
      </w:pPr>
      <w:r w:rsidRPr="00AA4677">
        <w:t>14.4.4 Conflict Management Plan</w:t>
      </w:r>
    </w:p>
    <w:p w14:paraId="6BA53F81" w14:textId="7D3C0A8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w:t>
      </w:r>
      <w:r w:rsidR="00BB2BDD" w:rsidRPr="00AA4677">
        <w:rPr>
          <w:rFonts w:eastAsia="Times New Roman" w:cs="Times New Roman"/>
          <w:szCs w:val="24"/>
        </w:rPr>
        <w:t xml:space="preserve">the University’s </w:t>
      </w:r>
      <w:r w:rsidRPr="00AA4677">
        <w:rPr>
          <w:rFonts w:eastAsia="Times New Roman" w:cs="Times New Roman"/>
          <w:szCs w:val="24"/>
        </w:rPr>
        <w:t xml:space="preserve">participation in a project is permitted notwithstanding the IFCOI, </w:t>
      </w:r>
      <w:r w:rsidR="00BB2BDD" w:rsidRPr="00AA4677">
        <w:rPr>
          <w:rFonts w:eastAsia="Times New Roman" w:cs="Times New Roman"/>
          <w:szCs w:val="24"/>
        </w:rPr>
        <w:t xml:space="preserve">the University’s </w:t>
      </w:r>
      <w:r w:rsidRPr="00AA4677">
        <w:rPr>
          <w:rFonts w:eastAsia="Times New Roman" w:cs="Times New Roman"/>
          <w:szCs w:val="24"/>
        </w:rPr>
        <w:t>participation will be subject to a conflict management plan developed and</w:t>
      </w:r>
      <w:r w:rsidR="000F42B8" w:rsidRPr="00AA4677">
        <w:rPr>
          <w:rFonts w:eastAsia="Times New Roman" w:cs="Times New Roman"/>
          <w:szCs w:val="24"/>
        </w:rPr>
        <w:t xml:space="preserve"> approved by the IRB as above. In the case of senior administrative officials, t</w:t>
      </w:r>
      <w:r w:rsidRPr="00AA4677">
        <w:rPr>
          <w:rFonts w:eastAsia="Times New Roman" w:cs="Times New Roman"/>
          <w:szCs w:val="24"/>
        </w:rPr>
        <w:t xml:space="preserve">he conflict management plan shall be agreed to by the </w:t>
      </w:r>
      <w:r w:rsidR="000F42B8" w:rsidRPr="00AA4677">
        <w:rPr>
          <w:rFonts w:eastAsia="Times New Roman" w:cs="Times New Roman"/>
          <w:szCs w:val="24"/>
        </w:rPr>
        <w:t>conflicted individual</w:t>
      </w:r>
      <w:r w:rsidRPr="00AA4677">
        <w:rPr>
          <w:rFonts w:eastAsia="Times New Roman" w:cs="Times New Roman"/>
          <w:szCs w:val="24"/>
        </w:rPr>
        <w:t>. The IRB has the final authority to determine whether any IFCOI and its management allows the research to be approved.</w:t>
      </w:r>
    </w:p>
    <w:p w14:paraId="3D82282E"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Options for managing institutional conflict of </w:t>
      </w:r>
      <w:proofErr w:type="gramStart"/>
      <w:r w:rsidRPr="00AA4677">
        <w:rPr>
          <w:rFonts w:eastAsia="Times New Roman" w:cs="Times New Roman"/>
          <w:szCs w:val="24"/>
        </w:rPr>
        <w:t>interest,</w:t>
      </w:r>
      <w:proofErr w:type="gramEnd"/>
      <w:r w:rsidRPr="00AA4677">
        <w:rPr>
          <w:rFonts w:eastAsia="Times New Roman" w:cs="Times New Roman"/>
          <w:szCs w:val="24"/>
        </w:rPr>
        <w:t xml:space="preserve"> include but are not limited to the following:</w:t>
      </w:r>
    </w:p>
    <w:p w14:paraId="454C5157" w14:textId="7FD86229" w:rsidR="00FC174E" w:rsidRPr="00AA4677" w:rsidRDefault="00FC174E">
      <w:pPr>
        <w:numPr>
          <w:ilvl w:val="0"/>
          <w:numId w:val="249"/>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Disclosing the institutional conflict of interest to research subjects in the consent </w:t>
      </w:r>
      <w:r w:rsidR="000F42B8" w:rsidRPr="00AA4677">
        <w:rPr>
          <w:rFonts w:eastAsia="Times New Roman" w:cs="Times New Roman"/>
          <w:szCs w:val="24"/>
        </w:rPr>
        <w:t>process and documents</w:t>
      </w:r>
      <w:r w:rsidRPr="00AA4677">
        <w:rPr>
          <w:rFonts w:eastAsia="Times New Roman" w:cs="Times New Roman"/>
          <w:szCs w:val="24"/>
        </w:rPr>
        <w:t>.</w:t>
      </w:r>
    </w:p>
    <w:p w14:paraId="1BD94E46" w14:textId="77777777" w:rsidR="00FC174E" w:rsidRPr="00AA4677" w:rsidRDefault="00FC174E">
      <w:pPr>
        <w:numPr>
          <w:ilvl w:val="0"/>
          <w:numId w:val="249"/>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Disclosing the institutional conflict of interest to any journals or other publications for which the results of the research will be submitted.</w:t>
      </w:r>
    </w:p>
    <w:p w14:paraId="2B3AC53E" w14:textId="0DB12ED3" w:rsidR="000F42B8" w:rsidRPr="00AA4677" w:rsidRDefault="000F42B8">
      <w:pPr>
        <w:numPr>
          <w:ilvl w:val="0"/>
          <w:numId w:val="249"/>
        </w:numPr>
        <w:shd w:val="clear" w:color="auto" w:fill="FFFFFF"/>
        <w:tabs>
          <w:tab w:val="clear" w:pos="720"/>
          <w:tab w:val="num" w:pos="360"/>
        </w:tabs>
        <w:spacing w:after="0" w:line="240" w:lineRule="auto"/>
        <w:ind w:left="360"/>
        <w:rPr>
          <w:rFonts w:eastAsia="Times New Roman" w:cs="Times New Roman"/>
          <w:szCs w:val="24"/>
        </w:rPr>
      </w:pPr>
      <w:proofErr w:type="gramStart"/>
      <w:r w:rsidRPr="00AA4677">
        <w:rPr>
          <w:rFonts w:eastAsia="Times New Roman" w:cs="Times New Roman"/>
          <w:szCs w:val="24"/>
        </w:rPr>
        <w:t>Re</w:t>
      </w:r>
      <w:r w:rsidR="004E2EDD" w:rsidRPr="00AA4677">
        <w:rPr>
          <w:rFonts w:eastAsia="Times New Roman" w:cs="Times New Roman"/>
          <w:szCs w:val="24"/>
        </w:rPr>
        <w:t>cusing</w:t>
      </w:r>
      <w:proofErr w:type="gramEnd"/>
      <w:r w:rsidR="004E2EDD" w:rsidRPr="00AA4677">
        <w:rPr>
          <w:rFonts w:eastAsia="Times New Roman" w:cs="Times New Roman"/>
          <w:szCs w:val="24"/>
        </w:rPr>
        <w:t xml:space="preserve"> </w:t>
      </w:r>
      <w:r w:rsidRPr="00AA4677">
        <w:rPr>
          <w:rFonts w:eastAsia="Times New Roman" w:cs="Times New Roman"/>
          <w:szCs w:val="24"/>
        </w:rPr>
        <w:t>conflicted senior administrative officials from scientific merit review of human research</w:t>
      </w:r>
    </w:p>
    <w:p w14:paraId="7A7580D8" w14:textId="08DCD156" w:rsidR="000F42B8" w:rsidRPr="00AA4677" w:rsidRDefault="000F42B8">
      <w:pPr>
        <w:numPr>
          <w:ilvl w:val="0"/>
          <w:numId w:val="249"/>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Having an external, independent IRB review the research in question</w:t>
      </w:r>
    </w:p>
    <w:p w14:paraId="7A9C9AD5" w14:textId="77777777" w:rsidR="00FC174E" w:rsidRPr="00AA4677" w:rsidRDefault="00FC174E">
      <w:pPr>
        <w:numPr>
          <w:ilvl w:val="0"/>
          <w:numId w:val="249"/>
        </w:numPr>
        <w:shd w:val="clear" w:color="auto" w:fill="FFFFFF"/>
        <w:tabs>
          <w:tab w:val="clear" w:pos="720"/>
          <w:tab w:val="num" w:pos="360"/>
        </w:tabs>
        <w:spacing w:after="0" w:line="240" w:lineRule="auto"/>
        <w:ind w:left="360"/>
        <w:rPr>
          <w:rFonts w:eastAsia="Times New Roman" w:cs="Times New Roman"/>
          <w:szCs w:val="24"/>
        </w:rPr>
      </w:pPr>
      <w:proofErr w:type="gramStart"/>
      <w:r w:rsidRPr="00AA4677">
        <w:rPr>
          <w:rFonts w:eastAsia="Times New Roman" w:cs="Times New Roman"/>
          <w:szCs w:val="24"/>
        </w:rPr>
        <w:t>Monitoring of</w:t>
      </w:r>
      <w:proofErr w:type="gramEnd"/>
      <w:r w:rsidRPr="00AA4677">
        <w:rPr>
          <w:rFonts w:eastAsia="Times New Roman" w:cs="Times New Roman"/>
          <w:szCs w:val="24"/>
        </w:rPr>
        <w:t xml:space="preserve"> research by independent reviewers</w:t>
      </w:r>
    </w:p>
    <w:p w14:paraId="64ECE18D" w14:textId="77777777" w:rsidR="00FC174E" w:rsidRPr="00AA4677" w:rsidRDefault="00FC174E">
      <w:pPr>
        <w:numPr>
          <w:ilvl w:val="0"/>
          <w:numId w:val="303"/>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Divestiture of financial conflicts of interests</w:t>
      </w:r>
    </w:p>
    <w:p w14:paraId="6E95C7F2" w14:textId="77777777" w:rsidR="00FC174E" w:rsidRPr="00AA4677" w:rsidRDefault="00FC174E">
      <w:pPr>
        <w:numPr>
          <w:ilvl w:val="0"/>
          <w:numId w:val="303"/>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Severance of relationships that create actual or potential conflicts.</w:t>
      </w:r>
    </w:p>
    <w:p w14:paraId="03247412" w14:textId="203613D9" w:rsidR="00FC174E" w:rsidRPr="00AA4677" w:rsidRDefault="004E2EDD">
      <w:pPr>
        <w:numPr>
          <w:ilvl w:val="0"/>
          <w:numId w:val="303"/>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Prohibiting</w:t>
      </w:r>
      <w:r w:rsidR="00FC174E" w:rsidRPr="00AA4677">
        <w:rPr>
          <w:rFonts w:eastAsia="Times New Roman" w:cs="Times New Roman"/>
          <w:szCs w:val="24"/>
        </w:rPr>
        <w:t xml:space="preserve"> the conduct of the research at </w:t>
      </w:r>
      <w:r w:rsidR="00BB2BDD" w:rsidRPr="00AA4677">
        <w:rPr>
          <w:rFonts w:eastAsia="Times New Roman" w:cs="Times New Roman"/>
          <w:szCs w:val="24"/>
        </w:rPr>
        <w:t>the University</w:t>
      </w:r>
    </w:p>
    <w:p w14:paraId="28859269" w14:textId="255690F5" w:rsidR="00FC174E" w:rsidRPr="00AA4677" w:rsidRDefault="00FC174E" w:rsidP="00C57C98">
      <w:pPr>
        <w:pStyle w:val="Heading3"/>
        <w:rPr>
          <w:sz w:val="27"/>
          <w:szCs w:val="27"/>
        </w:rPr>
      </w:pPr>
      <w:r w:rsidRPr="00AA4677">
        <w:lastRenderedPageBreak/>
        <w:t>14.4.5 </w:t>
      </w:r>
      <w:r w:rsidRPr="00AA4677">
        <w:rPr>
          <w:sz w:val="27"/>
          <w:szCs w:val="27"/>
        </w:rPr>
        <w:t>Timing</w:t>
      </w:r>
    </w:p>
    <w:p w14:paraId="274E7EA5" w14:textId="61835A2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review, evaluation, and where applicable, management of an IFCOI shall be completed prior to </w:t>
      </w:r>
      <w:proofErr w:type="gramStart"/>
      <w:r w:rsidRPr="00AA4677">
        <w:rPr>
          <w:rFonts w:eastAsia="Times New Roman" w:cs="Times New Roman"/>
          <w:szCs w:val="24"/>
        </w:rPr>
        <w:t xml:space="preserve">the </w:t>
      </w:r>
      <w:r w:rsidR="00652141" w:rsidRPr="00AA4677">
        <w:rPr>
          <w:rFonts w:eastAsia="Times New Roman" w:cs="Times New Roman"/>
          <w:szCs w:val="24"/>
        </w:rPr>
        <w:t>account</w:t>
      </w:r>
      <w:proofErr w:type="gramEnd"/>
      <w:r w:rsidR="00652141" w:rsidRPr="00AA4677">
        <w:rPr>
          <w:rFonts w:eastAsia="Times New Roman" w:cs="Times New Roman"/>
          <w:szCs w:val="24"/>
        </w:rPr>
        <w:t xml:space="preserve"> </w:t>
      </w:r>
      <w:r w:rsidRPr="00AA4677">
        <w:rPr>
          <w:rFonts w:eastAsia="Times New Roman" w:cs="Times New Roman"/>
          <w:szCs w:val="24"/>
        </w:rPr>
        <w:t xml:space="preserve">establishment of </w:t>
      </w:r>
      <w:r w:rsidR="004E2EDD" w:rsidRPr="00AA4677">
        <w:rPr>
          <w:rFonts w:eastAsia="Times New Roman" w:cs="Times New Roman"/>
          <w:szCs w:val="24"/>
        </w:rPr>
        <w:t>an award for the human subject</w:t>
      </w:r>
      <w:r w:rsidRPr="00AA4677">
        <w:rPr>
          <w:rFonts w:eastAsia="Times New Roman" w:cs="Times New Roman"/>
          <w:szCs w:val="24"/>
        </w:rPr>
        <w:t xml:space="preserve"> research project or </w:t>
      </w:r>
      <w:r w:rsidR="004E2EDD" w:rsidRPr="00AA4677">
        <w:rPr>
          <w:rFonts w:eastAsia="Times New Roman" w:cs="Times New Roman"/>
          <w:szCs w:val="24"/>
        </w:rPr>
        <w:t xml:space="preserve">beginning </w:t>
      </w:r>
      <w:r w:rsidRPr="00AA4677">
        <w:rPr>
          <w:rFonts w:eastAsia="Times New Roman" w:cs="Times New Roman"/>
          <w:szCs w:val="24"/>
        </w:rPr>
        <w:t>of the project (including enr</w:t>
      </w:r>
      <w:r w:rsidR="004E2EDD" w:rsidRPr="00AA4677">
        <w:rPr>
          <w:rFonts w:eastAsia="Times New Roman" w:cs="Times New Roman"/>
          <w:szCs w:val="24"/>
        </w:rPr>
        <w:t>ollment of any research subject</w:t>
      </w:r>
      <w:r w:rsidRPr="00AA4677">
        <w:rPr>
          <w:rFonts w:eastAsia="Times New Roman" w:cs="Times New Roman"/>
          <w:szCs w:val="24"/>
        </w:rPr>
        <w:t>), whic</w:t>
      </w:r>
      <w:r w:rsidR="004E2EDD" w:rsidRPr="00AA4677">
        <w:rPr>
          <w:rFonts w:eastAsia="Times New Roman" w:cs="Times New Roman"/>
          <w:szCs w:val="24"/>
        </w:rPr>
        <w:t>hever comes first. The study</w:t>
      </w:r>
      <w:r w:rsidRPr="00AA4677">
        <w:rPr>
          <w:rFonts w:eastAsia="Times New Roman" w:cs="Times New Roman"/>
          <w:szCs w:val="24"/>
        </w:rPr>
        <w:t xml:space="preserve"> will remain unapproved, pending approval by IRB of the conflict management plan.</w:t>
      </w:r>
    </w:p>
    <w:p w14:paraId="3730CDBA" w14:textId="0ADD22D3" w:rsidR="00FC174E" w:rsidRPr="00AA4677" w:rsidRDefault="00FC174E" w:rsidP="00696B35">
      <w:pPr>
        <w:pStyle w:val="Heading2"/>
      </w:pPr>
      <w:bookmarkStart w:id="330" w:name="_Toc192678262"/>
      <w:r w:rsidRPr="00AA4677">
        <w:t>14.</w:t>
      </w:r>
      <w:r w:rsidR="00EF45C8" w:rsidRPr="00AA4677">
        <w:t xml:space="preserve">5 </w:t>
      </w:r>
      <w:r w:rsidRPr="00AA4677">
        <w:t>Investigator Conflict of Interest Unrelated to Current Financial Conflict of Interest</w:t>
      </w:r>
      <w:bookmarkEnd w:id="330"/>
    </w:p>
    <w:p w14:paraId="510B1A37" w14:textId="382FB696"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There are instances where a member of the study team has a vested personal interest in the future commercial success of the drug, device, </w:t>
      </w:r>
      <w:r w:rsidR="007A7A43" w:rsidRPr="00AA4677">
        <w:rPr>
          <w:rFonts w:eastAsia="Times New Roman" w:cs="Times New Roman"/>
          <w:szCs w:val="24"/>
        </w:rPr>
        <w:t xml:space="preserve">etc. </w:t>
      </w:r>
      <w:r w:rsidRPr="00AA4677">
        <w:rPr>
          <w:rFonts w:eastAsia="Times New Roman" w:cs="Times New Roman"/>
          <w:szCs w:val="24"/>
        </w:rPr>
        <w:t xml:space="preserve">under study (e.g., was involved in discovery, patent, licensing, IND/IDE filings etc.), but does not, at this time, have a significant financial interest that would trigger a review for FCOI, as defined above. In this situation, although recruiting or consenting of potential subjects by the affected </w:t>
      </w:r>
      <w:r w:rsidR="007A7A43" w:rsidRPr="00AA4677">
        <w:rPr>
          <w:rFonts w:eastAsia="Times New Roman" w:cs="Times New Roman"/>
          <w:szCs w:val="24"/>
        </w:rPr>
        <w:t>Investigator</w:t>
      </w:r>
      <w:r w:rsidRPr="00AA4677">
        <w:rPr>
          <w:rFonts w:eastAsia="Times New Roman" w:cs="Times New Roman"/>
          <w:szCs w:val="24"/>
        </w:rPr>
        <w:t xml:space="preserve"> is acceptable, a section should be added to the consent form that reads:</w:t>
      </w:r>
    </w:p>
    <w:p w14:paraId="31F99F66" w14:textId="77777777" w:rsidR="00FC174E" w:rsidRPr="00AA4677" w:rsidRDefault="00FC174E" w:rsidP="004E2EDD">
      <w:pPr>
        <w:shd w:val="clear" w:color="auto" w:fill="FFFFFF"/>
        <w:spacing w:after="0" w:line="240" w:lineRule="auto"/>
        <w:rPr>
          <w:rFonts w:eastAsia="Times New Roman" w:cs="Times New Roman"/>
          <w:szCs w:val="24"/>
        </w:rPr>
      </w:pPr>
      <w:r w:rsidRPr="00AA4677">
        <w:rPr>
          <w:rFonts w:eastAsia="Times New Roman" w:cs="Times New Roman"/>
          <w:i/>
          <w:iCs/>
          <w:szCs w:val="24"/>
        </w:rPr>
        <w:t>"Investigator’s Personal Interest in this Study"</w:t>
      </w:r>
    </w:p>
    <w:p w14:paraId="5064E9B7" w14:textId="5AA0D45D" w:rsidR="00FC174E" w:rsidRPr="00AA4677" w:rsidRDefault="00FC174E" w:rsidP="004E2EDD">
      <w:pPr>
        <w:shd w:val="clear" w:color="auto" w:fill="FFFFFF"/>
        <w:spacing w:after="0" w:line="240" w:lineRule="auto"/>
        <w:rPr>
          <w:rFonts w:eastAsia="Times New Roman" w:cs="Times New Roman"/>
          <w:i/>
          <w:iCs/>
          <w:szCs w:val="24"/>
        </w:rPr>
      </w:pPr>
      <w:proofErr w:type="gramStart"/>
      <w:r w:rsidRPr="00AA4677">
        <w:rPr>
          <w:rFonts w:eastAsia="Times New Roman" w:cs="Times New Roman"/>
          <w:i/>
          <w:iCs/>
          <w:szCs w:val="24"/>
        </w:rPr>
        <w:t>Dr. _</w:t>
      </w:r>
      <w:proofErr w:type="gramEnd"/>
      <w:r w:rsidRPr="00AA4677">
        <w:rPr>
          <w:rFonts w:eastAsia="Times New Roman" w:cs="Times New Roman"/>
          <w:i/>
          <w:iCs/>
          <w:szCs w:val="24"/>
        </w:rPr>
        <w:t>_____________, who is one of the investigators conducting this study has a personal commercial interest in, or may financially benefit in the future from, the development of the [drug, device, etc</w:t>
      </w:r>
      <w:r w:rsidR="00794F0D" w:rsidRPr="00AA4677">
        <w:rPr>
          <w:rFonts w:eastAsia="Times New Roman" w:cs="Times New Roman"/>
          <w:i/>
          <w:iCs/>
          <w:szCs w:val="24"/>
        </w:rPr>
        <w:t>.</w:t>
      </w:r>
      <w:r w:rsidRPr="00AA4677">
        <w:rPr>
          <w:rFonts w:eastAsia="Times New Roman" w:cs="Times New Roman"/>
          <w:i/>
          <w:iCs/>
          <w:szCs w:val="24"/>
        </w:rPr>
        <w:t>] being tested in this study.</w:t>
      </w:r>
    </w:p>
    <w:p w14:paraId="67CCDD4A" w14:textId="77777777" w:rsidR="008E52F4" w:rsidRPr="00AA4677" w:rsidRDefault="008E52F4" w:rsidP="005920B2">
      <w:pPr>
        <w:pStyle w:val="Heading1"/>
      </w:pPr>
    </w:p>
    <w:p w14:paraId="236A8FDE" w14:textId="3D0E472A" w:rsidR="00FD23BA" w:rsidRPr="00AA4677" w:rsidRDefault="00FC174E" w:rsidP="005920B2">
      <w:pPr>
        <w:pStyle w:val="Heading1"/>
      </w:pPr>
      <w:bookmarkStart w:id="331" w:name="_Toc192678263"/>
      <w:r w:rsidRPr="00AA4677">
        <w:t xml:space="preserve">15 </w:t>
      </w:r>
      <w:r w:rsidR="00BF7470" w:rsidRPr="00AA4677">
        <w:t>Subject</w:t>
      </w:r>
      <w:r w:rsidRPr="00AA4677">
        <w:t xml:space="preserve"> Outreach</w:t>
      </w:r>
      <w:bookmarkEnd w:id="331"/>
    </w:p>
    <w:p w14:paraId="69A93719" w14:textId="6F7B1A5D" w:rsidR="00FC174E" w:rsidRPr="00AA4677" w:rsidRDefault="00FC174E" w:rsidP="00696B35">
      <w:pPr>
        <w:pStyle w:val="Heading2"/>
      </w:pPr>
      <w:bookmarkStart w:id="332" w:name="_Toc192678264"/>
      <w:r w:rsidRPr="00AA4677">
        <w:t>15.1 Policy</w:t>
      </w:r>
      <w:bookmarkEnd w:id="332"/>
    </w:p>
    <w:p w14:paraId="1ECD1D63" w14:textId="2C70CE91" w:rsidR="0095224B" w:rsidRPr="00AA4677" w:rsidRDefault="00D1502C"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University</w:t>
      </w:r>
      <w:r w:rsidR="00FC174E" w:rsidRPr="00AA4677">
        <w:rPr>
          <w:rFonts w:eastAsia="Times New Roman" w:cs="Times New Roman"/>
          <w:szCs w:val="24"/>
        </w:rPr>
        <w:t xml:space="preserve"> is committed to ensuring that educational opportunities are offered to research </w:t>
      </w:r>
      <w:r w:rsidR="00BF7470" w:rsidRPr="00AA4677">
        <w:rPr>
          <w:rFonts w:eastAsia="Times New Roman" w:cs="Times New Roman"/>
          <w:szCs w:val="24"/>
        </w:rPr>
        <w:t>subject</w:t>
      </w:r>
      <w:r w:rsidR="00FC174E" w:rsidRPr="00AA4677">
        <w:rPr>
          <w:rFonts w:eastAsia="Times New Roman" w:cs="Times New Roman"/>
          <w:szCs w:val="24"/>
        </w:rPr>
        <w:t xml:space="preserve">s, prospective research </w:t>
      </w:r>
      <w:r w:rsidR="00BF7470" w:rsidRPr="00AA4677">
        <w:rPr>
          <w:rFonts w:eastAsia="Times New Roman" w:cs="Times New Roman"/>
          <w:szCs w:val="24"/>
        </w:rPr>
        <w:t>subject</w:t>
      </w:r>
      <w:r w:rsidR="00FC174E" w:rsidRPr="00AA4677">
        <w:rPr>
          <w:rFonts w:eastAsia="Times New Roman" w:cs="Times New Roman"/>
          <w:szCs w:val="24"/>
        </w:rPr>
        <w:t xml:space="preserve">s, and community members which will enhance their understanding of </w:t>
      </w:r>
      <w:r w:rsidR="00652141" w:rsidRPr="00AA4677">
        <w:rPr>
          <w:rFonts w:eastAsia="Times New Roman" w:cs="Times New Roman"/>
          <w:szCs w:val="24"/>
        </w:rPr>
        <w:t xml:space="preserve">activities involving human participation in research at SBU. </w:t>
      </w:r>
    </w:p>
    <w:p w14:paraId="4C8F92D3" w14:textId="77777777" w:rsidR="00A96FB2" w:rsidRPr="00AA4677" w:rsidRDefault="00A96FB2" w:rsidP="005920B2">
      <w:pPr>
        <w:pStyle w:val="Heading1"/>
      </w:pPr>
      <w:bookmarkStart w:id="333" w:name="_Toc192678265"/>
      <w:r w:rsidRPr="00AA4677">
        <w:t>15.2 Research Subject Advocate (RSA)</w:t>
      </w:r>
      <w:bookmarkEnd w:id="333"/>
    </w:p>
    <w:p w14:paraId="7673FBBD" w14:textId="6B296662" w:rsidR="00A96FB2" w:rsidRPr="00AA4677" w:rsidRDefault="00A96FB2" w:rsidP="00A96FB2">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commitment of the Institution to our future and current research subjects is evident in the </w:t>
      </w:r>
      <w:r w:rsidR="004E2EDD" w:rsidRPr="00AA4677">
        <w:rPr>
          <w:rFonts w:eastAsia="Times New Roman" w:cs="Times New Roman"/>
          <w:szCs w:val="24"/>
        </w:rPr>
        <w:t xml:space="preserve">establishment of an </w:t>
      </w:r>
      <w:r w:rsidRPr="00AA4677">
        <w:rPr>
          <w:rFonts w:eastAsia="Times New Roman" w:cs="Times New Roman"/>
          <w:szCs w:val="24"/>
        </w:rPr>
        <w:t>ORC IRB staff member to serve as the Institution’s Research Subject Advocate (RSA). This individual will:</w:t>
      </w:r>
    </w:p>
    <w:p w14:paraId="00997A2C" w14:textId="7387C886" w:rsidR="00A96FB2" w:rsidRPr="00AA4677" w:rsidRDefault="00A96FB2">
      <w:pPr>
        <w:pStyle w:val="ListParagraph"/>
        <w:numPr>
          <w:ilvl w:val="0"/>
          <w:numId w:val="134"/>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Work within University Hospital to promote educational efforts for patients regarding participation in research, and assist </w:t>
      </w:r>
      <w:proofErr w:type="gramStart"/>
      <w:r w:rsidRPr="00AA4677">
        <w:rPr>
          <w:rFonts w:eastAsia="Times New Roman" w:cs="Times New Roman"/>
          <w:szCs w:val="24"/>
        </w:rPr>
        <w:t>with, and</w:t>
      </w:r>
      <w:proofErr w:type="gramEnd"/>
      <w:r w:rsidRPr="00AA4677">
        <w:rPr>
          <w:rFonts w:eastAsia="Times New Roman" w:cs="Times New Roman"/>
          <w:szCs w:val="24"/>
        </w:rPr>
        <w:t xml:space="preserve"> streamline, procedures relating to recruitment of patients into research studies.</w:t>
      </w:r>
    </w:p>
    <w:p w14:paraId="447FBD23" w14:textId="0E8C087F" w:rsidR="00A96FB2" w:rsidRPr="00AA4677" w:rsidRDefault="00A96FB2">
      <w:pPr>
        <w:pStyle w:val="ListParagraph"/>
        <w:numPr>
          <w:ilvl w:val="0"/>
          <w:numId w:val="134"/>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Assist patients with navigating the research informed consent process.</w:t>
      </w:r>
    </w:p>
    <w:p w14:paraId="5C696D7E" w14:textId="77777777" w:rsidR="004E2EDD" w:rsidRPr="00AA4677" w:rsidRDefault="00A96FB2">
      <w:pPr>
        <w:pStyle w:val="ListParagraph"/>
        <w:numPr>
          <w:ilvl w:val="0"/>
          <w:numId w:val="134"/>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lastRenderedPageBreak/>
        <w:t>Disseminate materials, and organize educational events to train research volunteers, investigators, and staff regarding participant rights and protections.</w:t>
      </w:r>
    </w:p>
    <w:p w14:paraId="21975936" w14:textId="4EB04C3C" w:rsidR="00FC174E" w:rsidRPr="00AA4677" w:rsidRDefault="00A96FB2">
      <w:pPr>
        <w:pStyle w:val="ListParagraph"/>
        <w:numPr>
          <w:ilvl w:val="0"/>
          <w:numId w:val="134"/>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Serve as institutional liaison </w:t>
      </w:r>
      <w:r w:rsidR="00AF026C" w:rsidRPr="00AA4677">
        <w:rPr>
          <w:rFonts w:eastAsia="Times New Roman" w:cs="Times New Roman"/>
          <w:szCs w:val="24"/>
        </w:rPr>
        <w:t xml:space="preserve">for ResearchMatch, the national recruitment registry that matches researchers to individuals who are interested in participating in research. </w:t>
      </w:r>
      <w:r w:rsidR="005C2D32" w:rsidRPr="00AA4677">
        <w:rPr>
          <w:rFonts w:eastAsia="Times New Roman" w:cs="Times New Roman"/>
          <w:szCs w:val="24"/>
        </w:rPr>
        <w:t>(see Section 17.13</w:t>
      </w:r>
      <w:r w:rsidR="00AF026C" w:rsidRPr="00AA4677">
        <w:rPr>
          <w:rFonts w:eastAsia="Times New Roman" w:cs="Times New Roman"/>
          <w:szCs w:val="24"/>
        </w:rPr>
        <w:t xml:space="preserve"> for more details on process)</w:t>
      </w:r>
    </w:p>
    <w:p w14:paraId="4646299C" w14:textId="6FDD0A7A" w:rsidR="00FC174E" w:rsidRPr="00AA4677" w:rsidRDefault="00FC174E" w:rsidP="00696B35">
      <w:pPr>
        <w:pStyle w:val="Heading2"/>
      </w:pPr>
      <w:bookmarkStart w:id="334" w:name="_Toc192678266"/>
      <w:r w:rsidRPr="00AA4677">
        <w:t>15.</w:t>
      </w:r>
      <w:r w:rsidR="00A96FB2" w:rsidRPr="00AA4677">
        <w:t>3</w:t>
      </w:r>
      <w:r w:rsidRPr="00AA4677">
        <w:t xml:space="preserve"> Outreach Resources and Educational Materials</w:t>
      </w:r>
      <w:bookmarkEnd w:id="334"/>
    </w:p>
    <w:p w14:paraId="19ECA6E9" w14:textId="77777777" w:rsidR="001668DC" w:rsidRPr="00AA4677" w:rsidRDefault="001668DC" w:rsidP="00347259">
      <w:pPr>
        <w:shd w:val="clear" w:color="auto" w:fill="FFFFFF"/>
        <w:spacing w:after="0" w:line="240" w:lineRule="auto"/>
        <w:rPr>
          <w:rFonts w:eastAsia="Times New Roman" w:cs="Times New Roman"/>
          <w:szCs w:val="24"/>
        </w:rPr>
      </w:pPr>
    </w:p>
    <w:p w14:paraId="7A429D34" w14:textId="6A5D5757" w:rsidR="00AF026C" w:rsidRPr="00AA4677" w:rsidRDefault="00AF026C" w:rsidP="00347259">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RSA efforts include </w:t>
      </w:r>
      <w:r w:rsidR="008D31D1" w:rsidRPr="00AA4677">
        <w:rPr>
          <w:rFonts w:eastAsia="Times New Roman" w:cs="Times New Roman"/>
          <w:szCs w:val="24"/>
        </w:rPr>
        <w:t xml:space="preserve">revising and augmenting </w:t>
      </w:r>
      <w:r w:rsidRPr="00AA4677">
        <w:rPr>
          <w:rFonts w:eastAsia="Times New Roman" w:cs="Times New Roman"/>
          <w:szCs w:val="24"/>
        </w:rPr>
        <w:t>a section of</w:t>
      </w:r>
      <w:r w:rsidR="00FC174E" w:rsidRPr="00AA4677">
        <w:rPr>
          <w:rFonts w:eastAsia="Times New Roman" w:cs="Times New Roman"/>
          <w:szCs w:val="24"/>
        </w:rPr>
        <w:t xml:space="preserve"> the </w:t>
      </w:r>
      <w:r w:rsidRPr="00AA4677">
        <w:rPr>
          <w:rFonts w:eastAsia="Times New Roman" w:cs="Times New Roman"/>
          <w:szCs w:val="24"/>
        </w:rPr>
        <w:t xml:space="preserve">Human Research </w:t>
      </w:r>
      <w:r w:rsidR="00FC174E" w:rsidRPr="00AA4677">
        <w:rPr>
          <w:rFonts w:eastAsia="Times New Roman" w:cs="Times New Roman"/>
          <w:szCs w:val="24"/>
        </w:rPr>
        <w:t xml:space="preserve">website </w:t>
      </w:r>
      <w:r w:rsidRPr="00AA4677">
        <w:rPr>
          <w:rFonts w:eastAsia="Times New Roman" w:cs="Times New Roman"/>
          <w:szCs w:val="24"/>
        </w:rPr>
        <w:t xml:space="preserve">dedicated to informative outreach </w:t>
      </w:r>
      <w:r w:rsidR="00652141" w:rsidRPr="00AA4677">
        <w:rPr>
          <w:rFonts w:eastAsia="Times New Roman" w:cs="Times New Roman"/>
          <w:szCs w:val="24"/>
        </w:rPr>
        <w:t>resources</w:t>
      </w:r>
      <w:r w:rsidR="008D31D1" w:rsidRPr="00AA4677">
        <w:rPr>
          <w:rFonts w:eastAsia="Times New Roman" w:cs="Times New Roman"/>
          <w:szCs w:val="24"/>
        </w:rPr>
        <w:t>, now</w:t>
      </w:r>
      <w:r w:rsidR="00652141" w:rsidRPr="00AA4677">
        <w:rPr>
          <w:rFonts w:eastAsia="Times New Roman" w:cs="Times New Roman"/>
          <w:szCs w:val="24"/>
        </w:rPr>
        <w:t xml:space="preserve"> entitled “Volunteering in Research”</w:t>
      </w:r>
      <w:r w:rsidR="00FC174E" w:rsidRPr="00AA4677">
        <w:rPr>
          <w:rFonts w:eastAsia="Times New Roman" w:cs="Times New Roman"/>
          <w:szCs w:val="24"/>
        </w:rPr>
        <w:t xml:space="preserve">. This </w:t>
      </w:r>
      <w:r w:rsidRPr="00AA4677">
        <w:rPr>
          <w:rFonts w:eastAsia="Times New Roman" w:cs="Times New Roman"/>
          <w:szCs w:val="24"/>
        </w:rPr>
        <w:t xml:space="preserve">area on the </w:t>
      </w:r>
      <w:r w:rsidR="00FC174E" w:rsidRPr="00AA4677">
        <w:rPr>
          <w:rFonts w:eastAsia="Times New Roman" w:cs="Times New Roman"/>
          <w:szCs w:val="24"/>
        </w:rPr>
        <w:t xml:space="preserve">website includes </w:t>
      </w:r>
      <w:r w:rsidR="00652141" w:rsidRPr="00AA4677">
        <w:rPr>
          <w:rFonts w:eastAsia="Times New Roman" w:cs="Times New Roman"/>
          <w:szCs w:val="24"/>
        </w:rPr>
        <w:t xml:space="preserve">an overview of what it means to be a volunteer in research, and addresses </w:t>
      </w:r>
      <w:r w:rsidR="00FC174E" w:rsidRPr="00AA4677">
        <w:rPr>
          <w:rFonts w:eastAsia="Times New Roman" w:cs="Times New Roman"/>
          <w:szCs w:val="24"/>
        </w:rPr>
        <w:t xml:space="preserve">Frequently Asked Questions (FAQs), </w:t>
      </w:r>
      <w:r w:rsidRPr="00AA4677">
        <w:rPr>
          <w:rFonts w:eastAsia="Times New Roman" w:cs="Times New Roman"/>
          <w:szCs w:val="24"/>
        </w:rPr>
        <w:t xml:space="preserve">as well as </w:t>
      </w:r>
      <w:r w:rsidR="00652141" w:rsidRPr="00AA4677">
        <w:rPr>
          <w:rFonts w:eastAsia="Times New Roman" w:cs="Times New Roman"/>
          <w:szCs w:val="24"/>
        </w:rPr>
        <w:t>Institutional</w:t>
      </w:r>
      <w:r w:rsidR="00FC174E" w:rsidRPr="00AA4677">
        <w:rPr>
          <w:rFonts w:eastAsia="Times New Roman" w:cs="Times New Roman"/>
          <w:szCs w:val="24"/>
        </w:rPr>
        <w:t>, and other relevant source brochures</w:t>
      </w:r>
      <w:r w:rsidR="00652141" w:rsidRPr="00AA4677">
        <w:rPr>
          <w:rFonts w:eastAsia="Times New Roman" w:cs="Times New Roman"/>
          <w:szCs w:val="24"/>
        </w:rPr>
        <w:t>.</w:t>
      </w:r>
      <w:r w:rsidR="008D31D1" w:rsidRPr="00AA4677">
        <w:rPr>
          <w:rFonts w:eastAsia="Times New Roman" w:cs="Times New Roman"/>
          <w:szCs w:val="24"/>
        </w:rPr>
        <w:t xml:space="preserve"> The website provides several relevant links to the </w:t>
      </w:r>
      <w:hyperlink r:id="rId125" w:history="1">
        <w:r w:rsidR="008D31D1" w:rsidRPr="00AA4677">
          <w:rPr>
            <w:rStyle w:val="Hyperlink"/>
            <w:rFonts w:eastAsia="Times New Roman" w:cs="Times New Roman"/>
            <w:color w:val="auto"/>
            <w:szCs w:val="24"/>
            <w:u w:val="none"/>
          </w:rPr>
          <w:t>Office for Human Research Protections</w:t>
        </w:r>
      </w:hyperlink>
      <w:r w:rsidR="004E2EDD" w:rsidRPr="00AA4677">
        <w:rPr>
          <w:rFonts w:eastAsia="Times New Roman" w:cs="Times New Roman"/>
          <w:szCs w:val="24"/>
        </w:rPr>
        <w:t xml:space="preserve"> (OHRP)</w:t>
      </w:r>
      <w:r w:rsidR="008D31D1" w:rsidRPr="00AA4677">
        <w:rPr>
          <w:rFonts w:eastAsia="Times New Roman" w:cs="Times New Roman"/>
          <w:szCs w:val="24"/>
        </w:rPr>
        <w:t xml:space="preserve"> to inform the general public about research participation. </w:t>
      </w:r>
      <w:r w:rsidR="00652141" w:rsidRPr="00AA4677">
        <w:rPr>
          <w:rFonts w:eastAsia="Times New Roman" w:cs="Times New Roman"/>
          <w:szCs w:val="24"/>
        </w:rPr>
        <w:t xml:space="preserve"> Direct research-related links are </w:t>
      </w:r>
      <w:r w:rsidR="00E87547" w:rsidRPr="00AA4677">
        <w:rPr>
          <w:rFonts w:eastAsia="Times New Roman" w:cs="Times New Roman"/>
          <w:szCs w:val="24"/>
        </w:rPr>
        <w:t xml:space="preserve">provided </w:t>
      </w:r>
      <w:r w:rsidR="00652141" w:rsidRPr="00AA4677">
        <w:rPr>
          <w:rFonts w:eastAsia="Times New Roman" w:cs="Times New Roman"/>
          <w:szCs w:val="24"/>
        </w:rPr>
        <w:t>to increase public awareness and educ</w:t>
      </w:r>
      <w:r w:rsidR="00E87547" w:rsidRPr="00AA4677">
        <w:rPr>
          <w:rFonts w:eastAsia="Times New Roman" w:cs="Times New Roman"/>
          <w:szCs w:val="24"/>
        </w:rPr>
        <w:t>ate the surrounding community regarding</w:t>
      </w:r>
      <w:r w:rsidR="00652141" w:rsidRPr="00AA4677">
        <w:rPr>
          <w:rFonts w:eastAsia="Times New Roman" w:cs="Times New Roman"/>
          <w:szCs w:val="24"/>
        </w:rPr>
        <w:t xml:space="preserve"> the importance of research</w:t>
      </w:r>
      <w:r w:rsidR="00E87547" w:rsidRPr="00AA4677">
        <w:rPr>
          <w:rFonts w:eastAsia="Times New Roman" w:cs="Times New Roman"/>
          <w:szCs w:val="24"/>
        </w:rPr>
        <w:t xml:space="preserve">, as well as the importance of their role in scientific advances. </w:t>
      </w:r>
      <w:r w:rsidR="00652141" w:rsidRPr="00AA4677">
        <w:rPr>
          <w:rFonts w:eastAsia="Times New Roman" w:cs="Times New Roman"/>
          <w:szCs w:val="24"/>
        </w:rPr>
        <w:t xml:space="preserve"> </w:t>
      </w:r>
    </w:p>
    <w:p w14:paraId="3086FCDC" w14:textId="77777777" w:rsidR="00AF026C" w:rsidRPr="00AA4677" w:rsidRDefault="00AF026C" w:rsidP="00347259">
      <w:pPr>
        <w:shd w:val="clear" w:color="auto" w:fill="FFFFFF"/>
        <w:spacing w:after="0" w:line="240" w:lineRule="auto"/>
        <w:rPr>
          <w:rFonts w:eastAsia="Times New Roman" w:cs="Times New Roman"/>
          <w:szCs w:val="24"/>
        </w:rPr>
      </w:pPr>
    </w:p>
    <w:p w14:paraId="354265D2" w14:textId="35B73684" w:rsidR="00FC174E" w:rsidRPr="00AA4677" w:rsidRDefault="00E22722" w:rsidP="00347259">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AF026C" w:rsidRPr="00AA4677">
        <w:rPr>
          <w:rFonts w:eastAsia="Times New Roman" w:cs="Times New Roman"/>
          <w:szCs w:val="24"/>
        </w:rPr>
        <w:t>RSA</w:t>
      </w:r>
      <w:r w:rsidR="00FC174E" w:rsidRPr="00AA4677">
        <w:rPr>
          <w:rFonts w:eastAsia="Times New Roman" w:cs="Times New Roman"/>
          <w:szCs w:val="24"/>
        </w:rPr>
        <w:t xml:space="preserve"> p</w:t>
      </w:r>
      <w:r w:rsidR="00E87547" w:rsidRPr="00AA4677">
        <w:rPr>
          <w:rFonts w:eastAsia="Times New Roman" w:cs="Times New Roman"/>
          <w:szCs w:val="24"/>
        </w:rPr>
        <w:t>articipates in outreach activities (</w:t>
      </w:r>
      <w:r w:rsidR="00AF026C" w:rsidRPr="00AA4677">
        <w:rPr>
          <w:rFonts w:eastAsia="Times New Roman" w:cs="Times New Roman"/>
          <w:szCs w:val="24"/>
        </w:rPr>
        <w:t xml:space="preserve">e.g., </w:t>
      </w:r>
      <w:r w:rsidR="00E87547" w:rsidRPr="00AA4677">
        <w:rPr>
          <w:rFonts w:eastAsia="Times New Roman" w:cs="Times New Roman"/>
          <w:szCs w:val="24"/>
        </w:rPr>
        <w:t>presence at health fairs, at University Hospital</w:t>
      </w:r>
      <w:r w:rsidR="00AF026C" w:rsidRPr="00AA4677">
        <w:rPr>
          <w:rFonts w:eastAsia="Times New Roman" w:cs="Times New Roman"/>
          <w:szCs w:val="24"/>
        </w:rPr>
        <w:t xml:space="preserve"> etc.</w:t>
      </w:r>
      <w:r w:rsidR="00E87547" w:rsidRPr="00AA4677">
        <w:rPr>
          <w:rFonts w:eastAsia="Times New Roman" w:cs="Times New Roman"/>
          <w:szCs w:val="24"/>
        </w:rPr>
        <w:t xml:space="preserve">) for community education </w:t>
      </w:r>
      <w:r w:rsidR="00AF026C" w:rsidRPr="00AA4677">
        <w:rPr>
          <w:rFonts w:eastAsia="Times New Roman" w:cs="Times New Roman"/>
          <w:szCs w:val="24"/>
        </w:rPr>
        <w:t xml:space="preserve">efforts. </w:t>
      </w:r>
    </w:p>
    <w:p w14:paraId="77735B56" w14:textId="77777777" w:rsidR="001668DC" w:rsidRPr="00AA4677" w:rsidRDefault="001668DC" w:rsidP="00696B35">
      <w:pPr>
        <w:pStyle w:val="Heading2"/>
      </w:pPr>
    </w:p>
    <w:p w14:paraId="3EE47C57" w14:textId="26CBE740" w:rsidR="00FC174E" w:rsidRPr="00AA4677" w:rsidRDefault="00FC174E" w:rsidP="00696B35">
      <w:pPr>
        <w:pStyle w:val="Heading2"/>
      </w:pPr>
      <w:bookmarkStart w:id="335" w:name="_Toc192678267"/>
      <w:r w:rsidRPr="00AA4677">
        <w:t>15.4 Evaluation</w:t>
      </w:r>
      <w:bookmarkEnd w:id="335"/>
    </w:p>
    <w:p w14:paraId="23CDB307" w14:textId="77777777" w:rsidR="001668DC" w:rsidRPr="00AA4677" w:rsidRDefault="001668DC" w:rsidP="002E327A">
      <w:pPr>
        <w:shd w:val="clear" w:color="auto" w:fill="FFFFFF"/>
        <w:spacing w:after="0" w:line="240" w:lineRule="auto"/>
        <w:rPr>
          <w:rFonts w:eastAsia="Times New Roman" w:cs="Times New Roman"/>
          <w:szCs w:val="24"/>
        </w:rPr>
      </w:pPr>
    </w:p>
    <w:p w14:paraId="3B79E706" w14:textId="1F83F153" w:rsidR="002E327A" w:rsidRPr="00AA4677" w:rsidRDefault="00347259" w:rsidP="002E327A">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8D31D1" w:rsidRPr="00AA4677">
        <w:rPr>
          <w:rFonts w:eastAsia="Times New Roman" w:cs="Times New Roman"/>
          <w:szCs w:val="24"/>
        </w:rPr>
        <w:t>R</w:t>
      </w:r>
      <w:r w:rsidR="008708B7" w:rsidRPr="00AA4677">
        <w:rPr>
          <w:rFonts w:eastAsia="Times New Roman" w:cs="Times New Roman"/>
          <w:szCs w:val="24"/>
        </w:rPr>
        <w:t xml:space="preserve">esearch </w:t>
      </w:r>
      <w:r w:rsidR="008D31D1" w:rsidRPr="00AA4677">
        <w:rPr>
          <w:rFonts w:eastAsia="Times New Roman" w:cs="Times New Roman"/>
          <w:szCs w:val="24"/>
        </w:rPr>
        <w:t>S</w:t>
      </w:r>
      <w:r w:rsidR="008708B7" w:rsidRPr="00AA4677">
        <w:rPr>
          <w:rFonts w:eastAsia="Times New Roman" w:cs="Times New Roman"/>
          <w:szCs w:val="24"/>
        </w:rPr>
        <w:t xml:space="preserve">ubject </w:t>
      </w:r>
      <w:r w:rsidR="008D31D1" w:rsidRPr="00AA4677">
        <w:rPr>
          <w:rFonts w:eastAsia="Times New Roman" w:cs="Times New Roman"/>
          <w:szCs w:val="24"/>
        </w:rPr>
        <w:t>A</w:t>
      </w:r>
      <w:r w:rsidR="008708B7" w:rsidRPr="00AA4677">
        <w:rPr>
          <w:rFonts w:eastAsia="Times New Roman" w:cs="Times New Roman"/>
          <w:szCs w:val="24"/>
        </w:rPr>
        <w:t>dvocate</w:t>
      </w:r>
      <w:r w:rsidR="008D31D1" w:rsidRPr="00AA4677">
        <w:rPr>
          <w:rFonts w:eastAsia="Times New Roman" w:cs="Times New Roman"/>
          <w:szCs w:val="24"/>
        </w:rPr>
        <w:t xml:space="preserve"> </w:t>
      </w:r>
      <w:r w:rsidR="00FC174E" w:rsidRPr="00AA4677">
        <w:rPr>
          <w:rFonts w:eastAsia="Times New Roman" w:cs="Times New Roman"/>
          <w:szCs w:val="24"/>
        </w:rPr>
        <w:t xml:space="preserve">periodically evaluates outreach activities and </w:t>
      </w:r>
      <w:r w:rsidR="008D31D1" w:rsidRPr="00AA4677">
        <w:rPr>
          <w:rFonts w:eastAsia="Times New Roman" w:cs="Times New Roman"/>
          <w:szCs w:val="24"/>
        </w:rPr>
        <w:t xml:space="preserve">revises efforts as deemed </w:t>
      </w:r>
      <w:r w:rsidR="00FC174E" w:rsidRPr="00AA4677">
        <w:rPr>
          <w:rFonts w:eastAsia="Times New Roman" w:cs="Times New Roman"/>
          <w:szCs w:val="24"/>
        </w:rPr>
        <w:t>appropriate. These evaluations take place in an informal, ongoing manner. </w:t>
      </w:r>
      <w:r w:rsidR="00CB1025" w:rsidRPr="00AA4677">
        <w:rPr>
          <w:rFonts w:eastAsia="Times New Roman" w:cs="Times New Roman"/>
          <w:szCs w:val="24"/>
        </w:rPr>
        <w:t xml:space="preserve">One such assessment </w:t>
      </w:r>
      <w:r w:rsidR="008D31D1" w:rsidRPr="00AA4677">
        <w:rPr>
          <w:rFonts w:eastAsia="Times New Roman" w:cs="Times New Roman"/>
          <w:szCs w:val="24"/>
        </w:rPr>
        <w:t xml:space="preserve">of effectiveness is done via review of hits to the above-referenced website after various initiatives. RSA documents these assessments and revisions to the outreach </w:t>
      </w:r>
      <w:proofErr w:type="gramStart"/>
      <w:r w:rsidR="008D31D1" w:rsidRPr="00AA4677">
        <w:rPr>
          <w:rFonts w:eastAsia="Times New Roman" w:cs="Times New Roman"/>
          <w:szCs w:val="24"/>
        </w:rPr>
        <w:t>program, and</w:t>
      </w:r>
      <w:proofErr w:type="gramEnd"/>
      <w:r w:rsidR="008D31D1" w:rsidRPr="00AA4677">
        <w:rPr>
          <w:rFonts w:eastAsia="Times New Roman" w:cs="Times New Roman"/>
          <w:szCs w:val="24"/>
        </w:rPr>
        <w:t xml:space="preserve"> periodically meets with the </w:t>
      </w:r>
      <w:r w:rsidR="00C66572" w:rsidRPr="00AA4677">
        <w:rPr>
          <w:rFonts w:eastAsia="Times New Roman" w:cs="Times New Roman"/>
          <w:szCs w:val="24"/>
        </w:rPr>
        <w:t>AVP-RC</w:t>
      </w:r>
      <w:r w:rsidR="005C33BD" w:rsidRPr="00AA4677">
        <w:rPr>
          <w:rFonts w:eastAsia="Times New Roman" w:cs="Times New Roman"/>
          <w:szCs w:val="24"/>
        </w:rPr>
        <w:t xml:space="preserve"> </w:t>
      </w:r>
      <w:r w:rsidR="008D31D1" w:rsidRPr="00AA4677">
        <w:rPr>
          <w:rFonts w:eastAsia="Times New Roman" w:cs="Times New Roman"/>
          <w:szCs w:val="24"/>
        </w:rPr>
        <w:t xml:space="preserve">to provide an update on the outreach program effectiveness and to address proposed activities and required resources moving forward. </w:t>
      </w:r>
    </w:p>
    <w:p w14:paraId="5956BEA5" w14:textId="77777777" w:rsidR="0095224B" w:rsidRPr="00AA4677" w:rsidRDefault="0095224B" w:rsidP="002E327A">
      <w:pPr>
        <w:shd w:val="clear" w:color="auto" w:fill="FFFFFF"/>
        <w:spacing w:after="0" w:line="240" w:lineRule="auto"/>
        <w:rPr>
          <w:rFonts w:eastAsia="Times New Roman" w:cs="Times New Roman"/>
          <w:szCs w:val="24"/>
        </w:rPr>
      </w:pPr>
    </w:p>
    <w:p w14:paraId="2CA152B3" w14:textId="77777777" w:rsidR="00FC174E" w:rsidRPr="00AA4677" w:rsidRDefault="00FC174E" w:rsidP="005920B2">
      <w:pPr>
        <w:pStyle w:val="Heading1"/>
      </w:pPr>
      <w:bookmarkStart w:id="336" w:name="_Toc192678268"/>
      <w:r w:rsidRPr="00AA4677">
        <w:t>16 Health Insurance Portability and Accountability Act (HIPAA)</w:t>
      </w:r>
      <w:bookmarkEnd w:id="336"/>
    </w:p>
    <w:p w14:paraId="43EE61E3" w14:textId="50FEC2B3" w:rsidR="00FC174E" w:rsidRPr="00AA4677" w:rsidRDefault="00FC174E" w:rsidP="00696B35">
      <w:pPr>
        <w:pStyle w:val="Heading2"/>
      </w:pPr>
      <w:bookmarkStart w:id="337" w:name="_Toc192678269"/>
      <w:r w:rsidRPr="00AA4677">
        <w:t>16.1 Policy</w:t>
      </w:r>
      <w:bookmarkEnd w:id="337"/>
    </w:p>
    <w:p w14:paraId="226FF5CC" w14:textId="5394971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Protected Health Information obtained by </w:t>
      </w:r>
      <w:r w:rsidR="000257FE" w:rsidRPr="00AA4677">
        <w:rPr>
          <w:rFonts w:eastAsia="Times New Roman" w:cs="Times New Roman"/>
          <w:szCs w:val="24"/>
        </w:rPr>
        <w:t>the University</w:t>
      </w:r>
      <w:r w:rsidRPr="00AA4677">
        <w:rPr>
          <w:rFonts w:eastAsia="Times New Roman" w:cs="Times New Roman"/>
          <w:szCs w:val="24"/>
        </w:rPr>
        <w:t xml:space="preserve"> may not be used internally or disclosed to any outside person or organization for research purposes without prior approval of </w:t>
      </w:r>
      <w:r w:rsidR="000257FE"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any other applicable HIPAA privacy and security policies in place at </w:t>
      </w:r>
      <w:r w:rsidR="000257FE" w:rsidRPr="00AA4677">
        <w:rPr>
          <w:rFonts w:eastAsia="Times New Roman" w:cs="Times New Roman"/>
          <w:szCs w:val="24"/>
        </w:rPr>
        <w:t>the University</w:t>
      </w:r>
      <w:r w:rsidRPr="00AA4677">
        <w:rPr>
          <w:rFonts w:eastAsia="Times New Roman" w:cs="Times New Roman"/>
          <w:szCs w:val="24"/>
        </w:rPr>
        <w:t xml:space="preserve"> resulting from our </w:t>
      </w:r>
      <w:proofErr w:type="gramStart"/>
      <w:r w:rsidR="000257FE" w:rsidRPr="00AA4677">
        <w:rPr>
          <w:rFonts w:eastAsia="Times New Roman" w:cs="Times New Roman"/>
          <w:szCs w:val="24"/>
        </w:rPr>
        <w:t>University</w:t>
      </w:r>
      <w:r w:rsidRPr="00AA4677">
        <w:rPr>
          <w:rFonts w:eastAsia="Times New Roman" w:cs="Times New Roman"/>
          <w:szCs w:val="24"/>
        </w:rPr>
        <w:t>’s</w:t>
      </w:r>
      <w:proofErr w:type="gramEnd"/>
      <w:r w:rsidRPr="00AA4677">
        <w:rPr>
          <w:rFonts w:eastAsia="Times New Roman" w:cs="Times New Roman"/>
          <w:szCs w:val="24"/>
        </w:rPr>
        <w:t xml:space="preserve"> status as a ‘hybrid’ covered entity.  </w:t>
      </w:r>
    </w:p>
    <w:p w14:paraId="3C354529" w14:textId="4FC7A2A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following describe the procedures for conducting research at </w:t>
      </w:r>
      <w:r w:rsidR="000257FE" w:rsidRPr="00AA4677">
        <w:rPr>
          <w:rFonts w:eastAsia="Times New Roman" w:cs="Times New Roman"/>
          <w:szCs w:val="24"/>
        </w:rPr>
        <w:t xml:space="preserve">the University </w:t>
      </w:r>
      <w:r w:rsidRPr="00AA4677">
        <w:rPr>
          <w:rFonts w:eastAsia="Times New Roman" w:cs="Times New Roman"/>
          <w:szCs w:val="24"/>
        </w:rPr>
        <w:t>in accordance with the Health Insurance Portability and Accountability Act (HIPAA) of 1996.</w:t>
      </w:r>
    </w:p>
    <w:p w14:paraId="62AB1C9F" w14:textId="77777777" w:rsidR="00FC174E" w:rsidRPr="00AA4677" w:rsidRDefault="00FC174E" w:rsidP="00696B35">
      <w:pPr>
        <w:pStyle w:val="Heading2"/>
      </w:pPr>
      <w:bookmarkStart w:id="338" w:name="_Toc192678270"/>
      <w:r w:rsidRPr="00AA4677">
        <w:lastRenderedPageBreak/>
        <w:t>16.2 Definitions</w:t>
      </w:r>
      <w:bookmarkEnd w:id="338"/>
    </w:p>
    <w:p w14:paraId="1954D8AE" w14:textId="2AC3CA0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Access</w:t>
      </w:r>
      <w:r w:rsidR="000257FE" w:rsidRPr="00AA4677">
        <w:rPr>
          <w:rFonts w:eastAsia="Times New Roman" w:cs="Times New Roman"/>
          <w:b/>
          <w:bCs/>
          <w:szCs w:val="24"/>
        </w:rPr>
        <w:t xml:space="preserve">:  </w:t>
      </w:r>
      <w:r w:rsidR="000257FE" w:rsidRPr="00AA4677">
        <w:rPr>
          <w:rFonts w:eastAsia="Times New Roman" w:cs="Times New Roman"/>
          <w:bCs/>
          <w:szCs w:val="24"/>
        </w:rPr>
        <w:t>T</w:t>
      </w:r>
      <w:r w:rsidRPr="00AA4677">
        <w:rPr>
          <w:rFonts w:eastAsia="Times New Roman" w:cs="Times New Roman"/>
          <w:szCs w:val="24"/>
        </w:rPr>
        <w:t>he mechanism of obtaining or using information electronically, on paper, or other medium for the purpose of performing an official function.</w:t>
      </w:r>
    </w:p>
    <w:p w14:paraId="67094D25" w14:textId="271CDD0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Authorization</w:t>
      </w:r>
      <w:r w:rsidR="000257FE" w:rsidRPr="00AA4677">
        <w:rPr>
          <w:rFonts w:eastAsia="Times New Roman" w:cs="Times New Roman"/>
          <w:b/>
          <w:bCs/>
          <w:szCs w:val="24"/>
        </w:rPr>
        <w:t>:</w:t>
      </w:r>
      <w:r w:rsidR="000257FE" w:rsidRPr="00AA4677">
        <w:rPr>
          <w:rFonts w:eastAsia="Times New Roman" w:cs="Times New Roman"/>
          <w:szCs w:val="24"/>
        </w:rPr>
        <w:t> A d</w:t>
      </w:r>
      <w:r w:rsidRPr="00AA4677">
        <w:rPr>
          <w:rFonts w:eastAsia="Times New Roman" w:cs="Times New Roman"/>
          <w:szCs w:val="24"/>
        </w:rPr>
        <w:t>etailed document that gives covered entities permission to use protected health information for specified purposes, which are generally other than treatment, payment, or health care operations, or to disclose protected health information to a third party specified by the individual.</w:t>
      </w:r>
    </w:p>
    <w:p w14:paraId="6AE17EA6" w14:textId="35671038" w:rsidR="00FC174E" w:rsidRPr="00AA4677" w:rsidRDefault="00FC174E" w:rsidP="000257FE">
      <w:pPr>
        <w:shd w:val="clear" w:color="auto" w:fill="FFFFFF"/>
        <w:spacing w:after="0" w:line="240" w:lineRule="auto"/>
        <w:rPr>
          <w:rFonts w:eastAsia="Times New Roman" w:cs="Times New Roman"/>
          <w:szCs w:val="24"/>
        </w:rPr>
      </w:pPr>
      <w:r w:rsidRPr="00AA4677">
        <w:rPr>
          <w:rFonts w:eastAsia="Times New Roman" w:cs="Times New Roman"/>
          <w:b/>
          <w:bCs/>
          <w:szCs w:val="24"/>
        </w:rPr>
        <w:t>Covered entity</w:t>
      </w:r>
      <w:r w:rsidR="000257FE" w:rsidRPr="00AA4677">
        <w:rPr>
          <w:rFonts w:eastAsia="Times New Roman" w:cs="Times New Roman"/>
          <w:b/>
          <w:bCs/>
          <w:szCs w:val="24"/>
        </w:rPr>
        <w:t>:</w:t>
      </w:r>
      <w:r w:rsidR="000257FE" w:rsidRPr="00AA4677">
        <w:rPr>
          <w:rFonts w:eastAsia="Times New Roman" w:cs="Times New Roman"/>
          <w:szCs w:val="24"/>
        </w:rPr>
        <w:t> T</w:t>
      </w:r>
      <w:r w:rsidRPr="00AA4677">
        <w:rPr>
          <w:rFonts w:eastAsia="Times New Roman" w:cs="Times New Roman"/>
          <w:szCs w:val="24"/>
        </w:rPr>
        <w:t xml:space="preserve">he </w:t>
      </w:r>
      <w:r w:rsidR="000257FE" w:rsidRPr="00AA4677">
        <w:rPr>
          <w:rFonts w:eastAsia="Times New Roman" w:cs="Times New Roman"/>
          <w:szCs w:val="24"/>
        </w:rPr>
        <w:t>t</w:t>
      </w:r>
      <w:r w:rsidRPr="00AA4677">
        <w:rPr>
          <w:rFonts w:eastAsia="Times New Roman" w:cs="Times New Roman"/>
          <w:szCs w:val="24"/>
        </w:rPr>
        <w:t xml:space="preserve">erm </w:t>
      </w:r>
      <w:proofErr w:type="gramStart"/>
      <w:r w:rsidRPr="00AA4677">
        <w:rPr>
          <w:rFonts w:eastAsia="Times New Roman" w:cs="Times New Roman"/>
          <w:szCs w:val="24"/>
        </w:rPr>
        <w:t>applied</w:t>
      </w:r>
      <w:proofErr w:type="gramEnd"/>
      <w:r w:rsidRPr="00AA4677">
        <w:rPr>
          <w:rFonts w:eastAsia="Times New Roman" w:cs="Times New Roman"/>
          <w:szCs w:val="24"/>
        </w:rPr>
        <w:t xml:space="preserve"> to institutions that must comply with the Privacy Rule.  These include:</w:t>
      </w:r>
    </w:p>
    <w:p w14:paraId="67C489F5" w14:textId="1C5BE17D" w:rsidR="00FC174E" w:rsidRPr="00AA4677" w:rsidRDefault="00FC174E">
      <w:pPr>
        <w:pStyle w:val="ListParagraph"/>
        <w:numPr>
          <w:ilvl w:val="0"/>
          <w:numId w:val="117"/>
        </w:numPr>
        <w:shd w:val="clear" w:color="auto" w:fill="FFFFFF"/>
        <w:spacing w:after="0" w:line="240" w:lineRule="auto"/>
        <w:rPr>
          <w:rFonts w:eastAsia="Times New Roman" w:cs="Times New Roman"/>
          <w:szCs w:val="24"/>
        </w:rPr>
      </w:pPr>
      <w:r w:rsidRPr="00AA4677">
        <w:rPr>
          <w:rFonts w:eastAsia="Times New Roman" w:cs="Times New Roman"/>
          <w:szCs w:val="24"/>
        </w:rPr>
        <w:t>Health plans</w:t>
      </w:r>
    </w:p>
    <w:p w14:paraId="79ED6C51" w14:textId="0BE64763" w:rsidR="00FC174E" w:rsidRPr="00AA4677" w:rsidRDefault="00FC174E">
      <w:pPr>
        <w:pStyle w:val="ListParagraph"/>
        <w:numPr>
          <w:ilvl w:val="0"/>
          <w:numId w:val="117"/>
        </w:numPr>
        <w:shd w:val="clear" w:color="auto" w:fill="FFFFFF"/>
        <w:spacing w:after="0" w:line="240" w:lineRule="auto"/>
        <w:rPr>
          <w:rFonts w:eastAsia="Times New Roman" w:cs="Times New Roman"/>
          <w:szCs w:val="24"/>
        </w:rPr>
      </w:pPr>
      <w:r w:rsidRPr="00AA4677">
        <w:rPr>
          <w:rFonts w:eastAsia="Times New Roman" w:cs="Times New Roman"/>
          <w:szCs w:val="24"/>
        </w:rPr>
        <w:t>Health care clearinghouses</w:t>
      </w:r>
    </w:p>
    <w:p w14:paraId="77E4C9BE" w14:textId="0B125CE7" w:rsidR="00380C53" w:rsidRPr="00AA4677" w:rsidRDefault="00FC174E">
      <w:pPr>
        <w:pStyle w:val="ListParagraph"/>
        <w:numPr>
          <w:ilvl w:val="0"/>
          <w:numId w:val="117"/>
        </w:numPr>
        <w:shd w:val="clear" w:color="auto" w:fill="FFFFFF"/>
        <w:spacing w:after="0" w:line="240" w:lineRule="auto"/>
        <w:rPr>
          <w:rFonts w:eastAsia="Times New Roman" w:cs="Times New Roman"/>
          <w:szCs w:val="24"/>
        </w:rPr>
      </w:pPr>
      <w:r w:rsidRPr="00AA4677">
        <w:rPr>
          <w:rFonts w:eastAsia="Times New Roman" w:cs="Times New Roman"/>
          <w:szCs w:val="24"/>
        </w:rPr>
        <w:t>Health care providers who conduct certain financial and administrative transactions electronically. These electronic transactions are those for which standards have been adopted by the Secretary under HIPAA, such as electronic billing and fund transfers.</w:t>
      </w:r>
    </w:p>
    <w:p w14:paraId="5A82C14A" w14:textId="77777777" w:rsidR="00380C53" w:rsidRPr="00AA4677" w:rsidRDefault="00380C53" w:rsidP="00380C53">
      <w:pPr>
        <w:shd w:val="clear" w:color="auto" w:fill="FFFFFF"/>
        <w:spacing w:after="0" w:line="240" w:lineRule="auto"/>
        <w:rPr>
          <w:rFonts w:eastAsia="Times New Roman" w:cs="Times New Roman"/>
          <w:szCs w:val="24"/>
        </w:rPr>
      </w:pPr>
    </w:p>
    <w:p w14:paraId="483982D1" w14:textId="0E7349D9" w:rsidR="00FC174E" w:rsidRPr="00AA4677" w:rsidRDefault="00FC174E" w:rsidP="00380C53">
      <w:pPr>
        <w:rPr>
          <w:sz w:val="48"/>
        </w:rPr>
      </w:pPr>
      <w:r w:rsidRPr="00AA4677">
        <w:rPr>
          <w:rFonts w:eastAsia="Times New Roman" w:cs="Times New Roman"/>
          <w:b/>
          <w:bCs/>
          <w:szCs w:val="24"/>
        </w:rPr>
        <w:t>Common Rule</w:t>
      </w:r>
      <w:r w:rsidR="000257FE" w:rsidRPr="00AA4677">
        <w:rPr>
          <w:rFonts w:eastAsia="Times New Roman" w:cs="Times New Roman"/>
          <w:b/>
          <w:bCs/>
          <w:szCs w:val="24"/>
        </w:rPr>
        <w:t>:</w:t>
      </w:r>
      <w:r w:rsidRPr="00AA4677">
        <w:rPr>
          <w:rFonts w:eastAsia="Times New Roman" w:cs="Times New Roman"/>
          <w:szCs w:val="24"/>
        </w:rPr>
        <w:t> </w:t>
      </w:r>
      <w:r w:rsidR="000257FE" w:rsidRPr="00AA4677">
        <w:rPr>
          <w:rFonts w:eastAsia="Times New Roman" w:cs="Times New Roman"/>
          <w:szCs w:val="24"/>
        </w:rPr>
        <w:t>A</w:t>
      </w:r>
      <w:r w:rsidRPr="00AA4677">
        <w:rPr>
          <w:rFonts w:eastAsia="Times New Roman" w:cs="Times New Roman"/>
          <w:szCs w:val="24"/>
        </w:rPr>
        <w:t xml:space="preserve"> federal </w:t>
      </w:r>
      <w:r w:rsidR="000257FE" w:rsidRPr="00AA4677">
        <w:rPr>
          <w:rFonts w:eastAsia="Times New Roman" w:cs="Times New Roman"/>
          <w:szCs w:val="24"/>
        </w:rPr>
        <w:t>p</w:t>
      </w:r>
      <w:r w:rsidRPr="00AA4677">
        <w:rPr>
          <w:rFonts w:eastAsia="Times New Roman" w:cs="Times New Roman"/>
          <w:szCs w:val="24"/>
        </w:rPr>
        <w:t xml:space="preserve">olicy on </w:t>
      </w:r>
      <w:proofErr w:type="gramStart"/>
      <w:r w:rsidRPr="00AA4677">
        <w:rPr>
          <w:rFonts w:eastAsia="Times New Roman" w:cs="Times New Roman"/>
          <w:szCs w:val="24"/>
        </w:rPr>
        <w:t>human subject</w:t>
      </w:r>
      <w:proofErr w:type="gramEnd"/>
      <w:r w:rsidRPr="00AA4677">
        <w:rPr>
          <w:rFonts w:eastAsia="Times New Roman" w:cs="Times New Roman"/>
          <w:szCs w:val="24"/>
        </w:rPr>
        <w:t xml:space="preserve"> protection that provides for the primary source of regulation of research.</w:t>
      </w:r>
    </w:p>
    <w:p w14:paraId="615C6563" w14:textId="500A747A"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De-Identified Information</w:t>
      </w:r>
      <w:r w:rsidR="000257FE" w:rsidRPr="00AA4677">
        <w:rPr>
          <w:rFonts w:eastAsia="Times New Roman" w:cs="Times New Roman"/>
          <w:b/>
          <w:bCs/>
          <w:szCs w:val="24"/>
        </w:rPr>
        <w:t xml:space="preserve">: </w:t>
      </w:r>
      <w:r w:rsidR="000257FE" w:rsidRPr="00AA4677">
        <w:rPr>
          <w:rFonts w:eastAsia="Times New Roman" w:cs="Times New Roman"/>
          <w:szCs w:val="24"/>
        </w:rPr>
        <w:t>H</w:t>
      </w:r>
      <w:r w:rsidRPr="00AA4677">
        <w:rPr>
          <w:rFonts w:eastAsia="Times New Roman" w:cs="Times New Roman"/>
          <w:szCs w:val="24"/>
        </w:rPr>
        <w:t>ealth information that does not identify an individual</w:t>
      </w:r>
      <w:r w:rsidR="004E2EDD" w:rsidRPr="00AA4677">
        <w:rPr>
          <w:rFonts w:eastAsia="Times New Roman" w:cs="Times New Roman"/>
          <w:szCs w:val="24"/>
        </w:rPr>
        <w:t xml:space="preserve">. In other words, </w:t>
      </w:r>
      <w:r w:rsidRPr="00AA4677">
        <w:rPr>
          <w:rFonts w:eastAsia="Times New Roman" w:cs="Times New Roman"/>
          <w:szCs w:val="24"/>
        </w:rPr>
        <w:t>there is no reasonable basis to believe that the information can be used to identify an individual. If</w:t>
      </w:r>
      <w:r w:rsidR="000257FE" w:rsidRPr="00AA4677">
        <w:rPr>
          <w:rFonts w:eastAsia="Times New Roman" w:cs="Times New Roman"/>
          <w:szCs w:val="24"/>
        </w:rPr>
        <w:t xml:space="preserve"> information is de-identified </w:t>
      </w:r>
      <w:r w:rsidRPr="00AA4677">
        <w:rPr>
          <w:rFonts w:eastAsia="Times New Roman" w:cs="Times New Roman"/>
          <w:szCs w:val="24"/>
        </w:rPr>
        <w:t xml:space="preserve">it no longer is subject to the Privacy Rule and </w:t>
      </w:r>
      <w:r w:rsidR="004E2EDD" w:rsidRPr="00AA4677">
        <w:rPr>
          <w:rFonts w:eastAsia="Times New Roman" w:cs="Times New Roman"/>
          <w:szCs w:val="24"/>
        </w:rPr>
        <w:t xml:space="preserve">is </w:t>
      </w:r>
      <w:r w:rsidRPr="00AA4677">
        <w:rPr>
          <w:rFonts w:eastAsia="Times New Roman" w:cs="Times New Roman"/>
          <w:szCs w:val="24"/>
        </w:rPr>
        <w:t>exempt from HIPAA</w:t>
      </w:r>
      <w:r w:rsidR="004E2EDD" w:rsidRPr="00AA4677">
        <w:rPr>
          <w:rFonts w:eastAsia="Times New Roman" w:cs="Times New Roman"/>
          <w:szCs w:val="24"/>
        </w:rPr>
        <w:t xml:space="preserve"> requirements</w:t>
      </w:r>
      <w:r w:rsidRPr="00AA4677">
        <w:rPr>
          <w:rFonts w:eastAsia="Times New Roman" w:cs="Times New Roman"/>
          <w:szCs w:val="24"/>
        </w:rPr>
        <w:t>.</w:t>
      </w:r>
    </w:p>
    <w:p w14:paraId="30AA8286" w14:textId="049AD2F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Deletion</w:t>
      </w:r>
      <w:r w:rsidR="000257FE" w:rsidRPr="00AA4677">
        <w:rPr>
          <w:rFonts w:eastAsia="Times New Roman" w:cs="Times New Roman"/>
          <w:b/>
          <w:bCs/>
          <w:szCs w:val="24"/>
        </w:rPr>
        <w:t xml:space="preserve">: </w:t>
      </w:r>
      <w:r w:rsidR="000257FE" w:rsidRPr="00AA4677">
        <w:rPr>
          <w:rFonts w:eastAsia="Times New Roman" w:cs="Times New Roman"/>
          <w:szCs w:val="24"/>
        </w:rPr>
        <w:t>T</w:t>
      </w:r>
      <w:r w:rsidRPr="00AA4677">
        <w:rPr>
          <w:rFonts w:eastAsia="Times New Roman" w:cs="Times New Roman"/>
          <w:szCs w:val="24"/>
        </w:rPr>
        <w:t>he removal, erasing, or expunging information or data from a record.</w:t>
      </w:r>
    </w:p>
    <w:p w14:paraId="185E1650" w14:textId="18140676"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Disclosure</w:t>
      </w:r>
      <w:r w:rsidR="000257FE" w:rsidRPr="00AA4677">
        <w:rPr>
          <w:rFonts w:eastAsia="Times New Roman" w:cs="Times New Roman"/>
          <w:b/>
          <w:bCs/>
          <w:szCs w:val="24"/>
        </w:rPr>
        <w:t xml:space="preserve">: </w:t>
      </w:r>
      <w:r w:rsidR="000257FE" w:rsidRPr="00AA4677">
        <w:rPr>
          <w:rFonts w:eastAsia="Times New Roman" w:cs="Times New Roman"/>
          <w:bCs/>
          <w:szCs w:val="24"/>
        </w:rPr>
        <w:t>T</w:t>
      </w:r>
      <w:r w:rsidRPr="00AA4677">
        <w:rPr>
          <w:rFonts w:eastAsia="Times New Roman" w:cs="Times New Roman"/>
          <w:szCs w:val="24"/>
        </w:rPr>
        <w:t>he release, transfer, provision of access to, or divulging in any other manner information outside of the covered entity.</w:t>
      </w:r>
    </w:p>
    <w:p w14:paraId="6C8AC769" w14:textId="256B486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Health Information.</w:t>
      </w:r>
      <w:r w:rsidRPr="00AA4677">
        <w:rPr>
          <w:rFonts w:eastAsia="Times New Roman" w:cs="Times New Roman"/>
          <w:szCs w:val="24"/>
        </w:rPr>
        <w:t> </w:t>
      </w:r>
      <w:r w:rsidR="000257FE" w:rsidRPr="00AA4677">
        <w:rPr>
          <w:rFonts w:eastAsia="Times New Roman" w:cs="Times New Roman"/>
          <w:szCs w:val="24"/>
        </w:rPr>
        <w:t>A</w:t>
      </w:r>
      <w:r w:rsidRPr="00AA4677">
        <w:rPr>
          <w:rFonts w:eastAsia="Times New Roman" w:cs="Times New Roman"/>
          <w:szCs w:val="24"/>
        </w:rPr>
        <w:t>ny information created or received by a health care provider or health plan that relates to the past, present, or future physical or mental health or condition of an individual; the provision of health care to an individual; or payment for the provision of health care to an individual.</w:t>
      </w:r>
    </w:p>
    <w:p w14:paraId="23110ADF" w14:textId="5F31428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Individually Identifiable Health Information (IIHI)</w:t>
      </w:r>
      <w:r w:rsidR="000257FE" w:rsidRPr="00AA4677">
        <w:rPr>
          <w:rFonts w:eastAsia="Times New Roman" w:cs="Times New Roman"/>
          <w:b/>
          <w:bCs/>
          <w:szCs w:val="24"/>
        </w:rPr>
        <w:t xml:space="preserve">:  </w:t>
      </w:r>
      <w:r w:rsidR="000257FE" w:rsidRPr="00AA4677">
        <w:rPr>
          <w:rFonts w:eastAsia="Times New Roman" w:cs="Times New Roman"/>
          <w:bCs/>
          <w:szCs w:val="24"/>
        </w:rPr>
        <w:t>A</w:t>
      </w:r>
      <w:r w:rsidRPr="00AA4677">
        <w:rPr>
          <w:rFonts w:eastAsia="Times New Roman" w:cs="Times New Roman"/>
          <w:szCs w:val="24"/>
        </w:rPr>
        <w:t xml:space="preserve"> subset of health information, including demographic information collected from an individual that identifies the individual (either directly, or through codes/identifiers).</w:t>
      </w:r>
    </w:p>
    <w:p w14:paraId="5FDACD13" w14:textId="5D9C723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lastRenderedPageBreak/>
        <w:t>Limited Data Set</w:t>
      </w:r>
      <w:r w:rsidR="000257FE" w:rsidRPr="00AA4677">
        <w:rPr>
          <w:rFonts w:eastAsia="Times New Roman" w:cs="Times New Roman"/>
          <w:b/>
          <w:bCs/>
          <w:szCs w:val="24"/>
        </w:rPr>
        <w:t>:</w:t>
      </w:r>
      <w:r w:rsidRPr="00AA4677">
        <w:rPr>
          <w:rFonts w:eastAsia="Times New Roman" w:cs="Times New Roman"/>
          <w:szCs w:val="24"/>
        </w:rPr>
        <w:t> </w:t>
      </w:r>
      <w:r w:rsidR="000257FE" w:rsidRPr="00AA4677">
        <w:rPr>
          <w:rFonts w:eastAsia="Times New Roman" w:cs="Times New Roman"/>
          <w:szCs w:val="24"/>
        </w:rPr>
        <w:t>P</w:t>
      </w:r>
      <w:r w:rsidRPr="00AA4677">
        <w:rPr>
          <w:rFonts w:eastAsia="Times New Roman" w:cs="Times New Roman"/>
          <w:szCs w:val="24"/>
        </w:rPr>
        <w:t>rotected health information that excludes specific direct identifiers of the individual or of relatives, employees or household members of an individual. A limited data set can only be used for the purposes of research, public health, or healthcare operations, and disclosed for the purpose of research.</w:t>
      </w:r>
    </w:p>
    <w:p w14:paraId="67FA375A" w14:textId="1B43103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Minimum Necessary</w:t>
      </w:r>
      <w:r w:rsidR="000257FE" w:rsidRPr="00AA4677">
        <w:rPr>
          <w:rFonts w:eastAsia="Times New Roman" w:cs="Times New Roman"/>
          <w:b/>
          <w:bCs/>
          <w:szCs w:val="24"/>
        </w:rPr>
        <w:t>:</w:t>
      </w:r>
      <w:r w:rsidRPr="00AA4677">
        <w:rPr>
          <w:rFonts w:eastAsia="Times New Roman" w:cs="Times New Roman"/>
          <w:szCs w:val="24"/>
        </w:rPr>
        <w:t> </w:t>
      </w:r>
      <w:r w:rsidR="000257FE" w:rsidRPr="00AA4677">
        <w:rPr>
          <w:rFonts w:eastAsia="Times New Roman" w:cs="Times New Roman"/>
          <w:szCs w:val="24"/>
        </w:rPr>
        <w:t xml:space="preserve"> T</w:t>
      </w:r>
      <w:r w:rsidRPr="00AA4677">
        <w:rPr>
          <w:rFonts w:eastAsia="Times New Roman" w:cs="Times New Roman"/>
          <w:szCs w:val="24"/>
        </w:rPr>
        <w:t>he principle that any access should be limited to the minimum amount of information needed to accomplish the intended purpose of the use or disclosure.</w:t>
      </w:r>
    </w:p>
    <w:p w14:paraId="052A75A7" w14:textId="0674746B"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Privacy Board</w:t>
      </w:r>
      <w:r w:rsidR="000257FE" w:rsidRPr="00AA4677">
        <w:rPr>
          <w:rFonts w:eastAsia="Times New Roman" w:cs="Times New Roman"/>
          <w:b/>
          <w:bCs/>
          <w:szCs w:val="24"/>
        </w:rPr>
        <w:t xml:space="preserve">:  </w:t>
      </w:r>
      <w:r w:rsidR="000257FE" w:rsidRPr="00AA4677">
        <w:rPr>
          <w:rFonts w:eastAsia="Times New Roman" w:cs="Times New Roman"/>
          <w:bCs/>
          <w:szCs w:val="24"/>
        </w:rPr>
        <w:t>T</w:t>
      </w:r>
      <w:r w:rsidRPr="00AA4677">
        <w:rPr>
          <w:rFonts w:eastAsia="Times New Roman" w:cs="Times New Roman"/>
          <w:szCs w:val="24"/>
        </w:rPr>
        <w:t>he term used to describe a board comprised of members of varying backgrounds and appropriate professional competencies, as necessary, to review</w:t>
      </w:r>
      <w:r w:rsidR="000257FE" w:rsidRPr="00AA4677">
        <w:rPr>
          <w:rFonts w:eastAsia="Times New Roman" w:cs="Times New Roman"/>
          <w:szCs w:val="24"/>
        </w:rPr>
        <w:t xml:space="preserve"> individual’s private rights.  The </w:t>
      </w:r>
      <w:r w:rsidR="00EE7207" w:rsidRPr="00AA4677">
        <w:rPr>
          <w:rFonts w:eastAsia="Times New Roman" w:cs="Times New Roman"/>
          <w:szCs w:val="24"/>
        </w:rPr>
        <w:t>IRB</w:t>
      </w:r>
      <w:r w:rsidRPr="00AA4677">
        <w:rPr>
          <w:rFonts w:eastAsia="Times New Roman" w:cs="Times New Roman"/>
          <w:szCs w:val="24"/>
        </w:rPr>
        <w:t xml:space="preserve"> is </w:t>
      </w:r>
      <w:r w:rsidR="000257FE" w:rsidRPr="00AA4677">
        <w:rPr>
          <w:rFonts w:eastAsia="Times New Roman" w:cs="Times New Roman"/>
          <w:szCs w:val="24"/>
        </w:rPr>
        <w:t>the University</w:t>
      </w:r>
      <w:r w:rsidRPr="00AA4677">
        <w:rPr>
          <w:rFonts w:eastAsia="Times New Roman" w:cs="Times New Roman"/>
          <w:szCs w:val="24"/>
        </w:rPr>
        <w:t>’s privacy board.</w:t>
      </w:r>
    </w:p>
    <w:p w14:paraId="48F0481B" w14:textId="1B19320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Privacy Act</w:t>
      </w:r>
      <w:r w:rsidR="000257FE" w:rsidRPr="00AA4677">
        <w:rPr>
          <w:rFonts w:eastAsia="Times New Roman" w:cs="Times New Roman"/>
          <w:b/>
          <w:bCs/>
          <w:szCs w:val="24"/>
        </w:rPr>
        <w:t>:</w:t>
      </w:r>
      <w:r w:rsidRPr="00AA4677">
        <w:rPr>
          <w:rFonts w:eastAsia="Times New Roman" w:cs="Times New Roman"/>
          <w:szCs w:val="24"/>
        </w:rPr>
        <w:t> </w:t>
      </w:r>
      <w:r w:rsidR="000257FE" w:rsidRPr="00AA4677">
        <w:rPr>
          <w:rFonts w:eastAsia="Times New Roman" w:cs="Times New Roman"/>
          <w:szCs w:val="24"/>
        </w:rPr>
        <w:t xml:space="preserve"> A</w:t>
      </w:r>
      <w:r w:rsidRPr="00AA4677">
        <w:rPr>
          <w:rFonts w:eastAsia="Times New Roman" w:cs="Times New Roman"/>
          <w:szCs w:val="24"/>
        </w:rPr>
        <w:t>n act that provides for the confidentiality of individually identified and retrieved information about living individuals that is maintained in a system of records and permits the disclosure of records only when specifically authorized by the statute. The Act provides that the collection of information about individuals is limited to that which is legally authorized, relevant, and necessary.</w:t>
      </w:r>
    </w:p>
    <w:p w14:paraId="450B15BD" w14:textId="2CEFD15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Privacy Rule</w:t>
      </w:r>
      <w:r w:rsidR="000257FE" w:rsidRPr="00AA4677">
        <w:rPr>
          <w:rFonts w:eastAsia="Times New Roman" w:cs="Times New Roman"/>
          <w:b/>
          <w:bCs/>
          <w:szCs w:val="24"/>
        </w:rPr>
        <w:t xml:space="preserve">:  </w:t>
      </w:r>
      <w:r w:rsidR="000257FE" w:rsidRPr="00AA4677">
        <w:rPr>
          <w:rFonts w:eastAsia="Times New Roman" w:cs="Times New Roman"/>
          <w:bCs/>
          <w:szCs w:val="24"/>
        </w:rPr>
        <w:t>P</w:t>
      </w:r>
      <w:r w:rsidRPr="00AA4677">
        <w:rPr>
          <w:rFonts w:eastAsia="Times New Roman" w:cs="Times New Roman"/>
          <w:szCs w:val="24"/>
        </w:rPr>
        <w:t xml:space="preserve">rovides guidance on the use of protected health information in the conduct of research. It imposes requirements on those involved in research, both individuals and institutions.  Privacy refers to a person’s desire to control the access of others to themselves.  The evaluation of privacy involves consideration of how the investigator will access information from or about </w:t>
      </w:r>
      <w:r w:rsidR="00BF7470" w:rsidRPr="00AA4677">
        <w:rPr>
          <w:rFonts w:eastAsia="Times New Roman" w:cs="Times New Roman"/>
          <w:szCs w:val="24"/>
        </w:rPr>
        <w:t>subject</w:t>
      </w:r>
      <w:r w:rsidRPr="00AA4677">
        <w:rPr>
          <w:rFonts w:eastAsia="Times New Roman" w:cs="Times New Roman"/>
          <w:szCs w:val="24"/>
        </w:rPr>
        <w:t xml:space="preserve">s. The </w:t>
      </w:r>
      <w:r w:rsidR="004E2EDD" w:rsidRPr="00AA4677">
        <w:rPr>
          <w:rFonts w:eastAsia="Times New Roman" w:cs="Times New Roman"/>
          <w:szCs w:val="24"/>
        </w:rPr>
        <w:t>IRB members should use</w:t>
      </w:r>
      <w:r w:rsidRPr="00AA4677">
        <w:rPr>
          <w:rFonts w:eastAsia="Times New Roman" w:cs="Times New Roman"/>
          <w:szCs w:val="24"/>
        </w:rPr>
        <w:t xml:space="preserve"> strategies to protect privacy interests relating to contact with potential </w:t>
      </w:r>
      <w:r w:rsidR="00BF7470" w:rsidRPr="00AA4677">
        <w:rPr>
          <w:rFonts w:eastAsia="Times New Roman" w:cs="Times New Roman"/>
          <w:szCs w:val="24"/>
        </w:rPr>
        <w:t>subject</w:t>
      </w:r>
      <w:r w:rsidRPr="00AA4677">
        <w:rPr>
          <w:rFonts w:eastAsia="Times New Roman" w:cs="Times New Roman"/>
          <w:szCs w:val="24"/>
        </w:rPr>
        <w:t>s, and access to private information.</w:t>
      </w:r>
    </w:p>
    <w:p w14:paraId="554DDD02" w14:textId="6F977B4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Protected </w:t>
      </w:r>
      <w:r w:rsidR="000257FE" w:rsidRPr="00AA4677">
        <w:rPr>
          <w:rFonts w:eastAsia="Times New Roman" w:cs="Times New Roman"/>
          <w:b/>
          <w:bCs/>
          <w:szCs w:val="24"/>
        </w:rPr>
        <w:t xml:space="preserve">Health Information:  </w:t>
      </w:r>
      <w:r w:rsidR="000257FE" w:rsidRPr="00AA4677">
        <w:rPr>
          <w:rFonts w:eastAsia="Times New Roman" w:cs="Times New Roman"/>
          <w:bCs/>
          <w:szCs w:val="24"/>
        </w:rPr>
        <w:t>In</w:t>
      </w:r>
      <w:r w:rsidRPr="00AA4677">
        <w:rPr>
          <w:rFonts w:eastAsia="Times New Roman" w:cs="Times New Roman"/>
          <w:szCs w:val="24"/>
        </w:rPr>
        <w:t>dividually identifiable health information transmitted or maintained electronically or in any other form or medium, except for education records or employment records, as excluded in the Privacy Rule.</w:t>
      </w:r>
    </w:p>
    <w:p w14:paraId="27247E67" w14:textId="5571D40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Preparatory </w:t>
      </w:r>
      <w:r w:rsidR="00BD0F3F" w:rsidRPr="00AA4677">
        <w:rPr>
          <w:rFonts w:eastAsia="Times New Roman" w:cs="Times New Roman"/>
          <w:b/>
          <w:bCs/>
          <w:szCs w:val="24"/>
        </w:rPr>
        <w:t xml:space="preserve">to </w:t>
      </w:r>
      <w:r w:rsidRPr="00AA4677">
        <w:rPr>
          <w:rFonts w:eastAsia="Times New Roman" w:cs="Times New Roman"/>
          <w:b/>
          <w:bCs/>
          <w:szCs w:val="24"/>
        </w:rPr>
        <w:t>Research</w:t>
      </w:r>
      <w:r w:rsidR="000257FE" w:rsidRPr="00AA4677">
        <w:rPr>
          <w:rFonts w:eastAsia="Times New Roman" w:cs="Times New Roman"/>
          <w:b/>
          <w:bCs/>
          <w:szCs w:val="24"/>
        </w:rPr>
        <w:t>:</w:t>
      </w:r>
      <w:r w:rsidRPr="00AA4677">
        <w:rPr>
          <w:rFonts w:eastAsia="Times New Roman" w:cs="Times New Roman"/>
          <w:szCs w:val="24"/>
        </w:rPr>
        <w:t> </w:t>
      </w:r>
      <w:r w:rsidR="000257FE" w:rsidRPr="00AA4677">
        <w:rPr>
          <w:rFonts w:eastAsia="Times New Roman" w:cs="Times New Roman"/>
          <w:szCs w:val="24"/>
        </w:rPr>
        <w:t xml:space="preserve"> T</w:t>
      </w:r>
      <w:r w:rsidRPr="00AA4677">
        <w:rPr>
          <w:rFonts w:eastAsia="Times New Roman" w:cs="Times New Roman"/>
          <w:szCs w:val="24"/>
        </w:rPr>
        <w:t>he method applied to developing or designing a research study.</w:t>
      </w:r>
    </w:p>
    <w:p w14:paraId="241ED989" w14:textId="59D75F95" w:rsidR="0095224B"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Waiver of Authorization</w:t>
      </w:r>
      <w:r w:rsidR="000257FE" w:rsidRPr="00AA4677">
        <w:rPr>
          <w:rFonts w:eastAsia="Times New Roman" w:cs="Times New Roman"/>
          <w:b/>
          <w:bCs/>
          <w:szCs w:val="24"/>
        </w:rPr>
        <w:t xml:space="preserve">:  </w:t>
      </w:r>
      <w:r w:rsidR="000257FE" w:rsidRPr="00AA4677">
        <w:rPr>
          <w:rFonts w:eastAsia="Times New Roman" w:cs="Times New Roman"/>
          <w:bCs/>
          <w:szCs w:val="24"/>
        </w:rPr>
        <w:t>A</w:t>
      </w:r>
      <w:r w:rsidRPr="00AA4677">
        <w:rPr>
          <w:rFonts w:eastAsia="Times New Roman" w:cs="Times New Roman"/>
          <w:szCs w:val="24"/>
        </w:rPr>
        <w:t xml:space="preserve"> means of requesting approval from </w:t>
      </w:r>
      <w:r w:rsidR="000257FE"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(as the Privacy Board) rather than asking each research subject for an authorization to access protected health information.</w:t>
      </w:r>
    </w:p>
    <w:p w14:paraId="54731912" w14:textId="77777777" w:rsidR="00FC174E" w:rsidRPr="00AA4677" w:rsidRDefault="00FC174E" w:rsidP="005920B2">
      <w:pPr>
        <w:pStyle w:val="Heading1"/>
      </w:pPr>
      <w:bookmarkStart w:id="339" w:name="_Toc192678271"/>
      <w:r w:rsidRPr="00AA4677">
        <w:t>16.3 Historical Background</w:t>
      </w:r>
      <w:bookmarkEnd w:id="339"/>
    </w:p>
    <w:p w14:paraId="30FD4E24" w14:textId="0DA6E6C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w:t>
      </w:r>
      <w:r w:rsidRPr="00AA4677">
        <w:rPr>
          <w:rFonts w:eastAsia="Times New Roman" w:cs="Times New Roman"/>
          <w:i/>
          <w:iCs/>
          <w:szCs w:val="24"/>
        </w:rPr>
        <w:t>Health Insurance Portability and Accountability Act of 1996</w:t>
      </w:r>
      <w:r w:rsidRPr="00AA4677">
        <w:rPr>
          <w:rFonts w:eastAsia="Times New Roman" w:cs="Times New Roman"/>
          <w:szCs w:val="24"/>
        </w:rPr>
        <w:t> (HIPAA) required the creation of a Privacy Rule for identifiable health information. While the main im</w:t>
      </w:r>
      <w:r w:rsidR="004E2EDD" w:rsidRPr="00AA4677">
        <w:rPr>
          <w:rFonts w:eastAsia="Times New Roman" w:cs="Times New Roman"/>
          <w:szCs w:val="24"/>
        </w:rPr>
        <w:t>pact of the Privacy Rule is</w:t>
      </w:r>
      <w:r w:rsidRPr="00AA4677">
        <w:rPr>
          <w:rFonts w:eastAsia="Times New Roman" w:cs="Times New Roman"/>
          <w:szCs w:val="24"/>
        </w:rPr>
        <w:t xml:space="preserve"> on the routine provision of and billing</w:t>
      </w:r>
      <w:r w:rsidR="004E2EDD" w:rsidRPr="00AA4677">
        <w:rPr>
          <w:rFonts w:eastAsia="Times New Roman" w:cs="Times New Roman"/>
          <w:szCs w:val="24"/>
        </w:rPr>
        <w:t xml:space="preserve"> for health care, the Rule </w:t>
      </w:r>
      <w:r w:rsidRPr="00AA4677">
        <w:rPr>
          <w:rFonts w:eastAsia="Times New Roman" w:cs="Times New Roman"/>
          <w:szCs w:val="24"/>
        </w:rPr>
        <w:t>also affect</w:t>
      </w:r>
      <w:r w:rsidR="004E2EDD" w:rsidRPr="00AA4677">
        <w:rPr>
          <w:rFonts w:eastAsia="Times New Roman" w:cs="Times New Roman"/>
          <w:szCs w:val="24"/>
        </w:rPr>
        <w:t>s</w:t>
      </w:r>
      <w:r w:rsidRPr="00AA4677">
        <w:rPr>
          <w:rFonts w:eastAsia="Times New Roman" w:cs="Times New Roman"/>
          <w:szCs w:val="24"/>
        </w:rPr>
        <w:t xml:space="preserve"> the conduct and oversight </w:t>
      </w:r>
      <w:r w:rsidRPr="00AA4677">
        <w:rPr>
          <w:rFonts w:eastAsia="Times New Roman" w:cs="Times New Roman"/>
          <w:szCs w:val="24"/>
        </w:rPr>
        <w:lastRenderedPageBreak/>
        <w:t xml:space="preserve">of research. </w:t>
      </w:r>
      <w:r w:rsidR="007E68D3" w:rsidRPr="00AA4677">
        <w:rPr>
          <w:rFonts w:eastAsia="Times New Roman" w:cs="Times New Roman"/>
          <w:szCs w:val="24"/>
        </w:rPr>
        <w:t>Investigator</w:t>
      </w:r>
      <w:r w:rsidRPr="00AA4677">
        <w:rPr>
          <w:rFonts w:eastAsia="Times New Roman" w:cs="Times New Roman"/>
          <w:szCs w:val="24"/>
        </w:rPr>
        <w:t xml:space="preserve">s, </w:t>
      </w:r>
      <w:r w:rsidR="000257FE" w:rsidRPr="00AA4677">
        <w:rPr>
          <w:rFonts w:eastAsia="Times New Roman" w:cs="Times New Roman"/>
          <w:szCs w:val="24"/>
        </w:rPr>
        <w:t>IRB</w:t>
      </w:r>
      <w:r w:rsidRPr="00AA4677">
        <w:rPr>
          <w:rFonts w:eastAsia="Times New Roman" w:cs="Times New Roman"/>
          <w:szCs w:val="24"/>
        </w:rPr>
        <w:t xml:space="preserve"> staff and </w:t>
      </w:r>
      <w:r w:rsidR="00EE7207" w:rsidRPr="00AA4677">
        <w:rPr>
          <w:rFonts w:eastAsia="Times New Roman" w:cs="Times New Roman"/>
          <w:szCs w:val="24"/>
        </w:rPr>
        <w:t>IRB</w:t>
      </w:r>
      <w:r w:rsidR="000257FE" w:rsidRPr="00AA4677">
        <w:rPr>
          <w:rFonts w:eastAsia="Times New Roman" w:cs="Times New Roman"/>
          <w:szCs w:val="24"/>
        </w:rPr>
        <w:t xml:space="preserve"> </w:t>
      </w:r>
      <w:r w:rsidRPr="00AA4677">
        <w:rPr>
          <w:rFonts w:eastAsia="Times New Roman" w:cs="Times New Roman"/>
          <w:szCs w:val="24"/>
        </w:rPr>
        <w:t>members</w:t>
      </w:r>
      <w:r w:rsidR="00161342" w:rsidRPr="00AA4677">
        <w:rPr>
          <w:rFonts w:eastAsia="Times New Roman" w:cs="Times New Roman"/>
          <w:szCs w:val="24"/>
        </w:rPr>
        <w:t>,</w:t>
      </w:r>
      <w:r w:rsidRPr="00AA4677">
        <w:rPr>
          <w:rFonts w:eastAsia="Times New Roman" w:cs="Times New Roman"/>
          <w:szCs w:val="24"/>
        </w:rPr>
        <w:t xml:space="preserve"> as well as research administration</w:t>
      </w:r>
      <w:r w:rsidR="00161342" w:rsidRPr="00AA4677">
        <w:rPr>
          <w:rFonts w:eastAsia="Times New Roman" w:cs="Times New Roman"/>
          <w:szCs w:val="24"/>
        </w:rPr>
        <w:t>,</w:t>
      </w:r>
      <w:r w:rsidR="004E2EDD" w:rsidRPr="00AA4677">
        <w:rPr>
          <w:rFonts w:eastAsia="Times New Roman" w:cs="Times New Roman"/>
          <w:szCs w:val="24"/>
        </w:rPr>
        <w:t xml:space="preserve"> must be aware of this information</w:t>
      </w:r>
      <w:r w:rsidRPr="00AA4677">
        <w:rPr>
          <w:rFonts w:eastAsia="Times New Roman" w:cs="Times New Roman"/>
          <w:szCs w:val="24"/>
        </w:rPr>
        <w:t>.</w:t>
      </w:r>
    </w:p>
    <w:p w14:paraId="00AB79B9" w14:textId="77777777" w:rsidR="00FC174E" w:rsidRPr="00AA4677" w:rsidRDefault="00FC174E" w:rsidP="00696B35">
      <w:pPr>
        <w:pStyle w:val="Heading2"/>
      </w:pPr>
      <w:bookmarkStart w:id="340" w:name="_Toc192678272"/>
      <w:r w:rsidRPr="00AA4677">
        <w:t>16.4 Research under HIPAA</w:t>
      </w:r>
      <w:bookmarkEnd w:id="340"/>
    </w:p>
    <w:p w14:paraId="3A36C6CC" w14:textId="290184D0" w:rsidR="00055CCD" w:rsidRPr="00AA4677" w:rsidRDefault="00FC174E" w:rsidP="004E2EDD">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HIPAA defines research as "a systematic investigation, including research development, testing, and evaluation, designed to develop or contribute to generalizable knowledge." This definition is identical with the one used in the “Common Rule.” </w:t>
      </w:r>
    </w:p>
    <w:p w14:paraId="7A5A0E0C" w14:textId="6EFA1767" w:rsidR="00FC174E" w:rsidRPr="00AA4677" w:rsidRDefault="00FC174E" w:rsidP="00C57C98">
      <w:pPr>
        <w:pStyle w:val="Heading3"/>
      </w:pPr>
      <w:r w:rsidRPr="00AA4677">
        <w:t>16.4.1 Effects of HIPAA on Research</w:t>
      </w:r>
    </w:p>
    <w:p w14:paraId="6BD9D8D2"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Privacy Rule does not make any changes to the Common Rule. However, it does contain several provisions that resemble provisions of the Common Rule and does </w:t>
      </w:r>
      <w:proofErr w:type="gramStart"/>
      <w:r w:rsidRPr="00AA4677">
        <w:rPr>
          <w:rFonts w:eastAsia="Times New Roman" w:cs="Times New Roman"/>
          <w:szCs w:val="24"/>
        </w:rPr>
        <w:t>make reference</w:t>
      </w:r>
      <w:proofErr w:type="gramEnd"/>
      <w:r w:rsidRPr="00AA4677">
        <w:rPr>
          <w:rFonts w:eastAsia="Times New Roman" w:cs="Times New Roman"/>
          <w:szCs w:val="24"/>
        </w:rPr>
        <w:t xml:space="preserve"> to those provisions.</w:t>
      </w:r>
    </w:p>
    <w:p w14:paraId="1F5FD0E0" w14:textId="7C663A2C" w:rsidR="00FC174E" w:rsidRPr="00AA4677" w:rsidRDefault="00161342"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w:t>
      </w:r>
      <w:r w:rsidR="00FC174E" w:rsidRPr="00AA4677">
        <w:rPr>
          <w:rFonts w:eastAsia="Times New Roman" w:cs="Times New Roman"/>
          <w:szCs w:val="24"/>
        </w:rPr>
        <w:t xml:space="preserve"> University is a hybrid covered entity under HIPAA because it consists of components that are (e.g. health care providers in the University Hospital) an</w:t>
      </w:r>
      <w:r w:rsidRPr="00AA4677">
        <w:rPr>
          <w:rFonts w:eastAsia="Times New Roman" w:cs="Times New Roman"/>
          <w:szCs w:val="24"/>
        </w:rPr>
        <w:t>d components that are not (e.g.</w:t>
      </w:r>
      <w:r w:rsidR="00FC174E" w:rsidRPr="00AA4677">
        <w:rPr>
          <w:rFonts w:eastAsia="Times New Roman" w:cs="Times New Roman"/>
          <w:szCs w:val="24"/>
        </w:rPr>
        <w:t xml:space="preserve"> academic departments in the College of Arts and Sciences, etc</w:t>
      </w:r>
      <w:r w:rsidRPr="00AA4677">
        <w:rPr>
          <w:rFonts w:eastAsia="Times New Roman" w:cs="Times New Roman"/>
          <w:szCs w:val="24"/>
        </w:rPr>
        <w:t>.</w:t>
      </w:r>
      <w:r w:rsidR="00FC174E" w:rsidRPr="00AA4677">
        <w:rPr>
          <w:rFonts w:eastAsia="Times New Roman" w:cs="Times New Roman"/>
          <w:szCs w:val="24"/>
        </w:rPr>
        <w:t>) considered covered entities under HIPAA.</w:t>
      </w:r>
    </w:p>
    <w:p w14:paraId="39DCDA19" w14:textId="49A11550" w:rsidR="00FC174E" w:rsidRPr="00AA4677" w:rsidRDefault="00FC174E">
      <w:pPr>
        <w:numPr>
          <w:ilvl w:val="0"/>
          <w:numId w:val="248"/>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Where the </w:t>
      </w:r>
      <w:r w:rsidR="007E68D3" w:rsidRPr="00AA4677">
        <w:rPr>
          <w:rFonts w:eastAsia="Times New Roman" w:cs="Times New Roman"/>
          <w:szCs w:val="24"/>
        </w:rPr>
        <w:t>investigator</w:t>
      </w:r>
      <w:r w:rsidRPr="00AA4677">
        <w:rPr>
          <w:rFonts w:eastAsia="Times New Roman" w:cs="Times New Roman"/>
          <w:szCs w:val="24"/>
        </w:rPr>
        <w:t xml:space="preserve"> is also</w:t>
      </w:r>
      <w:r w:rsidR="00CB66AE" w:rsidRPr="00AA4677">
        <w:rPr>
          <w:rFonts w:eastAsia="Times New Roman" w:cs="Times New Roman"/>
          <w:szCs w:val="24"/>
        </w:rPr>
        <w:t xml:space="preserve"> under</w:t>
      </w:r>
      <w:r w:rsidRPr="00AA4677">
        <w:rPr>
          <w:rFonts w:eastAsia="Times New Roman" w:cs="Times New Roman"/>
          <w:szCs w:val="24"/>
        </w:rPr>
        <w:t xml:space="preserve"> a covered entity, i.e. a health care provider, then s</w:t>
      </w:r>
      <w:r w:rsidR="00161342" w:rsidRPr="00AA4677">
        <w:rPr>
          <w:rFonts w:eastAsia="Times New Roman" w:cs="Times New Roman"/>
          <w:szCs w:val="24"/>
        </w:rPr>
        <w:t>he</w:t>
      </w:r>
      <w:r w:rsidRPr="00AA4677">
        <w:rPr>
          <w:rFonts w:eastAsia="Times New Roman" w:cs="Times New Roman"/>
          <w:szCs w:val="24"/>
        </w:rPr>
        <w:t>/he is legally mandated to comply with all provisions of HIPAA when accessing or generating PHI.</w:t>
      </w:r>
    </w:p>
    <w:p w14:paraId="68A7B7D0" w14:textId="099E6174" w:rsidR="00FC174E" w:rsidRPr="00AA4677" w:rsidRDefault="00FC174E">
      <w:pPr>
        <w:numPr>
          <w:ilvl w:val="0"/>
          <w:numId w:val="248"/>
        </w:numPr>
        <w:shd w:val="clear" w:color="auto" w:fill="FFFFFF"/>
        <w:spacing w:before="100" w:beforeAutospacing="1" w:after="100" w:afterAutospacing="1" w:line="240" w:lineRule="auto"/>
        <w:rPr>
          <w:rFonts w:eastAsia="Times New Roman" w:cs="Times New Roman"/>
          <w:strike/>
          <w:szCs w:val="24"/>
        </w:rPr>
      </w:pPr>
      <w:r w:rsidRPr="00AA4677">
        <w:rPr>
          <w:rFonts w:eastAsia="Times New Roman" w:cs="Times New Roman"/>
          <w:szCs w:val="24"/>
        </w:rPr>
        <w:t xml:space="preserve">Where the </w:t>
      </w:r>
      <w:r w:rsidR="007E68D3" w:rsidRPr="00AA4677">
        <w:rPr>
          <w:rFonts w:eastAsia="Times New Roman" w:cs="Times New Roman"/>
          <w:szCs w:val="24"/>
        </w:rPr>
        <w:t>investigator</w:t>
      </w:r>
      <w:r w:rsidRPr="00AA4677">
        <w:rPr>
          <w:rFonts w:eastAsia="Times New Roman" w:cs="Times New Roman"/>
          <w:szCs w:val="24"/>
        </w:rPr>
        <w:t xml:space="preserve"> is not </w:t>
      </w:r>
      <w:r w:rsidR="00CB66AE" w:rsidRPr="00AA4677">
        <w:rPr>
          <w:rFonts w:eastAsia="Times New Roman" w:cs="Times New Roman"/>
          <w:szCs w:val="24"/>
        </w:rPr>
        <w:t xml:space="preserve">under </w:t>
      </w:r>
      <w:r w:rsidRPr="00AA4677">
        <w:rPr>
          <w:rFonts w:eastAsia="Times New Roman" w:cs="Times New Roman"/>
          <w:szCs w:val="24"/>
        </w:rPr>
        <w:t xml:space="preserve">a covered entity (i.e. not a health care provider), </w:t>
      </w:r>
      <w:r w:rsidR="00161342" w:rsidRPr="00AA4677">
        <w:rPr>
          <w:rFonts w:eastAsia="Times New Roman" w:cs="Times New Roman"/>
          <w:szCs w:val="24"/>
        </w:rPr>
        <w:t>the University</w:t>
      </w:r>
      <w:r w:rsidRPr="00AA4677">
        <w:rPr>
          <w:rFonts w:eastAsia="Times New Roman" w:cs="Times New Roman"/>
          <w:szCs w:val="24"/>
        </w:rPr>
        <w:t xml:space="preserve"> </w:t>
      </w:r>
      <w:r w:rsidR="00973E2D" w:rsidRPr="00AA4677">
        <w:rPr>
          <w:rFonts w:eastAsia="Times New Roman" w:cs="Times New Roman"/>
          <w:szCs w:val="24"/>
        </w:rPr>
        <w:t>does not require</w:t>
      </w:r>
      <w:r w:rsidRPr="00AA4677">
        <w:rPr>
          <w:rFonts w:eastAsia="Times New Roman" w:cs="Times New Roman"/>
          <w:szCs w:val="24"/>
        </w:rPr>
        <w:t xml:space="preserve"> th</w:t>
      </w:r>
      <w:r w:rsidR="00FC2F9E" w:rsidRPr="00AA4677">
        <w:rPr>
          <w:rFonts w:eastAsia="Times New Roman" w:cs="Times New Roman"/>
          <w:szCs w:val="24"/>
        </w:rPr>
        <w:t>at HIPAA procedures be followed.</w:t>
      </w:r>
    </w:p>
    <w:p w14:paraId="05439263" w14:textId="4803DCE4" w:rsidR="00FC174E" w:rsidRPr="00AA4677" w:rsidRDefault="00FC174E" w:rsidP="00EF66E0">
      <w:pPr>
        <w:shd w:val="clear" w:color="auto" w:fill="FFFFFF"/>
        <w:spacing w:before="100" w:beforeAutospacing="1" w:after="100" w:afterAutospacing="1" w:line="240" w:lineRule="auto"/>
        <w:ind w:right="-80"/>
        <w:rPr>
          <w:rFonts w:eastAsia="Times New Roman" w:cs="Times New Roman"/>
          <w:szCs w:val="24"/>
        </w:rPr>
      </w:pPr>
      <w:r w:rsidRPr="00AA4677">
        <w:rPr>
          <w:rFonts w:eastAsia="Times New Roman" w:cs="Times New Roman"/>
          <w:szCs w:val="24"/>
        </w:rPr>
        <w:t xml:space="preserve">In general, the Privacy Rule permits covered entities to use or disclose protected health information for research purposes when the individual who is the subject of the information authorizes the use or disclosure (exceptions are addressed below).  Where authorization is required, </w:t>
      </w:r>
      <w:r w:rsidR="00161342"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uses a combined authorization/informed consent form which should be completed by the investigator and submitted to </w:t>
      </w:r>
      <w:r w:rsidR="00161342"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for review and approval.</w:t>
      </w:r>
    </w:p>
    <w:p w14:paraId="0C53A20E" w14:textId="78D2AED4" w:rsidR="00FC174E" w:rsidRPr="00AA4677" w:rsidRDefault="00FC174E" w:rsidP="00C57C98">
      <w:pPr>
        <w:pStyle w:val="Heading3"/>
      </w:pPr>
      <w:r w:rsidRPr="00AA4677">
        <w:t>16.4.2 Review Preparatory to Research</w:t>
      </w:r>
    </w:p>
    <w:p w14:paraId="741EF8EF" w14:textId="5CF613EF" w:rsidR="006661A9" w:rsidRPr="00AA4677" w:rsidRDefault="00FC174E" w:rsidP="006661A9">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Privacy Rule permits a covered entity to use or disclose protected health information to a</w:t>
      </w:r>
      <w:r w:rsidR="007E68D3" w:rsidRPr="00AA4677">
        <w:rPr>
          <w:rFonts w:eastAsia="Times New Roman" w:cs="Times New Roman"/>
          <w:szCs w:val="24"/>
        </w:rPr>
        <w:t>n</w:t>
      </w:r>
      <w:r w:rsidRPr="00AA4677">
        <w:rPr>
          <w:rFonts w:eastAsia="Times New Roman" w:cs="Times New Roman"/>
          <w:szCs w:val="24"/>
        </w:rPr>
        <w:t xml:space="preserve"> </w:t>
      </w:r>
      <w:r w:rsidR="007E68D3" w:rsidRPr="00AA4677">
        <w:rPr>
          <w:rFonts w:eastAsia="Times New Roman" w:cs="Times New Roman"/>
          <w:szCs w:val="24"/>
        </w:rPr>
        <w:t>investigator</w:t>
      </w:r>
      <w:r w:rsidRPr="00AA4677">
        <w:rPr>
          <w:rFonts w:eastAsia="Times New Roman" w:cs="Times New Roman"/>
          <w:szCs w:val="24"/>
        </w:rPr>
        <w:t xml:space="preserve"> without authorization or waiver for the limited purpose of a “review preparatory to research.” Such reviews may be used to prepare a research protocol, or to determine whether a research site has a sufficient population of potential research subjects.</w:t>
      </w:r>
      <w:r w:rsidR="00610AFA" w:rsidRPr="00AA4677">
        <w:rPr>
          <w:rFonts w:eastAsia="Times New Roman" w:cs="Times New Roman"/>
          <w:szCs w:val="24"/>
        </w:rPr>
        <w:t xml:space="preserve"> Requests for a “review preparatory to research” must receive prior approval from the HIPAA Privacy Officer. The Institutional Review Board does not need to review this request.</w:t>
      </w:r>
      <w:r w:rsidRPr="00AA4677">
        <w:rPr>
          <w:rFonts w:eastAsia="Times New Roman" w:cs="Times New Roman"/>
          <w:szCs w:val="24"/>
        </w:rPr>
        <w:t xml:space="preserve"> </w:t>
      </w:r>
    </w:p>
    <w:p w14:paraId="34437C59" w14:textId="2EE41B6A" w:rsidR="00FC174E" w:rsidRPr="00AA4677" w:rsidRDefault="00FC174E" w:rsidP="00C57C98">
      <w:pPr>
        <w:pStyle w:val="Heading3"/>
      </w:pPr>
      <w:r w:rsidRPr="00AA4677">
        <w:lastRenderedPageBreak/>
        <w:t>16.4.3 Use and/or Disclosure of De-identified Health Information: NOT subject to HIPAA</w:t>
      </w:r>
    </w:p>
    <w:p w14:paraId="1C0631FC" w14:textId="208C219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Where the investigator proposes use of PHI from which the following 18 identifiers are </w:t>
      </w:r>
      <w:r w:rsidR="00FD7339" w:rsidRPr="00AA4677">
        <w:rPr>
          <w:rFonts w:eastAsia="Times New Roman" w:cs="Times New Roman"/>
          <w:szCs w:val="24"/>
        </w:rPr>
        <w:t>r</w:t>
      </w:r>
      <w:r w:rsidRPr="00AA4677">
        <w:rPr>
          <w:rFonts w:eastAsia="Times New Roman" w:cs="Times New Roman"/>
          <w:szCs w:val="24"/>
        </w:rPr>
        <w:t>emoved, HIPAA does not apply to the research:</w:t>
      </w:r>
    </w:p>
    <w:p w14:paraId="34B8473F"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Name,</w:t>
      </w:r>
    </w:p>
    <w:p w14:paraId="1C92064B"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Address (street address, city, county, zip code -with certain exceptions),</w:t>
      </w:r>
    </w:p>
    <w:p w14:paraId="29082CE3" w14:textId="00F4D419"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Dates (e.g</w:t>
      </w:r>
      <w:r w:rsidR="006D05E9" w:rsidRPr="00AA4677">
        <w:rPr>
          <w:rFonts w:eastAsia="Times New Roman" w:cs="Times New Roman"/>
          <w:szCs w:val="24"/>
        </w:rPr>
        <w:t>.</w:t>
      </w:r>
      <w:r w:rsidRPr="00AA4677">
        <w:rPr>
          <w:rFonts w:eastAsia="Times New Roman" w:cs="Times New Roman"/>
          <w:szCs w:val="24"/>
        </w:rPr>
        <w:t xml:space="preserve"> birth date, admission date, discharge date, date of death) and individual ages if over 89,</w:t>
      </w:r>
    </w:p>
    <w:p w14:paraId="39AEB870"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Telephone numbers,</w:t>
      </w:r>
    </w:p>
    <w:p w14:paraId="7EE66E76"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Fax numbers,</w:t>
      </w:r>
    </w:p>
    <w:p w14:paraId="69289389"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Electronic mail addresses,</w:t>
      </w:r>
    </w:p>
    <w:p w14:paraId="54B0D38C"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Social security numbers,</w:t>
      </w:r>
    </w:p>
    <w:p w14:paraId="1EB08777"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Medical record numbers,</w:t>
      </w:r>
    </w:p>
    <w:p w14:paraId="75499F64"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Health plan </w:t>
      </w:r>
      <w:proofErr w:type="gramStart"/>
      <w:r w:rsidRPr="00AA4677">
        <w:rPr>
          <w:rFonts w:eastAsia="Times New Roman" w:cs="Times New Roman"/>
          <w:szCs w:val="24"/>
        </w:rPr>
        <w:t>beneficiary numbers</w:t>
      </w:r>
      <w:proofErr w:type="gramEnd"/>
      <w:r w:rsidRPr="00AA4677">
        <w:rPr>
          <w:rFonts w:eastAsia="Times New Roman" w:cs="Times New Roman"/>
          <w:szCs w:val="24"/>
        </w:rPr>
        <w:t>,</w:t>
      </w:r>
    </w:p>
    <w:p w14:paraId="2474C441"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Account numbers,</w:t>
      </w:r>
    </w:p>
    <w:p w14:paraId="2E99AE15"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Certificate/license numbers,</w:t>
      </w:r>
    </w:p>
    <w:p w14:paraId="58B82582" w14:textId="6349A6A9"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Vin and serial </w:t>
      </w:r>
      <w:r w:rsidR="006D05E9" w:rsidRPr="00AA4677">
        <w:rPr>
          <w:rFonts w:eastAsia="Times New Roman" w:cs="Times New Roman"/>
          <w:szCs w:val="24"/>
        </w:rPr>
        <w:t>numbers</w:t>
      </w:r>
      <w:r w:rsidRPr="00AA4677">
        <w:rPr>
          <w:rFonts w:eastAsia="Times New Roman" w:cs="Times New Roman"/>
          <w:szCs w:val="24"/>
        </w:rPr>
        <w:t xml:space="preserve">, license plate </w:t>
      </w:r>
      <w:r w:rsidR="006D05E9" w:rsidRPr="00AA4677">
        <w:rPr>
          <w:rFonts w:eastAsia="Times New Roman" w:cs="Times New Roman"/>
          <w:szCs w:val="24"/>
        </w:rPr>
        <w:t>numbers</w:t>
      </w:r>
    </w:p>
    <w:p w14:paraId="2B83C9D0"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Device identifiers and serial numbers,</w:t>
      </w:r>
    </w:p>
    <w:p w14:paraId="79E20561"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Web Universal Resource Locators (URL's),</w:t>
      </w:r>
    </w:p>
    <w:p w14:paraId="6EF54BC1"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Internet Protocol (IP) address numbers,</w:t>
      </w:r>
    </w:p>
    <w:p w14:paraId="53680C25"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Biometric identifiers (including finger and voice prints),</w:t>
      </w:r>
    </w:p>
    <w:p w14:paraId="59A6C9F9" w14:textId="77777777" w:rsidR="00FC174E" w:rsidRPr="00AA4677" w:rsidRDefault="00FC174E">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Full face photographic images and any comparable images, and</w:t>
      </w:r>
    </w:p>
    <w:p w14:paraId="6E9F29D3" w14:textId="6168AFA8" w:rsidR="00FC174E" w:rsidRPr="00AA4677" w:rsidRDefault="006D05E9">
      <w:pPr>
        <w:numPr>
          <w:ilvl w:val="0"/>
          <w:numId w:val="247"/>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w:t>
      </w:r>
      <w:r w:rsidR="00FC174E" w:rsidRPr="00AA4677">
        <w:rPr>
          <w:rFonts w:eastAsia="Times New Roman" w:cs="Times New Roman"/>
          <w:szCs w:val="24"/>
        </w:rPr>
        <w:t>ny other unique identifying number, characteristic, or code.</w:t>
      </w:r>
    </w:p>
    <w:p w14:paraId="6B1471B8" w14:textId="6A7DD77E"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Although HIPAA is not applicable, </w:t>
      </w:r>
      <w:r w:rsidR="00EE7207" w:rsidRPr="00AA4677">
        <w:rPr>
          <w:rFonts w:eastAsia="Times New Roman" w:cs="Times New Roman"/>
          <w:szCs w:val="24"/>
        </w:rPr>
        <w:t>IRB</w:t>
      </w:r>
      <w:r w:rsidRPr="00AA4677">
        <w:rPr>
          <w:rFonts w:eastAsia="Times New Roman" w:cs="Times New Roman"/>
          <w:szCs w:val="24"/>
        </w:rPr>
        <w:t xml:space="preserve"> (as the IRB, not the privacy board) approval must be obtained before the proposed activity</w:t>
      </w:r>
      <w:r w:rsidR="004E2EDD" w:rsidRPr="00AA4677">
        <w:rPr>
          <w:rFonts w:eastAsia="Times New Roman" w:cs="Times New Roman"/>
          <w:szCs w:val="24"/>
        </w:rPr>
        <w:t xml:space="preserve"> begins</w:t>
      </w:r>
      <w:r w:rsidRPr="00AA4677">
        <w:rPr>
          <w:rFonts w:eastAsia="Times New Roman" w:cs="Times New Roman"/>
          <w:szCs w:val="24"/>
        </w:rPr>
        <w:t xml:space="preserve">.  A HIPAA De-Identification Form must be submitted along with the standard </w:t>
      </w:r>
      <w:r w:rsidR="00EE7207" w:rsidRPr="00AA4677">
        <w:rPr>
          <w:rFonts w:eastAsia="Times New Roman" w:cs="Times New Roman"/>
          <w:szCs w:val="24"/>
        </w:rPr>
        <w:t>IRB</w:t>
      </w:r>
      <w:r w:rsidRPr="00AA4677">
        <w:rPr>
          <w:rFonts w:eastAsia="Times New Roman" w:cs="Times New Roman"/>
          <w:szCs w:val="24"/>
        </w:rPr>
        <w:t xml:space="preserve"> submission paperwork. </w:t>
      </w:r>
    </w:p>
    <w:p w14:paraId="2FC282D0" w14:textId="0EFC6EBB" w:rsidR="009D77D4" w:rsidRPr="00AA4677" w:rsidRDefault="009D77D4"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Section 164.514(</w:t>
      </w:r>
      <w:proofErr w:type="gramStart"/>
      <w:r w:rsidRPr="00AA4677">
        <w:rPr>
          <w:rFonts w:eastAsia="Times New Roman" w:cs="Times New Roman"/>
          <w:szCs w:val="24"/>
        </w:rPr>
        <w:t>a))</w:t>
      </w:r>
      <w:proofErr w:type="gramEnd"/>
      <w:r w:rsidRPr="00AA4677">
        <w:rPr>
          <w:rFonts w:eastAsia="Times New Roman" w:cs="Times New Roman"/>
          <w:szCs w:val="24"/>
        </w:rPr>
        <w:t xml:space="preserve"> provides the standard for de-identification of protected health information. Under this standard heatlh information is not individually identifiable if it does not identify an individual and if the </w:t>
      </w:r>
      <w:proofErr w:type="gramStart"/>
      <w:r w:rsidRPr="00AA4677">
        <w:rPr>
          <w:rFonts w:eastAsia="Times New Roman" w:cs="Times New Roman"/>
          <w:szCs w:val="24"/>
        </w:rPr>
        <w:t>co ered</w:t>
      </w:r>
      <w:proofErr w:type="gramEnd"/>
      <w:r w:rsidRPr="00AA4677">
        <w:rPr>
          <w:rFonts w:eastAsia="Times New Roman" w:cs="Times New Roman"/>
          <w:szCs w:val="24"/>
        </w:rPr>
        <w:t xml:space="preserve"> entity has no reasonable basis to believe it can be used to identify an individual.</w:t>
      </w:r>
    </w:p>
    <w:p w14:paraId="5190BC1C" w14:textId="282A4775" w:rsidR="009D77D4" w:rsidRPr="00AA4677" w:rsidRDefault="009D77D4" w:rsidP="00FC174E">
      <w:pPr>
        <w:shd w:val="clear" w:color="auto" w:fill="FFFFFF"/>
        <w:spacing w:before="100" w:beforeAutospacing="1" w:after="100" w:afterAutospacing="1" w:line="240" w:lineRule="auto"/>
        <w:rPr>
          <w:rFonts w:eastAsia="Times New Roman" w:cstheme="minorHAnsi"/>
          <w:szCs w:val="24"/>
        </w:rPr>
      </w:pPr>
      <w:r w:rsidRPr="00AA4677">
        <w:rPr>
          <w:rFonts w:eastAsia="Times New Roman" w:cstheme="minorHAnsi"/>
          <w:szCs w:val="24"/>
        </w:rPr>
        <w:t>Sectopms 164.514(b) and 164.514(c) of the Privacy rule containe the implementation specifications that a covered entity must follow to meed the de-identification standard. The Privacy Rule provides two methods by which health</w:t>
      </w:r>
      <w:r w:rsidR="00783B03" w:rsidRPr="00AA4677">
        <w:rPr>
          <w:rFonts w:eastAsia="Times New Roman" w:cstheme="minorHAnsi"/>
          <w:szCs w:val="24"/>
        </w:rPr>
        <w:t xml:space="preserve"> </w:t>
      </w:r>
      <w:r w:rsidRPr="00AA4677">
        <w:rPr>
          <w:rFonts w:eastAsia="Times New Roman" w:cstheme="minorHAnsi"/>
          <w:szCs w:val="24"/>
        </w:rPr>
        <w:t>information can be designated as de-identified.</w:t>
      </w:r>
    </w:p>
    <w:p w14:paraId="1A4E5DFA" w14:textId="77777777" w:rsidR="009D77D4" w:rsidRPr="00AA4677" w:rsidRDefault="009D77D4" w:rsidP="009D77D4">
      <w:pPr>
        <w:shd w:val="clear" w:color="auto" w:fill="FFFFFF"/>
        <w:spacing w:after="0" w:line="240" w:lineRule="auto"/>
        <w:rPr>
          <w:rFonts w:eastAsia="Times New Roman" w:cstheme="minorHAnsi"/>
          <w:color w:val="000000"/>
          <w:szCs w:val="24"/>
        </w:rPr>
      </w:pPr>
      <w:r w:rsidRPr="00AA4677">
        <w:rPr>
          <w:rFonts w:eastAsia="Times New Roman" w:cstheme="minorHAnsi"/>
          <w:b/>
          <w:bCs/>
          <w:i/>
          <w:iCs/>
          <w:color w:val="000000"/>
          <w:szCs w:val="24"/>
        </w:rPr>
        <w:lastRenderedPageBreak/>
        <w:t>The first is the “Expert Determination” method:</w:t>
      </w:r>
    </w:p>
    <w:p w14:paraId="4B7800DC" w14:textId="77777777" w:rsidR="009D77D4" w:rsidRPr="00AA4677" w:rsidRDefault="009D77D4" w:rsidP="009D77D4">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(b) </w:t>
      </w:r>
      <w:r w:rsidRPr="00AA4677">
        <w:rPr>
          <w:rFonts w:eastAsia="Times New Roman" w:cstheme="minorHAnsi"/>
          <w:i/>
          <w:iCs/>
          <w:color w:val="000000"/>
          <w:szCs w:val="24"/>
        </w:rPr>
        <w:t>Implementation specifications: requirements for de-identification of protected health information.</w:t>
      </w:r>
      <w:r w:rsidRPr="00AA4677">
        <w:rPr>
          <w:rFonts w:eastAsia="Times New Roman" w:cstheme="minorHAnsi"/>
          <w:color w:val="000000"/>
          <w:szCs w:val="24"/>
        </w:rPr>
        <w:t> A covered entity may determine that health information is not individually identifiable health information only if:</w:t>
      </w:r>
      <w:r w:rsidRPr="00AA4677">
        <w:rPr>
          <w:rFonts w:eastAsia="Times New Roman" w:cstheme="minorHAnsi"/>
          <w:color w:val="000000"/>
          <w:szCs w:val="24"/>
        </w:rPr>
        <w:br/>
        <w:t>(1) A person with appropriate knowledge of and experience with generally accepted statistical and scientific principles and methods for rendering information not individually identifiable:</w:t>
      </w:r>
      <w:r w:rsidRPr="00AA4677">
        <w:rPr>
          <w:rFonts w:eastAsia="Times New Roman" w:cstheme="minorHAnsi"/>
          <w:color w:val="000000"/>
          <w:szCs w:val="24"/>
        </w:rPr>
        <w:br/>
        <w:t>(i) Applying such principles and methods, determines that the risk is very small that the information could be used, alone or in combination with other reasonably available information, by an anticipated recipient to identify an individual who is a subject of the information; and</w:t>
      </w:r>
      <w:r w:rsidRPr="00AA4677">
        <w:rPr>
          <w:rFonts w:eastAsia="Times New Roman" w:cstheme="minorHAnsi"/>
          <w:color w:val="000000"/>
          <w:szCs w:val="24"/>
        </w:rPr>
        <w:br/>
        <w:t>(ii) Documents the methods and results of the analysis that justify such determination; or</w:t>
      </w:r>
    </w:p>
    <w:p w14:paraId="7B255E88" w14:textId="77777777" w:rsidR="009D77D4" w:rsidRPr="00AA4677" w:rsidRDefault="009D77D4" w:rsidP="009D77D4">
      <w:pPr>
        <w:shd w:val="clear" w:color="auto" w:fill="FFFFFF"/>
        <w:spacing w:after="0" w:line="240" w:lineRule="auto"/>
        <w:rPr>
          <w:rFonts w:eastAsia="Times New Roman" w:cstheme="minorHAnsi"/>
          <w:b/>
          <w:bCs/>
          <w:i/>
          <w:iCs/>
          <w:color w:val="000000"/>
          <w:szCs w:val="24"/>
        </w:rPr>
      </w:pPr>
    </w:p>
    <w:p w14:paraId="55C5C4DF" w14:textId="61A1B7F7" w:rsidR="009D77D4" w:rsidRPr="00AA4677" w:rsidRDefault="009D77D4" w:rsidP="009D77D4">
      <w:pPr>
        <w:shd w:val="clear" w:color="auto" w:fill="FFFFFF"/>
        <w:spacing w:after="0" w:line="240" w:lineRule="auto"/>
        <w:rPr>
          <w:rFonts w:eastAsia="Times New Roman" w:cstheme="minorHAnsi"/>
          <w:b/>
          <w:bCs/>
          <w:i/>
          <w:iCs/>
          <w:color w:val="000000"/>
          <w:szCs w:val="24"/>
        </w:rPr>
      </w:pPr>
      <w:r w:rsidRPr="00AA4677">
        <w:rPr>
          <w:rFonts w:eastAsia="Times New Roman" w:cstheme="minorHAnsi"/>
          <w:b/>
          <w:bCs/>
          <w:i/>
          <w:iCs/>
          <w:color w:val="000000"/>
          <w:szCs w:val="24"/>
        </w:rPr>
        <w:t>The second is the “Safe Harbor” method:</w:t>
      </w:r>
    </w:p>
    <w:p w14:paraId="141B5E58" w14:textId="76525E0B" w:rsidR="009D77D4" w:rsidRPr="00AA4677" w:rsidRDefault="00E261C7" w:rsidP="009D77D4">
      <w:pPr>
        <w:shd w:val="clear" w:color="auto" w:fill="FFFFFF"/>
        <w:spacing w:after="0" w:line="240" w:lineRule="auto"/>
        <w:rPr>
          <w:rFonts w:eastAsia="Times New Roman" w:cstheme="minorHAnsi"/>
          <w:bCs/>
          <w:iCs/>
          <w:color w:val="000000"/>
          <w:szCs w:val="24"/>
        </w:rPr>
      </w:pPr>
      <w:r w:rsidRPr="00AA4677">
        <w:rPr>
          <w:rFonts w:eastAsia="Times New Roman" w:cstheme="minorHAnsi"/>
          <w:bCs/>
          <w:iCs/>
          <w:color w:val="000000"/>
          <w:szCs w:val="24"/>
        </w:rPr>
        <w:t>This is</w:t>
      </w:r>
      <w:r w:rsidR="009D77D4" w:rsidRPr="00AA4677">
        <w:rPr>
          <w:rFonts w:eastAsia="Times New Roman" w:cstheme="minorHAnsi"/>
          <w:bCs/>
          <w:iCs/>
          <w:color w:val="000000"/>
          <w:szCs w:val="24"/>
        </w:rPr>
        <w:t xml:space="preserve"> a method of removal of identifiers of the individual or of relatives, employers, or household members of the individual.</w:t>
      </w:r>
      <w:r w:rsidR="000B635F" w:rsidRPr="00AA4677">
        <w:rPr>
          <w:rFonts w:eastAsia="Times New Roman" w:cstheme="minorHAnsi"/>
          <w:bCs/>
          <w:iCs/>
          <w:color w:val="000000"/>
          <w:szCs w:val="24"/>
        </w:rPr>
        <w:t xml:space="preserve"> T</w:t>
      </w:r>
      <w:r w:rsidR="009D77D4" w:rsidRPr="00AA4677">
        <w:rPr>
          <w:rFonts w:eastAsia="Times New Roman" w:cstheme="minorHAnsi"/>
          <w:bCs/>
          <w:iCs/>
          <w:color w:val="000000"/>
          <w:szCs w:val="24"/>
        </w:rPr>
        <w:t>he removal of specific information about a patient that can be used alone or in combination with other information to identify that individual</w:t>
      </w:r>
      <w:r w:rsidR="000B635F" w:rsidRPr="00AA4677">
        <w:rPr>
          <w:rFonts w:eastAsia="Times New Roman" w:cstheme="minorHAnsi"/>
          <w:bCs/>
          <w:iCs/>
          <w:color w:val="000000"/>
          <w:szCs w:val="24"/>
        </w:rPr>
        <w:t xml:space="preserve"> is important. The following identifiers must be removed for this method to be achieved.</w:t>
      </w:r>
    </w:p>
    <w:p w14:paraId="34AED0A7" w14:textId="01483E5D" w:rsidR="000B635F" w:rsidRPr="00AA4677" w:rsidRDefault="000B635F" w:rsidP="000B635F">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(A) Names</w:t>
      </w:r>
    </w:p>
    <w:p w14:paraId="318774A1" w14:textId="77777777" w:rsidR="000B635F" w:rsidRPr="00AA4677" w:rsidRDefault="000B635F" w:rsidP="000B635F">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(B) All geographic subdivisions smaller than a state, including street address, city, county, precinct, ZIP code, and their equivalent geocodes, except for the initial three digits of the ZIP code if, according to the current publicly available data from the Bureau of the Census:</w:t>
      </w:r>
      <w:r w:rsidRPr="00AA4677">
        <w:rPr>
          <w:rFonts w:eastAsia="Times New Roman" w:cstheme="minorHAnsi"/>
          <w:color w:val="000000"/>
          <w:szCs w:val="24"/>
        </w:rPr>
        <w:br/>
        <w:t>(1) The geographic unit formed by combining all ZIP codes with the same three initial digits contains more than 20,000 people; and</w:t>
      </w:r>
      <w:r w:rsidRPr="00AA4677">
        <w:rPr>
          <w:rFonts w:eastAsia="Times New Roman" w:cstheme="minorHAnsi"/>
          <w:color w:val="000000"/>
          <w:szCs w:val="24"/>
        </w:rPr>
        <w:br/>
        <w:t>(2) The initial three digits of a ZIP code for all such geographic units containing 20,000 or fewer people is changed to 000</w:t>
      </w:r>
    </w:p>
    <w:p w14:paraId="349215C9" w14:textId="77777777" w:rsidR="000B635F" w:rsidRPr="00AA4677" w:rsidRDefault="000B635F" w:rsidP="000B635F">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(C) All elements of dates (except year) for dates that are directly related to an individual, including birth date, admission date, discharge date, death date, and all ages over 89 and all elements of dates (including year) indicative of such age, except that such ages and elements may be aggregated into a single category of age 90 or older</w:t>
      </w:r>
    </w:p>
    <w:p w14:paraId="635A9CEE" w14:textId="77777777" w:rsidR="000B635F" w:rsidRPr="00AA4677" w:rsidRDefault="000B635F" w:rsidP="000B635F">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(D) Telephone numbers</w:t>
      </w:r>
    </w:p>
    <w:p w14:paraId="7BF9BC1F" w14:textId="48B7EFFE" w:rsidR="000B635F" w:rsidRPr="00AA4677" w:rsidRDefault="000B635F" w:rsidP="000B635F">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(E) Fax numbers</w:t>
      </w:r>
    </w:p>
    <w:p w14:paraId="0CEE56C5" w14:textId="77777777" w:rsidR="00D94591" w:rsidRPr="00AA4677" w:rsidRDefault="000B635F" w:rsidP="00D94591">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(F) Email addresses</w:t>
      </w:r>
    </w:p>
    <w:p w14:paraId="70F83621" w14:textId="165318E2" w:rsidR="00D94591" w:rsidRPr="00AA4677" w:rsidRDefault="00D94591" w:rsidP="00D94591">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(G) Social security numbers</w:t>
      </w:r>
    </w:p>
    <w:p w14:paraId="3F55EF33" w14:textId="77777777" w:rsidR="00D94591" w:rsidRPr="00AA4677" w:rsidRDefault="00D94591" w:rsidP="00D94591">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(H) Medical record numbers</w:t>
      </w:r>
    </w:p>
    <w:p w14:paraId="2F3D5F52" w14:textId="77777777" w:rsidR="00D94591" w:rsidRPr="00AA4677" w:rsidRDefault="00D94591" w:rsidP="00D94591">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(I) Health plan beneficiary numbers</w:t>
      </w:r>
    </w:p>
    <w:p w14:paraId="521DD8B9" w14:textId="77777777" w:rsidR="00D94591" w:rsidRPr="00AA4677" w:rsidRDefault="00D94591" w:rsidP="00D94591">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(J) Account numbers</w:t>
      </w:r>
    </w:p>
    <w:p w14:paraId="0A75ED84" w14:textId="7A140C95" w:rsidR="000B635F" w:rsidRPr="00AA4677" w:rsidRDefault="00D94591" w:rsidP="000B635F">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(K) Certificate/license numbers</w:t>
      </w:r>
    </w:p>
    <w:p w14:paraId="3C287C41" w14:textId="77777777" w:rsidR="00D94591" w:rsidRPr="00AA4677" w:rsidRDefault="00D94591" w:rsidP="00D94591">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(L) Vehicle identifiers and serial numbers, including license plate numbers</w:t>
      </w:r>
    </w:p>
    <w:p w14:paraId="01F35D39" w14:textId="77777777" w:rsidR="00D94591" w:rsidRPr="00AA4677" w:rsidRDefault="00D94591" w:rsidP="00D94591">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(M) Device identifiers and serial numbers</w:t>
      </w:r>
    </w:p>
    <w:p w14:paraId="69258CB6" w14:textId="4EAF567B" w:rsidR="000B635F" w:rsidRPr="00AA4677" w:rsidRDefault="000B635F" w:rsidP="00D94591">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(N) Web Universal Resource Locators (URLs)</w:t>
      </w:r>
    </w:p>
    <w:p w14:paraId="28A8B281" w14:textId="6B902E53" w:rsidR="000B635F" w:rsidRPr="00AA4677" w:rsidRDefault="000B635F" w:rsidP="000B635F">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lastRenderedPageBreak/>
        <w:t>(O) Internet Protocol (IP) addresses</w:t>
      </w:r>
    </w:p>
    <w:p w14:paraId="00C41780" w14:textId="1F14216A" w:rsidR="000B635F" w:rsidRPr="00AA4677" w:rsidRDefault="000B635F" w:rsidP="000B635F">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(P) Biometric identifiers, including finger and voice prints</w:t>
      </w:r>
    </w:p>
    <w:p w14:paraId="38E49715" w14:textId="4C91038E" w:rsidR="000B635F" w:rsidRPr="00AA4677" w:rsidRDefault="000B635F" w:rsidP="000B635F">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(Q) Full-face photographs and any comparable images</w:t>
      </w:r>
    </w:p>
    <w:p w14:paraId="64822482" w14:textId="2045153B" w:rsidR="000B635F" w:rsidRPr="00AA4677" w:rsidRDefault="000B635F" w:rsidP="000B635F">
      <w:pPr>
        <w:shd w:val="clear" w:color="auto" w:fill="FFFFFF"/>
        <w:spacing w:after="0" w:line="240" w:lineRule="auto"/>
        <w:rPr>
          <w:rFonts w:eastAsia="Times New Roman" w:cstheme="minorHAnsi"/>
          <w:color w:val="000000"/>
          <w:szCs w:val="24"/>
        </w:rPr>
      </w:pPr>
      <w:r w:rsidRPr="00AA4677">
        <w:rPr>
          <w:rFonts w:eastAsia="Times New Roman" w:cstheme="minorHAnsi"/>
          <w:color w:val="000000"/>
          <w:szCs w:val="24"/>
        </w:rPr>
        <w:t xml:space="preserve">(R) Any other unique identifying number, characteristic, or code, except as permitted </w:t>
      </w:r>
      <w:r w:rsidR="0023153B" w:rsidRPr="00AA4677">
        <w:rPr>
          <w:rFonts w:eastAsia="Times New Roman" w:cstheme="minorHAnsi"/>
          <w:color w:val="000000"/>
          <w:szCs w:val="24"/>
        </w:rPr>
        <w:t>below</w:t>
      </w:r>
    </w:p>
    <w:p w14:paraId="154C4EAE" w14:textId="7512DA95" w:rsidR="0023153B" w:rsidRPr="00AA4677" w:rsidRDefault="0023153B" w:rsidP="000B635F">
      <w:pPr>
        <w:shd w:val="clear" w:color="auto" w:fill="FFFFFF"/>
        <w:spacing w:after="0" w:line="240" w:lineRule="auto"/>
        <w:rPr>
          <w:rFonts w:eastAsia="Times New Roman" w:cstheme="minorHAnsi"/>
          <w:color w:val="000000"/>
          <w:szCs w:val="24"/>
        </w:rPr>
      </w:pPr>
    </w:p>
    <w:p w14:paraId="6F5876AB" w14:textId="0667B6BB" w:rsidR="0023153B" w:rsidRPr="00AA4677" w:rsidRDefault="0023153B" w:rsidP="000B635F">
      <w:pPr>
        <w:shd w:val="clear" w:color="auto" w:fill="FFFFFF"/>
        <w:spacing w:after="0" w:line="240" w:lineRule="auto"/>
        <w:rPr>
          <w:rFonts w:eastAsia="Times New Roman" w:cstheme="minorHAnsi"/>
          <w:color w:val="000000"/>
          <w:szCs w:val="24"/>
        </w:rPr>
      </w:pPr>
      <w:r w:rsidRPr="00AA4677">
        <w:rPr>
          <w:rStyle w:val="Emphasis"/>
          <w:rFonts w:cstheme="minorHAnsi"/>
          <w:color w:val="000000"/>
          <w:szCs w:val="24"/>
          <w:shd w:val="clear" w:color="auto" w:fill="FFFFFF"/>
        </w:rPr>
        <w:t>Implementation specifications: re-identification.</w:t>
      </w:r>
      <w:r w:rsidRPr="00AA4677">
        <w:rPr>
          <w:rFonts w:cstheme="minorHAnsi"/>
          <w:color w:val="000000"/>
          <w:szCs w:val="24"/>
          <w:shd w:val="clear" w:color="auto" w:fill="FFFFFF"/>
        </w:rPr>
        <w:t> A covered entity may assign a code or other means of record identification to allow information de-identified under this section to be re-identified by the covered entity, provided that:</w:t>
      </w:r>
      <w:r w:rsidRPr="00AA4677">
        <w:rPr>
          <w:rFonts w:cstheme="minorHAnsi"/>
          <w:color w:val="000000"/>
          <w:szCs w:val="24"/>
        </w:rPr>
        <w:br/>
      </w:r>
      <w:r w:rsidRPr="00AA4677">
        <w:rPr>
          <w:rFonts w:cstheme="minorHAnsi"/>
          <w:color w:val="000000"/>
          <w:szCs w:val="24"/>
          <w:shd w:val="clear" w:color="auto" w:fill="FFFFFF"/>
        </w:rPr>
        <w:t>(1) </w:t>
      </w:r>
      <w:r w:rsidRPr="00AA4677">
        <w:rPr>
          <w:rStyle w:val="Emphasis"/>
          <w:rFonts w:cstheme="minorHAnsi"/>
          <w:color w:val="000000"/>
          <w:szCs w:val="24"/>
          <w:shd w:val="clear" w:color="auto" w:fill="FFFFFF"/>
        </w:rPr>
        <w:t>Derivation.</w:t>
      </w:r>
      <w:r w:rsidRPr="00AA4677">
        <w:rPr>
          <w:rFonts w:cstheme="minorHAnsi"/>
          <w:color w:val="000000"/>
          <w:szCs w:val="24"/>
          <w:shd w:val="clear" w:color="auto" w:fill="FFFFFF"/>
        </w:rPr>
        <w:t xml:space="preserve"> The code or other means of record identification is not derived from or related to information about the individual and is not otherwise capable of being translated </w:t>
      </w:r>
      <w:proofErr w:type="gramStart"/>
      <w:r w:rsidRPr="00AA4677">
        <w:rPr>
          <w:rFonts w:cstheme="minorHAnsi"/>
          <w:color w:val="000000"/>
          <w:szCs w:val="24"/>
          <w:shd w:val="clear" w:color="auto" w:fill="FFFFFF"/>
        </w:rPr>
        <w:t>so as to</w:t>
      </w:r>
      <w:proofErr w:type="gramEnd"/>
      <w:r w:rsidRPr="00AA4677">
        <w:rPr>
          <w:rFonts w:cstheme="minorHAnsi"/>
          <w:color w:val="000000"/>
          <w:szCs w:val="24"/>
          <w:shd w:val="clear" w:color="auto" w:fill="FFFFFF"/>
        </w:rPr>
        <w:t xml:space="preserve"> identify the individual; and</w:t>
      </w:r>
      <w:r w:rsidRPr="00AA4677">
        <w:rPr>
          <w:rFonts w:cstheme="minorHAnsi"/>
          <w:color w:val="000000"/>
          <w:szCs w:val="24"/>
        </w:rPr>
        <w:br/>
      </w:r>
      <w:r w:rsidRPr="00AA4677">
        <w:rPr>
          <w:rFonts w:cstheme="minorHAnsi"/>
          <w:color w:val="000000"/>
          <w:szCs w:val="24"/>
          <w:shd w:val="clear" w:color="auto" w:fill="FFFFFF"/>
        </w:rPr>
        <w:t>(2) </w:t>
      </w:r>
      <w:r w:rsidRPr="00AA4677">
        <w:rPr>
          <w:rStyle w:val="Emphasis"/>
          <w:rFonts w:cstheme="minorHAnsi"/>
          <w:color w:val="000000"/>
          <w:szCs w:val="24"/>
          <w:shd w:val="clear" w:color="auto" w:fill="FFFFFF"/>
        </w:rPr>
        <w:t>Security.</w:t>
      </w:r>
      <w:r w:rsidRPr="00AA4677">
        <w:rPr>
          <w:rFonts w:cstheme="minorHAnsi"/>
          <w:color w:val="000000"/>
          <w:szCs w:val="24"/>
          <w:shd w:val="clear" w:color="auto" w:fill="FFFFFF"/>
        </w:rPr>
        <w:t xml:space="preserve"> The covered entity does not use or disclose the code or other means of record identification for any other </w:t>
      </w:r>
      <w:proofErr w:type="gramStart"/>
      <w:r w:rsidRPr="00AA4677">
        <w:rPr>
          <w:rFonts w:cstheme="minorHAnsi"/>
          <w:color w:val="000000"/>
          <w:szCs w:val="24"/>
          <w:shd w:val="clear" w:color="auto" w:fill="FFFFFF"/>
        </w:rPr>
        <w:t>purpose, and</w:t>
      </w:r>
      <w:proofErr w:type="gramEnd"/>
      <w:r w:rsidRPr="00AA4677">
        <w:rPr>
          <w:rFonts w:cstheme="minorHAnsi"/>
          <w:color w:val="000000"/>
          <w:szCs w:val="24"/>
          <w:shd w:val="clear" w:color="auto" w:fill="FFFFFF"/>
        </w:rPr>
        <w:t xml:space="preserve"> does not disclose the mechanism for re-identification.</w:t>
      </w:r>
    </w:p>
    <w:p w14:paraId="36093536" w14:textId="77777777" w:rsidR="009D77D4" w:rsidRPr="00AA4677" w:rsidRDefault="009D77D4" w:rsidP="009D77D4">
      <w:pPr>
        <w:shd w:val="clear" w:color="auto" w:fill="FFFFFF"/>
        <w:spacing w:after="0" w:line="240" w:lineRule="auto"/>
        <w:rPr>
          <w:rFonts w:eastAsia="Times New Roman" w:cstheme="minorHAnsi"/>
          <w:color w:val="000000"/>
          <w:szCs w:val="24"/>
        </w:rPr>
      </w:pPr>
    </w:p>
    <w:p w14:paraId="42CCB2E6" w14:textId="36FFBA46" w:rsidR="009D77D4" w:rsidRPr="00AA4677" w:rsidRDefault="009D77D4" w:rsidP="009D77D4">
      <w:pPr>
        <w:shd w:val="clear" w:color="auto" w:fill="FFFFFF"/>
        <w:spacing w:after="0" w:line="240" w:lineRule="auto"/>
        <w:rPr>
          <w:rFonts w:eastAsia="Times New Roman" w:cstheme="minorHAnsi"/>
          <w:szCs w:val="24"/>
        </w:rPr>
      </w:pPr>
      <w:r w:rsidRPr="00AA4677">
        <w:rPr>
          <w:rFonts w:cstheme="minorHAnsi"/>
          <w:color w:val="000000"/>
          <w:szCs w:val="24"/>
          <w:shd w:val="clear" w:color="auto" w:fill="FFFFFF"/>
        </w:rPr>
        <w:t>Satisfying either method would demonstrate that a covered entity has met the standard in §164.514(a) above.  De-identified health information created following these methods is no longer protected by the Privacy Rule because it does not fall within the definition of PHI.  Of course, de-identification leads to information loss which may limit the usefulness of the resulting health information in certain circumstances. As described in the forthcoming sections, covered entities may wish to select de-identification strategies that minimize such loss.</w:t>
      </w:r>
    </w:p>
    <w:p w14:paraId="0A5B999B" w14:textId="2B98134C" w:rsidR="00FC174E" w:rsidRPr="00AA4677" w:rsidRDefault="00FC174E" w:rsidP="00C57C98">
      <w:pPr>
        <w:pStyle w:val="Heading3"/>
      </w:pPr>
      <w:r w:rsidRPr="00AA4677">
        <w:t>16.4.4 Research on Protected Health Information of Decedents</w:t>
      </w:r>
    </w:p>
    <w:p w14:paraId="7720893A" w14:textId="64FC290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protections of the Common Rule apply only to living human beings; by contrast, the Privacy Rule also protects the identifiable health information of deceased persons (“decedents”). The Privacy Rule contains an exception to the authorization requirement for research that involves the protected health information of decedents. A covered entity may use or disclose decedents’ protected health information for research if the entity obtains representations from the </w:t>
      </w:r>
      <w:r w:rsidR="007E68D3" w:rsidRPr="00AA4677">
        <w:rPr>
          <w:rFonts w:eastAsia="Times New Roman" w:cs="Times New Roman"/>
          <w:szCs w:val="24"/>
        </w:rPr>
        <w:t>investigator</w:t>
      </w:r>
      <w:r w:rsidRPr="00AA4677">
        <w:rPr>
          <w:rFonts w:eastAsia="Times New Roman" w:cs="Times New Roman"/>
          <w:szCs w:val="24"/>
        </w:rPr>
        <w:t xml:space="preserve"> that the use or disclosure being sought is solely for research on the protected health information of decedents, that the protected health information being sought is necessary for the research, and, at the request of the covered entity, documentation of the death of the individuals about whom information is being sought. </w:t>
      </w:r>
      <w:r w:rsidR="007E68D3" w:rsidRPr="00AA4677">
        <w:rPr>
          <w:rFonts w:eastAsia="Times New Roman" w:cs="Times New Roman"/>
          <w:szCs w:val="24"/>
        </w:rPr>
        <w:t>Investigator</w:t>
      </w:r>
      <w:r w:rsidR="002853E1" w:rsidRPr="00AA4677">
        <w:rPr>
          <w:rFonts w:eastAsia="Times New Roman" w:cs="Times New Roman"/>
          <w:szCs w:val="24"/>
        </w:rPr>
        <w:t>s should submit the</w:t>
      </w:r>
      <w:r w:rsidRPr="00AA4677">
        <w:rPr>
          <w:rFonts w:eastAsia="Times New Roman" w:cs="Times New Roman"/>
          <w:szCs w:val="24"/>
        </w:rPr>
        <w:t xml:space="preserve"> HIPAA Research on Decedent PHI Form for </w:t>
      </w:r>
      <w:r w:rsidR="00EE7207" w:rsidRPr="00AA4677">
        <w:rPr>
          <w:rFonts w:eastAsia="Times New Roman" w:cs="Times New Roman"/>
          <w:szCs w:val="24"/>
        </w:rPr>
        <w:t>IRB</w:t>
      </w:r>
      <w:r w:rsidRPr="00AA4677">
        <w:rPr>
          <w:rFonts w:eastAsia="Times New Roman" w:cs="Times New Roman"/>
          <w:szCs w:val="24"/>
        </w:rPr>
        <w:t xml:space="preserve"> review and approval when they intend to conduct research involving decedents’ protected health information.</w:t>
      </w:r>
    </w:p>
    <w:p w14:paraId="363D5F92" w14:textId="26C83584" w:rsidR="00FC174E" w:rsidRPr="00AA4677" w:rsidRDefault="00FC174E" w:rsidP="00C57C98">
      <w:pPr>
        <w:pStyle w:val="Heading3"/>
      </w:pPr>
      <w:r w:rsidRPr="00AA4677">
        <w:t>16.4.5 Limited Data Sets with a Data Use Agreement</w:t>
      </w:r>
    </w:p>
    <w:p w14:paraId="6B883449" w14:textId="4D541F3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When a</w:t>
      </w:r>
      <w:r w:rsidR="007E68D3" w:rsidRPr="00AA4677">
        <w:rPr>
          <w:rFonts w:eastAsia="Times New Roman" w:cs="Times New Roman"/>
          <w:szCs w:val="24"/>
        </w:rPr>
        <w:t>n</w:t>
      </w:r>
      <w:r w:rsidRPr="00AA4677">
        <w:rPr>
          <w:rFonts w:eastAsia="Times New Roman" w:cs="Times New Roman"/>
          <w:szCs w:val="24"/>
        </w:rPr>
        <w:t xml:space="preserve"> </w:t>
      </w:r>
      <w:r w:rsidR="007E68D3" w:rsidRPr="00AA4677">
        <w:rPr>
          <w:rFonts w:eastAsia="Times New Roman" w:cs="Times New Roman"/>
          <w:szCs w:val="24"/>
        </w:rPr>
        <w:t>investigator</w:t>
      </w:r>
      <w:r w:rsidRPr="00AA4677">
        <w:rPr>
          <w:rFonts w:eastAsia="Times New Roman" w:cs="Times New Roman"/>
          <w:szCs w:val="24"/>
        </w:rPr>
        <w:t xml:space="preserve"> requires certain data elements that are otherwise not permitted in de-identified data, as above, the Privacy</w:t>
      </w:r>
      <w:r w:rsidR="001E7B14" w:rsidRPr="00AA4677">
        <w:rPr>
          <w:rFonts w:eastAsia="Times New Roman" w:cs="Times New Roman"/>
          <w:szCs w:val="24"/>
        </w:rPr>
        <w:t xml:space="preserve"> Rule permits disclosure of a “Limited Data S</w:t>
      </w:r>
      <w:r w:rsidRPr="00AA4677">
        <w:rPr>
          <w:rFonts w:eastAsia="Times New Roman" w:cs="Times New Roman"/>
          <w:szCs w:val="24"/>
        </w:rPr>
        <w:t xml:space="preserve">et” to the </w:t>
      </w:r>
      <w:r w:rsidR="007E68D3" w:rsidRPr="00AA4677">
        <w:rPr>
          <w:rFonts w:eastAsia="Times New Roman" w:cs="Times New Roman"/>
          <w:szCs w:val="24"/>
        </w:rPr>
        <w:lastRenderedPageBreak/>
        <w:t>investigator</w:t>
      </w:r>
      <w:r w:rsidRPr="00AA4677">
        <w:rPr>
          <w:rFonts w:eastAsia="Times New Roman" w:cs="Times New Roman"/>
          <w:szCs w:val="24"/>
        </w:rPr>
        <w:t xml:space="preserve"> without obtaining patient authorization, provided that the </w:t>
      </w:r>
      <w:r w:rsidR="007E68D3" w:rsidRPr="00AA4677">
        <w:rPr>
          <w:rFonts w:eastAsia="Times New Roman" w:cs="Times New Roman"/>
          <w:szCs w:val="24"/>
        </w:rPr>
        <w:t>investigator</w:t>
      </w:r>
      <w:r w:rsidR="001E7B14" w:rsidRPr="00AA4677">
        <w:rPr>
          <w:rFonts w:eastAsia="Times New Roman" w:cs="Times New Roman"/>
          <w:szCs w:val="24"/>
        </w:rPr>
        <w:t xml:space="preserve"> has signed a Data Use A</w:t>
      </w:r>
      <w:r w:rsidRPr="00AA4677">
        <w:rPr>
          <w:rFonts w:eastAsia="Times New Roman" w:cs="Times New Roman"/>
          <w:szCs w:val="24"/>
        </w:rPr>
        <w:t>greement. The limited data set is still considered to be protected health information, but cannot include any of the following 16 identifiers:</w:t>
      </w:r>
    </w:p>
    <w:p w14:paraId="634AC2F6" w14:textId="69B9D23B"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Names</w:t>
      </w:r>
      <w:r w:rsidR="006D05E9" w:rsidRPr="00AA4677">
        <w:rPr>
          <w:rFonts w:eastAsia="Times New Roman" w:cs="Times New Roman"/>
          <w:szCs w:val="24"/>
        </w:rPr>
        <w:t>,</w:t>
      </w:r>
    </w:p>
    <w:p w14:paraId="46264DAE" w14:textId="18C31400"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Postal address info. (if other than city, state and zip)</w:t>
      </w:r>
      <w:r w:rsidR="006D05E9" w:rsidRPr="00AA4677">
        <w:rPr>
          <w:rFonts w:eastAsia="Times New Roman" w:cs="Times New Roman"/>
          <w:szCs w:val="24"/>
        </w:rPr>
        <w:t>,</w:t>
      </w:r>
    </w:p>
    <w:p w14:paraId="467EDEC8" w14:textId="7E889C29" w:rsidR="00FC174E" w:rsidRPr="00AA4677" w:rsidRDefault="006D05E9">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Telephone numbers,</w:t>
      </w:r>
    </w:p>
    <w:p w14:paraId="0C357EF1" w14:textId="5F311201"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fax </w:t>
      </w:r>
      <w:r w:rsidR="006D05E9" w:rsidRPr="00AA4677">
        <w:rPr>
          <w:rFonts w:eastAsia="Times New Roman" w:cs="Times New Roman"/>
          <w:szCs w:val="24"/>
        </w:rPr>
        <w:t>numbers,</w:t>
      </w:r>
    </w:p>
    <w:p w14:paraId="7B53A6AF" w14:textId="495C36E1"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Email addresses</w:t>
      </w:r>
      <w:r w:rsidR="006D05E9" w:rsidRPr="00AA4677">
        <w:rPr>
          <w:rFonts w:eastAsia="Times New Roman" w:cs="Times New Roman"/>
          <w:szCs w:val="24"/>
        </w:rPr>
        <w:t>,</w:t>
      </w:r>
    </w:p>
    <w:p w14:paraId="532E7E2F" w14:textId="42346359"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Social Security </w:t>
      </w:r>
      <w:r w:rsidR="006D05E9" w:rsidRPr="00AA4677">
        <w:rPr>
          <w:rFonts w:eastAsia="Times New Roman" w:cs="Times New Roman"/>
          <w:szCs w:val="24"/>
        </w:rPr>
        <w:t>numbers,</w:t>
      </w:r>
    </w:p>
    <w:p w14:paraId="39ABBF98" w14:textId="5DCC3BEF"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Medical record numbers</w:t>
      </w:r>
      <w:r w:rsidR="006D05E9" w:rsidRPr="00AA4677">
        <w:rPr>
          <w:rFonts w:eastAsia="Times New Roman" w:cs="Times New Roman"/>
          <w:szCs w:val="24"/>
        </w:rPr>
        <w:t>,</w:t>
      </w:r>
    </w:p>
    <w:p w14:paraId="0CE200FD" w14:textId="5BBBD6FC"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Health plan </w:t>
      </w:r>
      <w:proofErr w:type="gramStart"/>
      <w:r w:rsidRPr="00AA4677">
        <w:rPr>
          <w:rFonts w:eastAsia="Times New Roman" w:cs="Times New Roman"/>
          <w:szCs w:val="24"/>
        </w:rPr>
        <w:t xml:space="preserve">beneficiary </w:t>
      </w:r>
      <w:r w:rsidR="006D05E9" w:rsidRPr="00AA4677">
        <w:rPr>
          <w:rFonts w:eastAsia="Times New Roman" w:cs="Times New Roman"/>
          <w:szCs w:val="24"/>
        </w:rPr>
        <w:t>numbers</w:t>
      </w:r>
      <w:proofErr w:type="gramEnd"/>
      <w:r w:rsidR="006D05E9" w:rsidRPr="00AA4677">
        <w:rPr>
          <w:rFonts w:eastAsia="Times New Roman" w:cs="Times New Roman"/>
          <w:szCs w:val="24"/>
        </w:rPr>
        <w:t>,</w:t>
      </w:r>
    </w:p>
    <w:p w14:paraId="554CAA6C" w14:textId="5CD2BBCF"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Account </w:t>
      </w:r>
      <w:r w:rsidR="006D05E9" w:rsidRPr="00AA4677">
        <w:rPr>
          <w:rFonts w:eastAsia="Times New Roman" w:cs="Times New Roman"/>
          <w:szCs w:val="24"/>
        </w:rPr>
        <w:t>numbers,</w:t>
      </w:r>
    </w:p>
    <w:p w14:paraId="7932DA21" w14:textId="793FD46B"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Certificate/license </w:t>
      </w:r>
      <w:r w:rsidR="006D05E9" w:rsidRPr="00AA4677">
        <w:rPr>
          <w:rFonts w:eastAsia="Times New Roman" w:cs="Times New Roman"/>
          <w:szCs w:val="24"/>
        </w:rPr>
        <w:t>numbers,</w:t>
      </w:r>
    </w:p>
    <w:p w14:paraId="2EE72F95" w14:textId="443EA05E"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Vin and serial </w:t>
      </w:r>
      <w:r w:rsidR="006D05E9" w:rsidRPr="00AA4677">
        <w:rPr>
          <w:rFonts w:eastAsia="Times New Roman" w:cs="Times New Roman"/>
          <w:szCs w:val="24"/>
        </w:rPr>
        <w:t>numbers</w:t>
      </w:r>
      <w:r w:rsidRPr="00AA4677">
        <w:rPr>
          <w:rFonts w:eastAsia="Times New Roman" w:cs="Times New Roman"/>
          <w:szCs w:val="24"/>
        </w:rPr>
        <w:t xml:space="preserve">, license plate </w:t>
      </w:r>
      <w:r w:rsidR="006D05E9" w:rsidRPr="00AA4677">
        <w:rPr>
          <w:rFonts w:eastAsia="Times New Roman" w:cs="Times New Roman"/>
          <w:szCs w:val="24"/>
        </w:rPr>
        <w:t>numbers,</w:t>
      </w:r>
    </w:p>
    <w:p w14:paraId="761929E3" w14:textId="26453D20"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Device identifiers, serial </w:t>
      </w:r>
      <w:r w:rsidR="006D05E9" w:rsidRPr="00AA4677">
        <w:rPr>
          <w:rFonts w:eastAsia="Times New Roman" w:cs="Times New Roman"/>
          <w:szCs w:val="24"/>
        </w:rPr>
        <w:t>numbers,</w:t>
      </w:r>
    </w:p>
    <w:p w14:paraId="3E68E399" w14:textId="337CE993"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Web URLs</w:t>
      </w:r>
      <w:r w:rsidR="006D05E9" w:rsidRPr="00AA4677">
        <w:rPr>
          <w:rFonts w:eastAsia="Times New Roman" w:cs="Times New Roman"/>
          <w:szCs w:val="24"/>
        </w:rPr>
        <w:t>,</w:t>
      </w:r>
    </w:p>
    <w:p w14:paraId="58F0416B" w14:textId="39777EEA"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IP address </w:t>
      </w:r>
      <w:r w:rsidR="006D05E9" w:rsidRPr="00AA4677">
        <w:rPr>
          <w:rFonts w:eastAsia="Times New Roman" w:cs="Times New Roman"/>
          <w:szCs w:val="24"/>
        </w:rPr>
        <w:t>numbers,</w:t>
      </w:r>
    </w:p>
    <w:p w14:paraId="140A81BC" w14:textId="1CECF07A"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Biometric identifiers (</w:t>
      </w:r>
      <w:proofErr w:type="gramStart"/>
      <w:r w:rsidRPr="00AA4677">
        <w:rPr>
          <w:rFonts w:eastAsia="Times New Roman" w:cs="Times New Roman"/>
          <w:szCs w:val="24"/>
        </w:rPr>
        <w:t>finger prints</w:t>
      </w:r>
      <w:proofErr w:type="gramEnd"/>
      <w:r w:rsidRPr="00AA4677">
        <w:rPr>
          <w:rFonts w:eastAsia="Times New Roman" w:cs="Times New Roman"/>
          <w:szCs w:val="24"/>
        </w:rPr>
        <w:t>)</w:t>
      </w:r>
      <w:r w:rsidR="006D05E9" w:rsidRPr="00AA4677">
        <w:rPr>
          <w:rFonts w:eastAsia="Times New Roman" w:cs="Times New Roman"/>
          <w:szCs w:val="24"/>
        </w:rPr>
        <w:t>, or</w:t>
      </w:r>
    </w:p>
    <w:p w14:paraId="721FD74B" w14:textId="6D0B4947" w:rsidR="00FC174E" w:rsidRPr="00AA4677" w:rsidRDefault="00FC174E">
      <w:pPr>
        <w:numPr>
          <w:ilvl w:val="0"/>
          <w:numId w:val="24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Full face, comparable photo images</w:t>
      </w:r>
      <w:r w:rsidR="004844ED" w:rsidRPr="00AA4677">
        <w:rPr>
          <w:rFonts w:eastAsia="Times New Roman" w:cs="Times New Roman"/>
          <w:szCs w:val="24"/>
        </w:rPr>
        <w:t>.</w:t>
      </w:r>
    </w:p>
    <w:p w14:paraId="4A935BD2" w14:textId="6C3849B8" w:rsidR="00FC174E" w:rsidRPr="00AA4677" w:rsidRDefault="00FC174E" w:rsidP="004844ED">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1E7B14" w:rsidRPr="00AA4677">
        <w:rPr>
          <w:rFonts w:eastAsia="Times New Roman" w:cs="Times New Roman"/>
          <w:szCs w:val="24"/>
        </w:rPr>
        <w:t>Privacy Rule requires that the Data Use A</w:t>
      </w:r>
      <w:r w:rsidRPr="00AA4677">
        <w:rPr>
          <w:rFonts w:eastAsia="Times New Roman" w:cs="Times New Roman"/>
          <w:szCs w:val="24"/>
        </w:rPr>
        <w:t>greemen</w:t>
      </w:r>
      <w:r w:rsidR="001E7B14" w:rsidRPr="00AA4677">
        <w:rPr>
          <w:rFonts w:eastAsia="Times New Roman" w:cs="Times New Roman"/>
          <w:szCs w:val="24"/>
        </w:rPr>
        <w:t>t used in conjunction with the Limited Data S</w:t>
      </w:r>
      <w:r w:rsidRPr="00AA4677">
        <w:rPr>
          <w:rFonts w:eastAsia="Times New Roman" w:cs="Times New Roman"/>
          <w:szCs w:val="24"/>
        </w:rPr>
        <w:t>et contain provisions that:</w:t>
      </w:r>
    </w:p>
    <w:p w14:paraId="12365FA2" w14:textId="552609FD" w:rsidR="00FC174E" w:rsidRPr="00AA4677" w:rsidRDefault="00FC174E">
      <w:pPr>
        <w:numPr>
          <w:ilvl w:val="0"/>
          <w:numId w:val="51"/>
        </w:numPr>
        <w:shd w:val="clear" w:color="auto" w:fill="FFFFFF"/>
        <w:spacing w:after="0" w:line="240" w:lineRule="auto"/>
        <w:rPr>
          <w:rFonts w:eastAsia="Times New Roman" w:cs="Times New Roman"/>
          <w:szCs w:val="24"/>
        </w:rPr>
      </w:pPr>
      <w:r w:rsidRPr="00AA4677">
        <w:rPr>
          <w:rFonts w:eastAsia="Times New Roman" w:cs="Times New Roman"/>
          <w:szCs w:val="24"/>
        </w:rPr>
        <w:t>Establish the permitt</w:t>
      </w:r>
      <w:r w:rsidR="001E7B14" w:rsidRPr="00AA4677">
        <w:rPr>
          <w:rFonts w:eastAsia="Times New Roman" w:cs="Times New Roman"/>
          <w:szCs w:val="24"/>
        </w:rPr>
        <w:t>ed uses and disclosures of the Limited Data S</w:t>
      </w:r>
      <w:r w:rsidRPr="00AA4677">
        <w:rPr>
          <w:rFonts w:eastAsia="Times New Roman" w:cs="Times New Roman"/>
          <w:szCs w:val="24"/>
        </w:rPr>
        <w:t xml:space="preserve">et by the recipient, consistent with the purposes of the research, and which may not include any use or disclosure that would violate the Rule if done by the covered </w:t>
      </w:r>
      <w:proofErr w:type="gramStart"/>
      <w:r w:rsidRPr="00AA4677">
        <w:rPr>
          <w:rFonts w:eastAsia="Times New Roman" w:cs="Times New Roman"/>
          <w:szCs w:val="24"/>
        </w:rPr>
        <w:t>entity;</w:t>
      </w:r>
      <w:proofErr w:type="gramEnd"/>
    </w:p>
    <w:p w14:paraId="4AFF833F" w14:textId="77777777" w:rsidR="00FC174E" w:rsidRPr="00AA4677" w:rsidRDefault="00FC174E">
      <w:pPr>
        <w:numPr>
          <w:ilvl w:val="0"/>
          <w:numId w:val="51"/>
        </w:numPr>
        <w:shd w:val="clear" w:color="auto" w:fill="FFFFFF"/>
        <w:spacing w:after="0" w:line="240" w:lineRule="auto"/>
        <w:rPr>
          <w:rFonts w:eastAsia="Times New Roman" w:cs="Times New Roman"/>
          <w:szCs w:val="24"/>
        </w:rPr>
      </w:pPr>
      <w:r w:rsidRPr="00AA4677">
        <w:rPr>
          <w:rFonts w:eastAsia="Times New Roman" w:cs="Times New Roman"/>
          <w:szCs w:val="24"/>
        </w:rPr>
        <w:t>Limit who can use or receive the data; and</w:t>
      </w:r>
    </w:p>
    <w:p w14:paraId="475AE6F8" w14:textId="77777777" w:rsidR="00FC174E" w:rsidRPr="00AA4677" w:rsidRDefault="00FC174E">
      <w:pPr>
        <w:numPr>
          <w:ilvl w:val="0"/>
          <w:numId w:val="51"/>
        </w:numPr>
        <w:shd w:val="clear" w:color="auto" w:fill="FFFFFF"/>
        <w:spacing w:after="0" w:line="240" w:lineRule="auto"/>
        <w:rPr>
          <w:rFonts w:eastAsia="Times New Roman" w:cs="Times New Roman"/>
          <w:szCs w:val="24"/>
        </w:rPr>
      </w:pPr>
      <w:r w:rsidRPr="00AA4677">
        <w:rPr>
          <w:rFonts w:eastAsia="Times New Roman" w:cs="Times New Roman"/>
          <w:szCs w:val="24"/>
        </w:rPr>
        <w:t>Require the recipient to agree to the following:</w:t>
      </w:r>
    </w:p>
    <w:p w14:paraId="055BA531" w14:textId="77777777" w:rsidR="00FC174E" w:rsidRPr="00AA4677" w:rsidRDefault="00FC174E">
      <w:pPr>
        <w:numPr>
          <w:ilvl w:val="0"/>
          <w:numId w:val="193"/>
        </w:numPr>
        <w:shd w:val="clear" w:color="auto" w:fill="FFFFFF"/>
        <w:tabs>
          <w:tab w:val="clear" w:pos="360"/>
          <w:tab w:val="num" w:pos="720"/>
        </w:tabs>
        <w:spacing w:after="0" w:line="240" w:lineRule="auto"/>
        <w:ind w:left="720"/>
        <w:rPr>
          <w:rFonts w:eastAsia="Times New Roman" w:cs="Times New Roman"/>
          <w:szCs w:val="24"/>
        </w:rPr>
      </w:pPr>
      <w:r w:rsidRPr="00AA4677">
        <w:rPr>
          <w:rFonts w:eastAsia="Times New Roman" w:cs="Times New Roman"/>
          <w:szCs w:val="24"/>
        </w:rPr>
        <w:t xml:space="preserve">Not to use or disclose the information other than as permitted by the data use agreement or as otherwise required by </w:t>
      </w:r>
      <w:proofErr w:type="gramStart"/>
      <w:r w:rsidRPr="00AA4677">
        <w:rPr>
          <w:rFonts w:eastAsia="Times New Roman" w:cs="Times New Roman"/>
          <w:szCs w:val="24"/>
        </w:rPr>
        <w:t>law;</w:t>
      </w:r>
      <w:proofErr w:type="gramEnd"/>
    </w:p>
    <w:p w14:paraId="27DD0E43" w14:textId="77777777" w:rsidR="00FC174E" w:rsidRPr="00AA4677" w:rsidRDefault="00FC174E">
      <w:pPr>
        <w:numPr>
          <w:ilvl w:val="0"/>
          <w:numId w:val="193"/>
        </w:numPr>
        <w:shd w:val="clear" w:color="auto" w:fill="FFFFFF"/>
        <w:tabs>
          <w:tab w:val="clear" w:pos="360"/>
          <w:tab w:val="num" w:pos="720"/>
        </w:tabs>
        <w:spacing w:after="0" w:line="240" w:lineRule="auto"/>
        <w:ind w:left="720"/>
        <w:rPr>
          <w:rFonts w:eastAsia="Times New Roman" w:cs="Times New Roman"/>
          <w:szCs w:val="24"/>
        </w:rPr>
      </w:pPr>
      <w:r w:rsidRPr="00AA4677">
        <w:rPr>
          <w:rFonts w:eastAsia="Times New Roman" w:cs="Times New Roman"/>
          <w:szCs w:val="24"/>
        </w:rPr>
        <w:t xml:space="preserve">Use appropriate safeguards to prevent the use or disclosure of the information other than as provided for in the data use </w:t>
      </w:r>
      <w:proofErr w:type="gramStart"/>
      <w:r w:rsidRPr="00AA4677">
        <w:rPr>
          <w:rFonts w:eastAsia="Times New Roman" w:cs="Times New Roman"/>
          <w:szCs w:val="24"/>
        </w:rPr>
        <w:t>agreement;</w:t>
      </w:r>
      <w:proofErr w:type="gramEnd"/>
    </w:p>
    <w:p w14:paraId="6678E26D" w14:textId="0AE9FA9B" w:rsidR="00FC174E" w:rsidRPr="00AA4677" w:rsidRDefault="00FC174E">
      <w:pPr>
        <w:numPr>
          <w:ilvl w:val="0"/>
          <w:numId w:val="193"/>
        </w:numPr>
        <w:shd w:val="clear" w:color="auto" w:fill="FFFFFF"/>
        <w:tabs>
          <w:tab w:val="clear" w:pos="360"/>
          <w:tab w:val="num" w:pos="720"/>
        </w:tabs>
        <w:spacing w:after="0" w:line="240" w:lineRule="auto"/>
        <w:ind w:left="720"/>
        <w:rPr>
          <w:rFonts w:eastAsia="Times New Roman" w:cs="Times New Roman"/>
          <w:szCs w:val="24"/>
        </w:rPr>
      </w:pPr>
      <w:r w:rsidRPr="00AA4677">
        <w:rPr>
          <w:rFonts w:eastAsia="Times New Roman" w:cs="Times New Roman"/>
          <w:szCs w:val="24"/>
        </w:rPr>
        <w:t xml:space="preserve">Report to the covered entity any use or disclosure of the information not provided for by the data use agreement of which the recipient becomes aware; </w:t>
      </w:r>
      <w:r w:rsidR="004844ED" w:rsidRPr="00AA4677">
        <w:rPr>
          <w:rFonts w:eastAsia="Times New Roman" w:cs="Times New Roman"/>
          <w:szCs w:val="24"/>
        </w:rPr>
        <w:t>e</w:t>
      </w:r>
      <w:r w:rsidRPr="00AA4677">
        <w:rPr>
          <w:rFonts w:eastAsia="Times New Roman" w:cs="Times New Roman"/>
          <w:szCs w:val="24"/>
        </w:rPr>
        <w:t>nsure that any agents, including a subcontractor, to w</w:t>
      </w:r>
      <w:r w:rsidR="001E7B14" w:rsidRPr="00AA4677">
        <w:rPr>
          <w:rFonts w:eastAsia="Times New Roman" w:cs="Times New Roman"/>
          <w:szCs w:val="24"/>
        </w:rPr>
        <w:t>hom the recipient provides the Limited Data S</w:t>
      </w:r>
      <w:r w:rsidRPr="00AA4677">
        <w:rPr>
          <w:rFonts w:eastAsia="Times New Roman" w:cs="Times New Roman"/>
          <w:szCs w:val="24"/>
        </w:rPr>
        <w:t xml:space="preserve">et agrees to the same restrictions and conditions that apply to the recipient with respect to the </w:t>
      </w:r>
      <w:r w:rsidR="001E7B14" w:rsidRPr="00AA4677">
        <w:rPr>
          <w:rFonts w:eastAsia="Times New Roman" w:cs="Times New Roman"/>
          <w:szCs w:val="24"/>
        </w:rPr>
        <w:t>Limited Data Set</w:t>
      </w:r>
      <w:r w:rsidRPr="00AA4677">
        <w:rPr>
          <w:rFonts w:eastAsia="Times New Roman" w:cs="Times New Roman"/>
          <w:szCs w:val="24"/>
        </w:rPr>
        <w:t>; and</w:t>
      </w:r>
    </w:p>
    <w:p w14:paraId="46935161" w14:textId="77777777" w:rsidR="00FC174E" w:rsidRPr="00AA4677" w:rsidRDefault="00FC174E">
      <w:pPr>
        <w:numPr>
          <w:ilvl w:val="0"/>
          <w:numId w:val="193"/>
        </w:numPr>
        <w:shd w:val="clear" w:color="auto" w:fill="FFFFFF"/>
        <w:tabs>
          <w:tab w:val="clear" w:pos="360"/>
          <w:tab w:val="num" w:pos="720"/>
        </w:tabs>
        <w:spacing w:after="0" w:line="240" w:lineRule="auto"/>
        <w:ind w:left="720"/>
        <w:rPr>
          <w:rFonts w:eastAsia="Times New Roman" w:cs="Times New Roman"/>
          <w:szCs w:val="24"/>
        </w:rPr>
      </w:pPr>
      <w:r w:rsidRPr="00AA4677">
        <w:rPr>
          <w:rFonts w:eastAsia="Times New Roman" w:cs="Times New Roman"/>
          <w:szCs w:val="24"/>
        </w:rPr>
        <w:t>Not to identify the information or contact the individual.</w:t>
      </w:r>
    </w:p>
    <w:p w14:paraId="096C17DB" w14:textId="77777777" w:rsidR="001E7B14" w:rsidRPr="00AA4677" w:rsidRDefault="001E7B14" w:rsidP="001E7B14">
      <w:pPr>
        <w:shd w:val="clear" w:color="auto" w:fill="FFFFFF"/>
        <w:spacing w:after="0" w:line="240" w:lineRule="auto"/>
        <w:rPr>
          <w:rFonts w:eastAsia="Times New Roman" w:cs="Times New Roman"/>
          <w:szCs w:val="24"/>
        </w:rPr>
      </w:pPr>
    </w:p>
    <w:p w14:paraId="0B8ADA57" w14:textId="178AF4AB" w:rsidR="004844ED" w:rsidRPr="00AA4677" w:rsidRDefault="007E68D3" w:rsidP="004844ED">
      <w:p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Investigator</w:t>
      </w:r>
      <w:r w:rsidR="00FC174E" w:rsidRPr="00AA4677">
        <w:rPr>
          <w:rFonts w:eastAsia="Times New Roman" w:cs="Times New Roman"/>
          <w:szCs w:val="24"/>
        </w:rPr>
        <w:t>s who will be receiving</w:t>
      </w:r>
      <w:r w:rsidR="001E7B14" w:rsidRPr="00AA4677">
        <w:rPr>
          <w:rFonts w:eastAsia="Times New Roman" w:cs="Times New Roman"/>
          <w:szCs w:val="24"/>
        </w:rPr>
        <w:t xml:space="preserve"> a</w:t>
      </w:r>
      <w:r w:rsidR="00FC174E" w:rsidRPr="00AA4677">
        <w:rPr>
          <w:rFonts w:eastAsia="Times New Roman" w:cs="Times New Roman"/>
          <w:szCs w:val="24"/>
        </w:rPr>
        <w:t xml:space="preserve"> </w:t>
      </w:r>
      <w:r w:rsidR="001E7B14" w:rsidRPr="00AA4677">
        <w:rPr>
          <w:rFonts w:eastAsia="Times New Roman" w:cs="Times New Roman"/>
          <w:szCs w:val="24"/>
        </w:rPr>
        <w:t xml:space="preserve">Limited Data Set </w:t>
      </w:r>
      <w:r w:rsidR="00FC174E" w:rsidRPr="00AA4677">
        <w:rPr>
          <w:rFonts w:eastAsia="Times New Roman" w:cs="Times New Roman"/>
          <w:szCs w:val="24"/>
        </w:rPr>
        <w:t>must submit a signe</w:t>
      </w:r>
      <w:r w:rsidR="001E7B14" w:rsidRPr="00AA4677">
        <w:rPr>
          <w:rFonts w:eastAsia="Times New Roman" w:cs="Times New Roman"/>
          <w:szCs w:val="24"/>
        </w:rPr>
        <w:t>d copy of the covered entity’s Data Use A</w:t>
      </w:r>
      <w:r w:rsidR="00FC174E" w:rsidRPr="00AA4677">
        <w:rPr>
          <w:rFonts w:eastAsia="Times New Roman" w:cs="Times New Roman"/>
          <w:szCs w:val="24"/>
        </w:rPr>
        <w:t xml:space="preserve">greement to the </w:t>
      </w:r>
      <w:r w:rsidR="00EE7207" w:rsidRPr="00AA4677">
        <w:rPr>
          <w:rFonts w:eastAsia="Times New Roman" w:cs="Times New Roman"/>
          <w:szCs w:val="24"/>
        </w:rPr>
        <w:t>IRB</w:t>
      </w:r>
      <w:r w:rsidR="00FC174E" w:rsidRPr="00AA4677">
        <w:rPr>
          <w:rFonts w:eastAsia="Times New Roman" w:cs="Times New Roman"/>
          <w:szCs w:val="24"/>
        </w:rPr>
        <w:t xml:space="preserve"> for approval, prior to initiating the research. </w:t>
      </w:r>
    </w:p>
    <w:p w14:paraId="6D566047" w14:textId="384CBA10" w:rsidR="00FC174E" w:rsidRPr="00AA4677" w:rsidRDefault="00FC174E" w:rsidP="00C57C98">
      <w:pPr>
        <w:pStyle w:val="Heading3"/>
      </w:pPr>
      <w:r w:rsidRPr="00AA4677">
        <w:t>16.4.6 Waiver of Authorization for Use or Disclosure of Protected Health Information in Research</w:t>
      </w:r>
    </w:p>
    <w:p w14:paraId="25B88040" w14:textId="783263D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Under the Privacy Rule, covered entities are permitted to use and disclose protected health information for research with individual authorization, or without individual authorization under limited circumstances. A covered entity may use or disclose protected health information for research without individual authorization, when prese</w:t>
      </w:r>
      <w:r w:rsidR="004844ED" w:rsidRPr="00AA4677">
        <w:rPr>
          <w:rFonts w:eastAsia="Times New Roman" w:cs="Times New Roman"/>
          <w:szCs w:val="24"/>
        </w:rPr>
        <w:t xml:space="preserve">nted with documentation that the </w:t>
      </w:r>
      <w:r w:rsidR="00EE7207" w:rsidRPr="00AA4677">
        <w:rPr>
          <w:rFonts w:eastAsia="Times New Roman" w:cs="Times New Roman"/>
          <w:szCs w:val="24"/>
        </w:rPr>
        <w:t>IRB</w:t>
      </w:r>
      <w:r w:rsidR="004844ED" w:rsidRPr="00AA4677">
        <w:rPr>
          <w:rFonts w:eastAsia="Times New Roman" w:cs="Times New Roman"/>
          <w:szCs w:val="24"/>
        </w:rPr>
        <w:t xml:space="preserve"> </w:t>
      </w:r>
      <w:r w:rsidRPr="00AA4677">
        <w:rPr>
          <w:rFonts w:eastAsia="Times New Roman" w:cs="Times New Roman"/>
          <w:szCs w:val="24"/>
        </w:rPr>
        <w:t>has granted a waiver of authorization [see 45 CFR 164.512(i)(1)(i)]. This provision of the Privacy Rule might be used, for example, to conduct records research, epidemiological studies, or other research where de-identified data is unavailable or not suited to the research purpose.</w:t>
      </w:r>
    </w:p>
    <w:p w14:paraId="321CE5DA" w14:textId="77777777" w:rsidR="00FC174E" w:rsidRPr="00AA4677" w:rsidRDefault="00FC174E" w:rsidP="004844ED">
      <w:pPr>
        <w:shd w:val="clear" w:color="auto" w:fill="FFFFFF"/>
        <w:spacing w:after="0" w:line="240" w:lineRule="auto"/>
        <w:rPr>
          <w:rFonts w:eastAsia="Times New Roman" w:cs="Times New Roman"/>
          <w:szCs w:val="24"/>
        </w:rPr>
      </w:pPr>
      <w:r w:rsidRPr="00AA4677">
        <w:rPr>
          <w:rFonts w:eastAsia="Times New Roman" w:cs="Times New Roman"/>
          <w:szCs w:val="24"/>
        </w:rPr>
        <w:t>The waiver documentation presented to the covered entity must include the following:</w:t>
      </w:r>
    </w:p>
    <w:p w14:paraId="19AAA46E" w14:textId="402C10C8" w:rsidR="00FC174E" w:rsidRPr="00AA4677" w:rsidRDefault="00FC174E">
      <w:pPr>
        <w:numPr>
          <w:ilvl w:val="0"/>
          <w:numId w:val="52"/>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Identification of </w:t>
      </w:r>
      <w:r w:rsidR="004844ED"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and the date on which the alteration or waiver of authorization was </w:t>
      </w:r>
      <w:proofErr w:type="gramStart"/>
      <w:r w:rsidRPr="00AA4677">
        <w:rPr>
          <w:rFonts w:eastAsia="Times New Roman" w:cs="Times New Roman"/>
          <w:szCs w:val="24"/>
        </w:rPr>
        <w:t>approved;</w:t>
      </w:r>
      <w:proofErr w:type="gramEnd"/>
    </w:p>
    <w:p w14:paraId="4272C755" w14:textId="758CA9FC" w:rsidR="00FC174E" w:rsidRPr="00AA4677" w:rsidRDefault="00FC174E">
      <w:pPr>
        <w:numPr>
          <w:ilvl w:val="0"/>
          <w:numId w:val="52"/>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 statement that </w:t>
      </w:r>
      <w:r w:rsidR="004844ED"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has determined that the alteration or waiver of authorization, in whole or in part, satisfies the three criteria in the </w:t>
      </w:r>
      <w:proofErr w:type="gramStart"/>
      <w:r w:rsidRPr="00AA4677">
        <w:rPr>
          <w:rFonts w:eastAsia="Times New Roman" w:cs="Times New Roman"/>
          <w:szCs w:val="24"/>
        </w:rPr>
        <w:t>Rule;</w:t>
      </w:r>
      <w:proofErr w:type="gramEnd"/>
    </w:p>
    <w:p w14:paraId="4855EAA2" w14:textId="306226E1" w:rsidR="00FC174E" w:rsidRPr="00AA4677" w:rsidRDefault="00FC174E">
      <w:pPr>
        <w:numPr>
          <w:ilvl w:val="0"/>
          <w:numId w:val="52"/>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 brief description of the protected health information for which use or access has been determined to be necessary by </w:t>
      </w:r>
      <w:r w:rsidR="004844ED" w:rsidRPr="00AA4677">
        <w:rPr>
          <w:rFonts w:eastAsia="Times New Roman" w:cs="Times New Roman"/>
          <w:szCs w:val="24"/>
        </w:rPr>
        <w:t xml:space="preserve">the </w:t>
      </w:r>
      <w:proofErr w:type="gramStart"/>
      <w:r w:rsidR="00EE7207" w:rsidRPr="00AA4677">
        <w:rPr>
          <w:rFonts w:eastAsia="Times New Roman" w:cs="Times New Roman"/>
          <w:szCs w:val="24"/>
        </w:rPr>
        <w:t>IRB</w:t>
      </w:r>
      <w:r w:rsidRPr="00AA4677">
        <w:rPr>
          <w:rFonts w:eastAsia="Times New Roman" w:cs="Times New Roman"/>
          <w:szCs w:val="24"/>
        </w:rPr>
        <w:t>;</w:t>
      </w:r>
      <w:proofErr w:type="gramEnd"/>
    </w:p>
    <w:p w14:paraId="23173221" w14:textId="77777777" w:rsidR="00FC174E" w:rsidRPr="00AA4677" w:rsidRDefault="00FC174E">
      <w:pPr>
        <w:numPr>
          <w:ilvl w:val="0"/>
          <w:numId w:val="52"/>
        </w:numPr>
        <w:shd w:val="clear" w:color="auto" w:fill="FFFFFF"/>
        <w:spacing w:after="0" w:line="240" w:lineRule="auto"/>
        <w:rPr>
          <w:rFonts w:eastAsia="Times New Roman" w:cs="Times New Roman"/>
          <w:szCs w:val="24"/>
        </w:rPr>
      </w:pPr>
      <w:r w:rsidRPr="00AA4677">
        <w:rPr>
          <w:rFonts w:eastAsia="Times New Roman" w:cs="Times New Roman"/>
          <w:szCs w:val="24"/>
        </w:rPr>
        <w:t>A statement that the alteration or waiver of authorization has been reviewed and approved under either normal or expedited review procedures; and</w:t>
      </w:r>
    </w:p>
    <w:p w14:paraId="4BEAD755" w14:textId="18470611" w:rsidR="00FC174E" w:rsidRPr="00AA4677" w:rsidRDefault="00FC174E">
      <w:pPr>
        <w:numPr>
          <w:ilvl w:val="0"/>
          <w:numId w:val="52"/>
        </w:numPr>
        <w:shd w:val="clear" w:color="auto" w:fill="FFFFFF"/>
        <w:spacing w:after="0" w:line="240" w:lineRule="auto"/>
        <w:rPr>
          <w:rFonts w:eastAsia="Times New Roman" w:cs="Times New Roman"/>
          <w:szCs w:val="24"/>
        </w:rPr>
      </w:pPr>
      <w:r w:rsidRPr="00AA4677">
        <w:rPr>
          <w:rFonts w:eastAsia="Times New Roman" w:cs="Times New Roman"/>
          <w:szCs w:val="24"/>
        </w:rPr>
        <w:t>The e-signature of the</w:t>
      </w:r>
      <w:r w:rsidR="004844ED"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w:t>
      </w:r>
      <w:r w:rsidR="004844ED" w:rsidRPr="00AA4677">
        <w:rPr>
          <w:rFonts w:eastAsia="Times New Roman" w:cs="Times New Roman"/>
          <w:szCs w:val="24"/>
        </w:rPr>
        <w:t>C</w:t>
      </w:r>
      <w:r w:rsidRPr="00AA4677">
        <w:rPr>
          <w:rFonts w:eastAsia="Times New Roman" w:cs="Times New Roman"/>
          <w:szCs w:val="24"/>
        </w:rPr>
        <w:t>hair or other</w:t>
      </w:r>
      <w:r w:rsidR="004844ED"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member, as designated by the </w:t>
      </w:r>
      <w:r w:rsidR="00EE7207" w:rsidRPr="00AA4677">
        <w:rPr>
          <w:rFonts w:eastAsia="Times New Roman" w:cs="Times New Roman"/>
          <w:szCs w:val="24"/>
        </w:rPr>
        <w:t>IRB</w:t>
      </w:r>
      <w:r w:rsidR="004844ED" w:rsidRPr="00AA4677">
        <w:rPr>
          <w:rFonts w:eastAsia="Times New Roman" w:cs="Times New Roman"/>
          <w:szCs w:val="24"/>
        </w:rPr>
        <w:t xml:space="preserve"> Chair.</w:t>
      </w:r>
    </w:p>
    <w:p w14:paraId="4C95274E" w14:textId="77777777" w:rsidR="00554DA9" w:rsidRPr="00AA4677" w:rsidRDefault="00554DA9" w:rsidP="00554DA9">
      <w:pPr>
        <w:shd w:val="clear" w:color="auto" w:fill="FFFFFF"/>
        <w:spacing w:after="0" w:line="240" w:lineRule="auto"/>
        <w:ind w:left="360"/>
        <w:rPr>
          <w:rFonts w:eastAsia="Times New Roman" w:cs="Times New Roman"/>
          <w:szCs w:val="24"/>
        </w:rPr>
      </w:pPr>
    </w:p>
    <w:p w14:paraId="0B53AC54" w14:textId="77C06BA0" w:rsidR="00FC174E" w:rsidRPr="00AA4677" w:rsidRDefault="00FC174E" w:rsidP="00554DA9">
      <w:pPr>
        <w:shd w:val="clear" w:color="auto" w:fill="FFFFFF"/>
        <w:spacing w:after="0" w:line="240" w:lineRule="auto"/>
        <w:rPr>
          <w:rFonts w:eastAsia="Times New Roman" w:cs="Times New Roman"/>
          <w:szCs w:val="24"/>
        </w:rPr>
      </w:pPr>
      <w:r w:rsidRPr="00AA4677">
        <w:rPr>
          <w:rFonts w:eastAsia="Times New Roman" w:cs="Times New Roman"/>
          <w:szCs w:val="24"/>
        </w:rPr>
        <w:t xml:space="preserve">The following </w:t>
      </w:r>
      <w:r w:rsidR="004844ED" w:rsidRPr="00AA4677">
        <w:rPr>
          <w:rFonts w:eastAsia="Times New Roman" w:cs="Times New Roman"/>
          <w:szCs w:val="24"/>
        </w:rPr>
        <w:t xml:space="preserve">criteria must be satisfied for the </w:t>
      </w:r>
      <w:r w:rsidR="00EE7207" w:rsidRPr="00AA4677">
        <w:rPr>
          <w:rFonts w:eastAsia="Times New Roman" w:cs="Times New Roman"/>
          <w:szCs w:val="24"/>
        </w:rPr>
        <w:t>IRB</w:t>
      </w:r>
      <w:r w:rsidRPr="00AA4677">
        <w:rPr>
          <w:rFonts w:eastAsia="Times New Roman" w:cs="Times New Roman"/>
          <w:szCs w:val="24"/>
        </w:rPr>
        <w:t xml:space="preserve"> to approve a waiver of authorization under the Privacy Rule:</w:t>
      </w:r>
    </w:p>
    <w:p w14:paraId="3086EDEC" w14:textId="77777777" w:rsidR="004A108B" w:rsidRPr="00AA4677" w:rsidRDefault="004A108B" w:rsidP="00554DA9">
      <w:pPr>
        <w:shd w:val="clear" w:color="auto" w:fill="FFFFFF"/>
        <w:spacing w:after="0" w:line="240" w:lineRule="auto"/>
        <w:rPr>
          <w:rFonts w:eastAsia="Times New Roman" w:cs="Times New Roman"/>
          <w:szCs w:val="24"/>
        </w:rPr>
      </w:pPr>
    </w:p>
    <w:p w14:paraId="2406BAD4" w14:textId="34323FA4" w:rsidR="00FC174E" w:rsidRPr="00AA4677" w:rsidRDefault="00554DA9" w:rsidP="004A108B">
      <w:pPr>
        <w:shd w:val="clear" w:color="auto" w:fill="FFFFFF"/>
        <w:spacing w:after="0" w:line="240" w:lineRule="auto"/>
        <w:rPr>
          <w:rFonts w:eastAsia="Times New Roman" w:cs="Times New Roman"/>
          <w:szCs w:val="24"/>
        </w:rPr>
      </w:pPr>
      <w:r w:rsidRPr="00AA4677">
        <w:rPr>
          <w:rFonts w:eastAsia="Times New Roman" w:cs="Times New Roman"/>
          <w:b/>
          <w:i/>
          <w:iCs/>
          <w:szCs w:val="24"/>
        </w:rPr>
        <w:t>N</w:t>
      </w:r>
      <w:r w:rsidR="007D2E3C" w:rsidRPr="00AA4677">
        <w:rPr>
          <w:rFonts w:eastAsia="Times New Roman" w:cs="Times New Roman"/>
          <w:b/>
          <w:i/>
          <w:iCs/>
          <w:szCs w:val="24"/>
        </w:rPr>
        <w:t>OTE</w:t>
      </w:r>
      <w:r w:rsidRPr="00AA4677">
        <w:rPr>
          <w:rFonts w:eastAsia="Times New Roman" w:cs="Times New Roman"/>
          <w:b/>
          <w:i/>
          <w:iCs/>
          <w:szCs w:val="24"/>
        </w:rPr>
        <w:t>:</w:t>
      </w:r>
      <w:r w:rsidRPr="00AA4677">
        <w:rPr>
          <w:rFonts w:eastAsia="Times New Roman" w:cs="Times New Roman"/>
          <w:i/>
          <w:iCs/>
          <w:szCs w:val="24"/>
        </w:rPr>
        <w:t xml:space="preserve"> </w:t>
      </w:r>
      <w:r w:rsidR="00FC174E" w:rsidRPr="00AA4677">
        <w:rPr>
          <w:rFonts w:eastAsia="Times New Roman" w:cs="Times New Roman"/>
          <w:i/>
          <w:iCs/>
          <w:szCs w:val="24"/>
        </w:rPr>
        <w:t>The use or disclosure of protected health information involves no more than a minimal risk to the privacy of individuals, based on, at least, the presence of the following elements:</w:t>
      </w:r>
    </w:p>
    <w:p w14:paraId="313A2637" w14:textId="01BEC48B" w:rsidR="00FC174E" w:rsidRPr="00AA4677" w:rsidRDefault="004844ED">
      <w:pPr>
        <w:numPr>
          <w:ilvl w:val="0"/>
          <w:numId w:val="53"/>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A</w:t>
      </w:r>
      <w:r w:rsidR="00FC174E" w:rsidRPr="00AA4677">
        <w:rPr>
          <w:rFonts w:eastAsia="Times New Roman" w:cs="Times New Roman"/>
          <w:szCs w:val="24"/>
        </w:rPr>
        <w:t xml:space="preserve">n adequate plan to protect the identifiers from improper use and </w:t>
      </w:r>
      <w:proofErr w:type="gramStart"/>
      <w:r w:rsidR="00FC174E" w:rsidRPr="00AA4677">
        <w:rPr>
          <w:rFonts w:eastAsia="Times New Roman" w:cs="Times New Roman"/>
          <w:szCs w:val="24"/>
        </w:rPr>
        <w:t>disclosure;</w:t>
      </w:r>
      <w:proofErr w:type="gramEnd"/>
    </w:p>
    <w:p w14:paraId="111383B5" w14:textId="77777777" w:rsidR="004844ED" w:rsidRPr="00AA4677" w:rsidRDefault="004844ED">
      <w:pPr>
        <w:numPr>
          <w:ilvl w:val="0"/>
          <w:numId w:val="53"/>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A</w:t>
      </w:r>
      <w:r w:rsidR="00FC174E" w:rsidRPr="00AA4677">
        <w:rPr>
          <w:rFonts w:eastAsia="Times New Roman" w:cs="Times New Roman"/>
          <w:szCs w:val="24"/>
        </w:rPr>
        <w:t xml:space="preserve">n adequate plan to destroy the identifiers at the earliest opportunity consistent with conduct of the research, unless there is a health or research justification for retaining the identifiers or such retention is otherwise required by </w:t>
      </w:r>
      <w:proofErr w:type="gramStart"/>
      <w:r w:rsidR="00FC174E" w:rsidRPr="00AA4677">
        <w:rPr>
          <w:rFonts w:eastAsia="Times New Roman" w:cs="Times New Roman"/>
          <w:szCs w:val="24"/>
        </w:rPr>
        <w:t>law;</w:t>
      </w:r>
      <w:proofErr w:type="gramEnd"/>
      <w:r w:rsidR="00FC174E" w:rsidRPr="00AA4677">
        <w:rPr>
          <w:rFonts w:eastAsia="Times New Roman" w:cs="Times New Roman"/>
          <w:szCs w:val="24"/>
        </w:rPr>
        <w:t xml:space="preserve"> </w:t>
      </w:r>
    </w:p>
    <w:p w14:paraId="01ECDB5A" w14:textId="34B065E3" w:rsidR="00FC174E" w:rsidRPr="00AA4677" w:rsidRDefault="004844ED">
      <w:pPr>
        <w:numPr>
          <w:ilvl w:val="0"/>
          <w:numId w:val="53"/>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A</w:t>
      </w:r>
      <w:r w:rsidR="00FC174E" w:rsidRPr="00AA4677">
        <w:rPr>
          <w:rFonts w:eastAsia="Times New Roman" w:cs="Times New Roman"/>
          <w:szCs w:val="24"/>
        </w:rPr>
        <w:t xml:space="preserve">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would be permitted by this </w:t>
      </w:r>
      <w:proofErr w:type="gramStart"/>
      <w:r w:rsidR="00FC174E" w:rsidRPr="00AA4677">
        <w:rPr>
          <w:rFonts w:eastAsia="Times New Roman" w:cs="Times New Roman"/>
          <w:szCs w:val="24"/>
        </w:rPr>
        <w:t>subpart;</w:t>
      </w:r>
      <w:proofErr w:type="gramEnd"/>
    </w:p>
    <w:p w14:paraId="76A7CB15" w14:textId="77777777" w:rsidR="00FC174E" w:rsidRPr="00AA4677" w:rsidRDefault="00FC174E">
      <w:pPr>
        <w:numPr>
          <w:ilvl w:val="0"/>
          <w:numId w:val="53"/>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The research could not practicably be conducted without the waiver or alteration; and</w:t>
      </w:r>
    </w:p>
    <w:p w14:paraId="68E6E2F1" w14:textId="77777777" w:rsidR="004844ED" w:rsidRPr="00AA4677" w:rsidRDefault="00FC174E">
      <w:pPr>
        <w:numPr>
          <w:ilvl w:val="0"/>
          <w:numId w:val="53"/>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lastRenderedPageBreak/>
        <w:t xml:space="preserve">The research could not </w:t>
      </w:r>
      <w:proofErr w:type="gramStart"/>
      <w:r w:rsidRPr="00AA4677">
        <w:rPr>
          <w:rFonts w:eastAsia="Times New Roman" w:cs="Times New Roman"/>
          <w:szCs w:val="24"/>
        </w:rPr>
        <w:t>practicably</w:t>
      </w:r>
      <w:proofErr w:type="gramEnd"/>
      <w:r w:rsidRPr="00AA4677">
        <w:rPr>
          <w:rFonts w:eastAsia="Times New Roman" w:cs="Times New Roman"/>
          <w:szCs w:val="24"/>
        </w:rPr>
        <w:t xml:space="preserve"> be conducted without access to and use of the protected health information. </w:t>
      </w:r>
    </w:p>
    <w:p w14:paraId="1DA40736" w14:textId="77777777" w:rsidR="00554DA9" w:rsidRPr="00AA4677" w:rsidRDefault="00554DA9" w:rsidP="00554DA9">
      <w:pPr>
        <w:shd w:val="clear" w:color="auto" w:fill="FFFFFF"/>
        <w:spacing w:after="0" w:line="240" w:lineRule="auto"/>
        <w:rPr>
          <w:rFonts w:eastAsia="Times New Roman" w:cs="Times New Roman"/>
          <w:szCs w:val="24"/>
        </w:rPr>
      </w:pPr>
    </w:p>
    <w:p w14:paraId="1E26D819" w14:textId="7C9D1F40" w:rsidR="00FC174E" w:rsidRPr="00AA4677" w:rsidRDefault="00FC174E" w:rsidP="00554DA9">
      <w:pPr>
        <w:shd w:val="clear" w:color="auto" w:fill="FFFFFF"/>
        <w:spacing w:after="0" w:line="240" w:lineRule="auto"/>
        <w:rPr>
          <w:rFonts w:eastAsia="Times New Roman" w:cs="Times New Roman"/>
          <w:szCs w:val="24"/>
        </w:rPr>
      </w:pPr>
      <w:r w:rsidRPr="00AA4677">
        <w:rPr>
          <w:rFonts w:eastAsia="Times New Roman" w:cs="Times New Roman"/>
          <w:szCs w:val="24"/>
        </w:rPr>
        <w:t>Patient Rights and Research</w:t>
      </w:r>
    </w:p>
    <w:p w14:paraId="040AF3F9" w14:textId="77777777" w:rsidR="001E7B14" w:rsidRPr="00AA4677" w:rsidRDefault="001E7B14" w:rsidP="00554DA9">
      <w:pPr>
        <w:shd w:val="clear" w:color="auto" w:fill="FFFFFF"/>
        <w:spacing w:after="0" w:line="240" w:lineRule="auto"/>
        <w:rPr>
          <w:rFonts w:eastAsia="Times New Roman" w:cs="Times New Roman"/>
          <w:szCs w:val="24"/>
        </w:rPr>
      </w:pPr>
    </w:p>
    <w:p w14:paraId="533CFE0A" w14:textId="02EAC818" w:rsidR="00FC174E" w:rsidRPr="00AA4677" w:rsidRDefault="00FC174E" w:rsidP="00554DA9">
      <w:pPr>
        <w:shd w:val="clear" w:color="auto" w:fill="FFFFFF"/>
        <w:spacing w:after="0" w:line="240" w:lineRule="auto"/>
        <w:rPr>
          <w:rFonts w:eastAsia="Times New Roman" w:cs="Times New Roman"/>
          <w:szCs w:val="24"/>
        </w:rPr>
      </w:pPr>
      <w:r w:rsidRPr="00AA4677">
        <w:rPr>
          <w:rFonts w:eastAsia="Times New Roman" w:cs="Times New Roman"/>
          <w:szCs w:val="24"/>
        </w:rPr>
        <w:t>Under HIPAA, patients have certain rights. Those that may affect research include the right to receive a Notice of Privacy Practices, the right to access, inspect, and receive a copy of one’s own PHI, the right to request an amendment to one’s own PHI, and the right to an accounting of certain disclosures of PHI that occur outside the scope of treatment, payment and health care operations that have not been authorized.</w:t>
      </w:r>
    </w:p>
    <w:p w14:paraId="79E569A1" w14:textId="77777777" w:rsidR="00E270A9" w:rsidRDefault="00E270A9" w:rsidP="00696B35">
      <w:pPr>
        <w:pStyle w:val="Heading2"/>
      </w:pPr>
      <w:bookmarkStart w:id="341" w:name="_Toc192678273"/>
    </w:p>
    <w:p w14:paraId="65EA9FFF" w14:textId="19FF8030" w:rsidR="00FC174E" w:rsidRPr="00AA4677" w:rsidRDefault="00FC174E" w:rsidP="00696B35">
      <w:pPr>
        <w:pStyle w:val="Heading2"/>
      </w:pPr>
      <w:r w:rsidRPr="00AA4677">
        <w:t>16.5 HIPAA and Documentation Requirements</w:t>
      </w:r>
      <w:bookmarkEnd w:id="341"/>
    </w:p>
    <w:p w14:paraId="03A754CA" w14:textId="77777777" w:rsidR="001668DC" w:rsidRPr="00AA4677" w:rsidRDefault="001668DC" w:rsidP="00554DA9">
      <w:pPr>
        <w:shd w:val="clear" w:color="auto" w:fill="FFFFFF"/>
        <w:spacing w:after="0" w:line="240" w:lineRule="auto"/>
        <w:rPr>
          <w:rFonts w:eastAsia="Times New Roman" w:cs="Times New Roman"/>
          <w:szCs w:val="24"/>
        </w:rPr>
      </w:pPr>
    </w:p>
    <w:p w14:paraId="6EFBFD1C" w14:textId="2559DE06" w:rsidR="00FC174E" w:rsidRPr="00AA4677" w:rsidRDefault="00FC174E" w:rsidP="00554DA9">
      <w:pPr>
        <w:shd w:val="clear" w:color="auto" w:fill="FFFFFF"/>
        <w:spacing w:after="0" w:line="240" w:lineRule="auto"/>
        <w:rPr>
          <w:rFonts w:eastAsia="Times New Roman" w:cs="Times New Roman"/>
          <w:szCs w:val="24"/>
        </w:rPr>
      </w:pPr>
      <w:r w:rsidRPr="00AA4677">
        <w:rPr>
          <w:rFonts w:eastAsia="Times New Roman" w:cs="Times New Roman"/>
          <w:szCs w:val="24"/>
        </w:rPr>
        <w:t xml:space="preserve">Where health information is proposed for use or disclosure in a research activity, applicable HIPAA documents must be included with the </w:t>
      </w:r>
      <w:r w:rsidR="00EE7207" w:rsidRPr="00AA4677">
        <w:rPr>
          <w:rFonts w:eastAsia="Times New Roman" w:cs="Times New Roman"/>
          <w:szCs w:val="24"/>
        </w:rPr>
        <w:t>IRB</w:t>
      </w:r>
      <w:r w:rsidRPr="00AA4677">
        <w:rPr>
          <w:rFonts w:eastAsia="Times New Roman" w:cs="Times New Roman"/>
          <w:szCs w:val="24"/>
        </w:rPr>
        <w:t xml:space="preserve"> submission, e.g.:</w:t>
      </w:r>
    </w:p>
    <w:p w14:paraId="542A1262" w14:textId="4CA395BE" w:rsidR="00FC174E" w:rsidRPr="00AA4677" w:rsidRDefault="00554DA9">
      <w:pPr>
        <w:numPr>
          <w:ilvl w:val="0"/>
          <w:numId w:val="245"/>
        </w:numPr>
        <w:shd w:val="clear" w:color="auto" w:fill="FFFFFF"/>
        <w:spacing w:after="0" w:line="240" w:lineRule="auto"/>
        <w:rPr>
          <w:rFonts w:eastAsia="Times New Roman" w:cs="Times New Roman"/>
          <w:szCs w:val="24"/>
        </w:rPr>
      </w:pPr>
      <w:r w:rsidRPr="00AA4677">
        <w:rPr>
          <w:rFonts w:eastAsia="Times New Roman" w:cs="Times New Roman"/>
          <w:szCs w:val="24"/>
        </w:rPr>
        <w:t>C</w:t>
      </w:r>
      <w:r w:rsidR="00FC174E" w:rsidRPr="00AA4677">
        <w:rPr>
          <w:rFonts w:eastAsia="Times New Roman" w:cs="Times New Roman"/>
          <w:szCs w:val="24"/>
        </w:rPr>
        <w:t>onsent/authorization form,</w:t>
      </w:r>
    </w:p>
    <w:p w14:paraId="6D101323" w14:textId="77777777" w:rsidR="00FC174E" w:rsidRPr="00AA4677" w:rsidRDefault="00FC174E">
      <w:pPr>
        <w:numPr>
          <w:ilvl w:val="0"/>
          <w:numId w:val="245"/>
        </w:numPr>
        <w:shd w:val="clear" w:color="auto" w:fill="FFFFFF"/>
        <w:spacing w:after="0" w:line="240" w:lineRule="auto"/>
        <w:rPr>
          <w:rFonts w:eastAsia="Times New Roman" w:cs="Times New Roman"/>
          <w:szCs w:val="24"/>
        </w:rPr>
      </w:pPr>
      <w:r w:rsidRPr="00AA4677">
        <w:rPr>
          <w:rFonts w:eastAsia="Times New Roman" w:cs="Times New Roman"/>
          <w:szCs w:val="24"/>
        </w:rPr>
        <w:t>HIPAA Waiver of Authorization Form,</w:t>
      </w:r>
    </w:p>
    <w:p w14:paraId="1CBB283E" w14:textId="77777777" w:rsidR="00FC174E" w:rsidRPr="00AA4677" w:rsidRDefault="00FC174E">
      <w:pPr>
        <w:numPr>
          <w:ilvl w:val="0"/>
          <w:numId w:val="245"/>
        </w:numPr>
        <w:shd w:val="clear" w:color="auto" w:fill="FFFFFF"/>
        <w:spacing w:after="0" w:line="240" w:lineRule="auto"/>
        <w:rPr>
          <w:rFonts w:eastAsia="Times New Roman" w:cs="Times New Roman"/>
          <w:szCs w:val="24"/>
        </w:rPr>
      </w:pPr>
      <w:r w:rsidRPr="00AA4677">
        <w:rPr>
          <w:rFonts w:eastAsia="Times New Roman" w:cs="Times New Roman"/>
          <w:szCs w:val="24"/>
        </w:rPr>
        <w:t>HIPAA Limited Data Set Form,</w:t>
      </w:r>
    </w:p>
    <w:p w14:paraId="5303962F" w14:textId="77777777" w:rsidR="00FC174E" w:rsidRPr="00AA4677" w:rsidRDefault="00FC174E">
      <w:pPr>
        <w:numPr>
          <w:ilvl w:val="0"/>
          <w:numId w:val="245"/>
        </w:numPr>
        <w:shd w:val="clear" w:color="auto" w:fill="FFFFFF"/>
        <w:spacing w:after="0" w:line="240" w:lineRule="auto"/>
        <w:rPr>
          <w:rFonts w:eastAsia="Times New Roman" w:cs="Times New Roman"/>
          <w:szCs w:val="24"/>
        </w:rPr>
      </w:pPr>
      <w:r w:rsidRPr="00AA4677">
        <w:rPr>
          <w:rFonts w:eastAsia="Times New Roman" w:cs="Times New Roman"/>
          <w:szCs w:val="24"/>
        </w:rPr>
        <w:t>HIPAA Research on Decedents Form,</w:t>
      </w:r>
    </w:p>
    <w:p w14:paraId="22F01B42" w14:textId="77777777" w:rsidR="00FC174E" w:rsidRPr="00AA4677" w:rsidRDefault="00FC174E">
      <w:pPr>
        <w:numPr>
          <w:ilvl w:val="0"/>
          <w:numId w:val="245"/>
        </w:numPr>
        <w:shd w:val="clear" w:color="auto" w:fill="FFFFFF"/>
        <w:spacing w:after="0" w:line="240" w:lineRule="auto"/>
        <w:rPr>
          <w:rFonts w:eastAsia="Times New Roman" w:cs="Times New Roman"/>
          <w:szCs w:val="24"/>
        </w:rPr>
      </w:pPr>
      <w:r w:rsidRPr="00AA4677">
        <w:rPr>
          <w:rFonts w:eastAsia="Times New Roman" w:cs="Times New Roman"/>
          <w:szCs w:val="24"/>
        </w:rPr>
        <w:t>HIPAA Deidentification Form</w:t>
      </w:r>
    </w:p>
    <w:p w14:paraId="0FD066C2" w14:textId="77777777" w:rsidR="00973E2D" w:rsidRPr="00AA4677" w:rsidRDefault="00973E2D" w:rsidP="00973E2D">
      <w:pPr>
        <w:shd w:val="clear" w:color="auto" w:fill="FFFFFF"/>
        <w:spacing w:after="0" w:line="240" w:lineRule="auto"/>
        <w:rPr>
          <w:rFonts w:eastAsia="Times New Roman" w:cs="Times New Roman"/>
          <w:szCs w:val="24"/>
        </w:rPr>
      </w:pPr>
    </w:p>
    <w:p w14:paraId="5B0C1326" w14:textId="5DC9550B" w:rsidR="00973E2D" w:rsidRPr="00AA4677" w:rsidRDefault="00973E2D" w:rsidP="00973E2D">
      <w:pPr>
        <w:shd w:val="clear" w:color="auto" w:fill="FFFFFF"/>
        <w:spacing w:after="0" w:line="240" w:lineRule="auto"/>
        <w:rPr>
          <w:rFonts w:eastAsia="Times New Roman" w:cs="Times New Roman"/>
          <w:szCs w:val="24"/>
        </w:rPr>
      </w:pPr>
      <w:r w:rsidRPr="00AA4677">
        <w:rPr>
          <w:rFonts w:eastAsia="Times New Roman" w:cs="Times New Roman"/>
          <w:szCs w:val="24"/>
        </w:rPr>
        <w:t>16.6 HIPAA Requirements for Written Authorization</w:t>
      </w:r>
    </w:p>
    <w:p w14:paraId="6E0D34F2" w14:textId="77777777" w:rsidR="001668DC" w:rsidRPr="00AA4677" w:rsidRDefault="001668DC" w:rsidP="00973E2D">
      <w:pPr>
        <w:shd w:val="clear" w:color="auto" w:fill="FFFFFF"/>
        <w:spacing w:after="0" w:line="240" w:lineRule="auto"/>
        <w:rPr>
          <w:rFonts w:eastAsia="Times New Roman" w:cs="Times New Roman"/>
          <w:szCs w:val="24"/>
        </w:rPr>
      </w:pPr>
    </w:p>
    <w:p w14:paraId="55078860" w14:textId="456C7D3C" w:rsidR="00973E2D" w:rsidRPr="00AA4677" w:rsidRDefault="00973E2D" w:rsidP="00973E2D">
      <w:pPr>
        <w:shd w:val="clear" w:color="auto" w:fill="FFFFFF"/>
        <w:spacing w:after="0" w:line="240" w:lineRule="auto"/>
        <w:rPr>
          <w:rFonts w:eastAsia="Times New Roman" w:cs="Times New Roman"/>
          <w:szCs w:val="24"/>
        </w:rPr>
      </w:pPr>
      <w:r w:rsidRPr="00AA4677">
        <w:rPr>
          <w:rFonts w:eastAsia="Times New Roman" w:cs="Times New Roman"/>
          <w:szCs w:val="24"/>
        </w:rPr>
        <w:t>Stony Brook University requires that unless special circumstances exist, HIPAA authorization language must be inserted into the consent form when there is use or disclosure of Protected Health Information (PHI) for the purpose of research. When authorization is combined with the consent document, the IRB must review and approve the combined document. When a stand-alone authorization is used, the responsibility falls on the investigator. A valid authorization must contain six core element</w:t>
      </w:r>
      <w:r w:rsidR="00614E39" w:rsidRPr="00AA4677">
        <w:rPr>
          <w:rFonts w:eastAsia="Times New Roman" w:cs="Times New Roman"/>
          <w:szCs w:val="24"/>
        </w:rPr>
        <w:t>s and three required statements.</w:t>
      </w:r>
    </w:p>
    <w:p w14:paraId="4D685F23" w14:textId="77777777" w:rsidR="00973E2D" w:rsidRPr="00AA4677" w:rsidRDefault="00973E2D" w:rsidP="00973E2D">
      <w:pPr>
        <w:shd w:val="clear" w:color="auto" w:fill="FFFFFF"/>
        <w:spacing w:after="0" w:line="240" w:lineRule="auto"/>
        <w:rPr>
          <w:rFonts w:eastAsia="Times New Roman" w:cs="Times New Roman"/>
          <w:szCs w:val="24"/>
        </w:rPr>
      </w:pPr>
    </w:p>
    <w:p w14:paraId="671AC875" w14:textId="6A717FD7" w:rsidR="00973E2D" w:rsidRPr="00AA4677" w:rsidRDefault="00973E2D" w:rsidP="00973E2D">
      <w:pPr>
        <w:shd w:val="clear" w:color="auto" w:fill="FFFFFF"/>
        <w:spacing w:after="0" w:line="240" w:lineRule="auto"/>
        <w:rPr>
          <w:rFonts w:eastAsia="Times New Roman" w:cs="Times New Roman"/>
          <w:szCs w:val="24"/>
        </w:rPr>
      </w:pPr>
      <w:r w:rsidRPr="00AA4677">
        <w:rPr>
          <w:rFonts w:eastAsia="Times New Roman" w:cs="Times New Roman"/>
          <w:szCs w:val="24"/>
        </w:rPr>
        <w:t>Core elements</w:t>
      </w:r>
    </w:p>
    <w:p w14:paraId="1F423A57" w14:textId="597B8E86" w:rsidR="00973E2D" w:rsidRPr="00AA4677" w:rsidRDefault="00973E2D">
      <w:pPr>
        <w:pStyle w:val="ListParagraph"/>
        <w:numPr>
          <w:ilvl w:val="0"/>
          <w:numId w:val="325"/>
        </w:numPr>
        <w:shd w:val="clear" w:color="auto" w:fill="FFFFFF"/>
        <w:spacing w:after="0" w:line="240" w:lineRule="auto"/>
        <w:ind w:left="360"/>
        <w:rPr>
          <w:rFonts w:eastAsia="Times New Roman" w:cs="Times New Roman"/>
          <w:szCs w:val="24"/>
        </w:rPr>
      </w:pPr>
      <w:r w:rsidRPr="00AA4677">
        <w:rPr>
          <w:rFonts w:eastAsia="Times New Roman" w:cs="Times New Roman"/>
          <w:szCs w:val="24"/>
        </w:rPr>
        <w:t>Description of PHI to be used or disclosed th</w:t>
      </w:r>
      <w:r w:rsidR="000A6FE9" w:rsidRPr="00AA4677">
        <w:rPr>
          <w:rFonts w:eastAsia="Times New Roman" w:cs="Times New Roman"/>
          <w:szCs w:val="24"/>
        </w:rPr>
        <w:t>a</w:t>
      </w:r>
      <w:r w:rsidRPr="00AA4677">
        <w:rPr>
          <w:rFonts w:eastAsia="Times New Roman" w:cs="Times New Roman"/>
          <w:szCs w:val="24"/>
        </w:rPr>
        <w:t>t identifies the information in a specific and meaningful manner (description of Protected Health Information)</w:t>
      </w:r>
    </w:p>
    <w:p w14:paraId="60FFDA1C" w14:textId="1BAAB55C" w:rsidR="00973E2D" w:rsidRPr="00AA4677" w:rsidRDefault="00973E2D">
      <w:pPr>
        <w:pStyle w:val="ListParagraph"/>
        <w:numPr>
          <w:ilvl w:val="0"/>
          <w:numId w:val="325"/>
        </w:numPr>
        <w:shd w:val="clear" w:color="auto" w:fill="FFFFFF"/>
        <w:spacing w:after="0" w:line="240" w:lineRule="auto"/>
        <w:ind w:left="360"/>
        <w:rPr>
          <w:rFonts w:eastAsia="Times New Roman" w:cs="Times New Roman"/>
          <w:szCs w:val="24"/>
        </w:rPr>
      </w:pPr>
      <w:r w:rsidRPr="00AA4677">
        <w:rPr>
          <w:rFonts w:eastAsia="Times New Roman" w:cs="Times New Roman"/>
          <w:szCs w:val="24"/>
        </w:rPr>
        <w:t>The names or other specific identification of person or class of persons</w:t>
      </w:r>
      <w:r w:rsidR="00614E39" w:rsidRPr="00AA4677">
        <w:rPr>
          <w:rFonts w:eastAsia="Times New Roman" w:cs="Times New Roman"/>
          <w:szCs w:val="24"/>
        </w:rPr>
        <w:t xml:space="preserve"> authorized to make the requested</w:t>
      </w:r>
      <w:r w:rsidRPr="00AA4677">
        <w:rPr>
          <w:rFonts w:eastAsia="Times New Roman" w:cs="Times New Roman"/>
          <w:szCs w:val="24"/>
        </w:rPr>
        <w:t xml:space="preserve"> use or disclosure (who may use or disclose)</w:t>
      </w:r>
    </w:p>
    <w:p w14:paraId="3676F749" w14:textId="1D740686" w:rsidR="0040650F" w:rsidRPr="00AA4677" w:rsidRDefault="0040650F">
      <w:pPr>
        <w:pStyle w:val="ListParagraph"/>
        <w:numPr>
          <w:ilvl w:val="0"/>
          <w:numId w:val="325"/>
        </w:numPr>
        <w:shd w:val="clear" w:color="auto" w:fill="FFFFFF"/>
        <w:spacing w:after="0" w:line="240" w:lineRule="auto"/>
        <w:ind w:left="360"/>
        <w:rPr>
          <w:rFonts w:eastAsia="Times New Roman" w:cs="Times New Roman"/>
          <w:szCs w:val="24"/>
        </w:rPr>
      </w:pPr>
      <w:r w:rsidRPr="00AA4677">
        <w:rPr>
          <w:rFonts w:eastAsia="Times New Roman" w:cs="Times New Roman"/>
          <w:szCs w:val="24"/>
        </w:rPr>
        <w:t>The names or other specific identification of the person(s) or class of persons who may use the PHI</w:t>
      </w:r>
      <w:r w:rsidR="000A6FE9" w:rsidRPr="00AA4677">
        <w:rPr>
          <w:rFonts w:eastAsia="Times New Roman" w:cs="Times New Roman"/>
          <w:szCs w:val="24"/>
        </w:rPr>
        <w:t xml:space="preserve"> or to whom the covered entit</w:t>
      </w:r>
      <w:r w:rsidRPr="00AA4677">
        <w:rPr>
          <w:rFonts w:eastAsia="Times New Roman" w:cs="Times New Roman"/>
          <w:szCs w:val="24"/>
        </w:rPr>
        <w:t>y may make the requested disclosure</w:t>
      </w:r>
    </w:p>
    <w:p w14:paraId="5F402D12" w14:textId="0D363033" w:rsidR="00973E2D" w:rsidRPr="00AA4677" w:rsidRDefault="000A6FE9">
      <w:pPr>
        <w:pStyle w:val="ListParagraph"/>
        <w:numPr>
          <w:ilvl w:val="0"/>
          <w:numId w:val="325"/>
        </w:numPr>
        <w:shd w:val="clear" w:color="auto" w:fill="FFFFFF"/>
        <w:spacing w:after="0" w:line="240" w:lineRule="auto"/>
        <w:ind w:left="360"/>
        <w:rPr>
          <w:rFonts w:eastAsia="Times New Roman" w:cs="Times New Roman"/>
          <w:szCs w:val="24"/>
        </w:rPr>
      </w:pPr>
      <w:r w:rsidRPr="00AA4677">
        <w:rPr>
          <w:rFonts w:eastAsia="Times New Roman" w:cs="Times New Roman"/>
          <w:szCs w:val="24"/>
        </w:rPr>
        <w:t>De</w:t>
      </w:r>
      <w:r w:rsidR="00973E2D" w:rsidRPr="00AA4677">
        <w:rPr>
          <w:rFonts w:eastAsia="Times New Roman" w:cs="Times New Roman"/>
          <w:szCs w:val="24"/>
        </w:rPr>
        <w:t>scription of each purpose of the requested use or disclosure (</w:t>
      </w:r>
      <w:r w:rsidR="00B96AE1" w:rsidRPr="00AA4677">
        <w:rPr>
          <w:rFonts w:eastAsia="Times New Roman" w:cs="Times New Roman"/>
          <w:szCs w:val="24"/>
        </w:rPr>
        <w:t xml:space="preserve">must be research study </w:t>
      </w:r>
      <w:proofErr w:type="gramStart"/>
      <w:r w:rsidR="00B96AE1" w:rsidRPr="00AA4677">
        <w:rPr>
          <w:rFonts w:eastAsia="Times New Roman" w:cs="Times New Roman"/>
          <w:szCs w:val="24"/>
        </w:rPr>
        <w:t>specific;</w:t>
      </w:r>
      <w:proofErr w:type="gramEnd"/>
      <w:r w:rsidR="00B96AE1" w:rsidRPr="00AA4677">
        <w:rPr>
          <w:rFonts w:eastAsia="Times New Roman" w:cs="Times New Roman"/>
          <w:szCs w:val="24"/>
        </w:rPr>
        <w:t xml:space="preserve"> not for future unspecified resea</w:t>
      </w:r>
      <w:r w:rsidR="00D24881" w:rsidRPr="00AA4677">
        <w:rPr>
          <w:rFonts w:eastAsia="Times New Roman" w:cs="Times New Roman"/>
          <w:szCs w:val="24"/>
        </w:rPr>
        <w:t>r</w:t>
      </w:r>
      <w:r w:rsidR="00B96AE1" w:rsidRPr="00AA4677">
        <w:rPr>
          <w:rFonts w:eastAsia="Times New Roman" w:cs="Times New Roman"/>
          <w:szCs w:val="24"/>
        </w:rPr>
        <w:t>ch</w:t>
      </w:r>
      <w:r w:rsidR="0040650F" w:rsidRPr="00AA4677">
        <w:rPr>
          <w:rFonts w:eastAsia="Times New Roman" w:cs="Times New Roman"/>
          <w:szCs w:val="24"/>
        </w:rPr>
        <w:t>)</w:t>
      </w:r>
    </w:p>
    <w:p w14:paraId="6A196507" w14:textId="1D7AD1DA" w:rsidR="0040650F" w:rsidRPr="00AA4677" w:rsidRDefault="0040650F">
      <w:pPr>
        <w:pStyle w:val="ListParagraph"/>
        <w:numPr>
          <w:ilvl w:val="0"/>
          <w:numId w:val="325"/>
        </w:numPr>
        <w:shd w:val="clear" w:color="auto" w:fill="FFFFFF"/>
        <w:spacing w:after="0" w:line="240" w:lineRule="auto"/>
        <w:ind w:left="360"/>
        <w:rPr>
          <w:rFonts w:eastAsia="Times New Roman" w:cs="Times New Roman"/>
          <w:szCs w:val="24"/>
        </w:rPr>
      </w:pPr>
      <w:r w:rsidRPr="00AA4677">
        <w:rPr>
          <w:rFonts w:eastAsia="Times New Roman" w:cs="Times New Roman"/>
          <w:szCs w:val="24"/>
        </w:rPr>
        <w:lastRenderedPageBreak/>
        <w:t>Expiration date or event that relates to the individual or to the purpose of the use or disclosure (“end of study” and “none” may be used for research, including  the creation and maintenance of a research data base or repository)</w:t>
      </w:r>
    </w:p>
    <w:p w14:paraId="0BD14D53" w14:textId="1E8549C1" w:rsidR="0040650F" w:rsidRPr="00AA4677" w:rsidRDefault="0040650F">
      <w:pPr>
        <w:pStyle w:val="ListParagraph"/>
        <w:numPr>
          <w:ilvl w:val="0"/>
          <w:numId w:val="325"/>
        </w:numPr>
        <w:shd w:val="clear" w:color="auto" w:fill="FFFFFF"/>
        <w:spacing w:after="0" w:line="240" w:lineRule="auto"/>
        <w:ind w:left="360"/>
        <w:rPr>
          <w:rFonts w:eastAsia="Times New Roman" w:cs="Times New Roman"/>
          <w:szCs w:val="24"/>
        </w:rPr>
      </w:pPr>
      <w:r w:rsidRPr="00AA4677">
        <w:rPr>
          <w:rFonts w:eastAsia="Times New Roman" w:cs="Times New Roman"/>
          <w:szCs w:val="24"/>
        </w:rPr>
        <w:t>Signature and the individual and date. I</w:t>
      </w:r>
      <w:r w:rsidR="009274C7" w:rsidRPr="00AA4677">
        <w:rPr>
          <w:rFonts w:eastAsia="Times New Roman" w:cs="Times New Roman"/>
          <w:szCs w:val="24"/>
        </w:rPr>
        <w:t>f the authorization</w:t>
      </w:r>
      <w:r w:rsidRPr="00AA4677">
        <w:rPr>
          <w:rFonts w:eastAsia="Times New Roman" w:cs="Times New Roman"/>
          <w:szCs w:val="24"/>
        </w:rPr>
        <w:t xml:space="preserve"> is signed by an</w:t>
      </w:r>
      <w:r w:rsidR="009274C7" w:rsidRPr="00AA4677">
        <w:rPr>
          <w:rFonts w:eastAsia="Times New Roman" w:cs="Times New Roman"/>
          <w:szCs w:val="24"/>
        </w:rPr>
        <w:t xml:space="preserve"> </w:t>
      </w:r>
      <w:r w:rsidR="000A6FE9" w:rsidRPr="00AA4677">
        <w:rPr>
          <w:rFonts w:eastAsia="Times New Roman" w:cs="Times New Roman"/>
          <w:szCs w:val="24"/>
        </w:rPr>
        <w:t>individual</w:t>
      </w:r>
      <w:r w:rsidRPr="00AA4677">
        <w:rPr>
          <w:rFonts w:eastAsia="Times New Roman" w:cs="Times New Roman"/>
          <w:szCs w:val="24"/>
        </w:rPr>
        <w:t>’s person</w:t>
      </w:r>
      <w:r w:rsidR="009274C7" w:rsidRPr="00AA4677">
        <w:rPr>
          <w:rFonts w:eastAsia="Times New Roman" w:cs="Times New Roman"/>
          <w:szCs w:val="24"/>
        </w:rPr>
        <w:t>a</w:t>
      </w:r>
      <w:r w:rsidRPr="00AA4677">
        <w:rPr>
          <w:rFonts w:eastAsia="Times New Roman" w:cs="Times New Roman"/>
          <w:szCs w:val="24"/>
        </w:rPr>
        <w:t>l representative, a description of the individual’s authority to act for the individual</w:t>
      </w:r>
      <w:r w:rsidR="009274C7" w:rsidRPr="00AA4677">
        <w:rPr>
          <w:rFonts w:eastAsia="Times New Roman" w:cs="Times New Roman"/>
          <w:szCs w:val="24"/>
        </w:rPr>
        <w:t xml:space="preserve"> must be included</w:t>
      </w:r>
    </w:p>
    <w:p w14:paraId="4049D412" w14:textId="1507AADC" w:rsidR="0040650F" w:rsidRPr="00AA4677" w:rsidRDefault="0040650F" w:rsidP="0040650F">
      <w:pPr>
        <w:shd w:val="clear" w:color="auto" w:fill="FFFFFF"/>
        <w:spacing w:after="0" w:line="240" w:lineRule="auto"/>
        <w:rPr>
          <w:rFonts w:eastAsia="Times New Roman" w:cs="Times New Roman"/>
          <w:szCs w:val="24"/>
        </w:rPr>
      </w:pPr>
    </w:p>
    <w:p w14:paraId="62327590" w14:textId="141354CA" w:rsidR="0040650F" w:rsidRPr="00AA4677" w:rsidRDefault="0040650F" w:rsidP="0040650F">
      <w:pPr>
        <w:shd w:val="clear" w:color="auto" w:fill="FFFFFF"/>
        <w:spacing w:after="0" w:line="240" w:lineRule="auto"/>
        <w:rPr>
          <w:rFonts w:eastAsia="Times New Roman" w:cs="Times New Roman"/>
          <w:szCs w:val="24"/>
        </w:rPr>
      </w:pPr>
      <w:r w:rsidRPr="00AA4677">
        <w:rPr>
          <w:rFonts w:eastAsia="Times New Roman" w:cs="Times New Roman"/>
          <w:szCs w:val="24"/>
        </w:rPr>
        <w:t>Required Statements</w:t>
      </w:r>
    </w:p>
    <w:p w14:paraId="44A87837" w14:textId="73958CC0" w:rsidR="0040650F" w:rsidRPr="00AA4677" w:rsidRDefault="0040650F">
      <w:pPr>
        <w:pStyle w:val="ListParagraph"/>
        <w:numPr>
          <w:ilvl w:val="0"/>
          <w:numId w:val="326"/>
        </w:numPr>
        <w:shd w:val="clear" w:color="auto" w:fill="FFFFFF"/>
        <w:spacing w:after="0" w:line="240" w:lineRule="auto"/>
        <w:ind w:left="360"/>
        <w:rPr>
          <w:rFonts w:eastAsia="Times New Roman" w:cs="Times New Roman"/>
          <w:szCs w:val="24"/>
        </w:rPr>
      </w:pPr>
      <w:r w:rsidRPr="00AA4677">
        <w:rPr>
          <w:rFonts w:eastAsia="Times New Roman" w:cs="Times New Roman"/>
          <w:szCs w:val="24"/>
        </w:rPr>
        <w:t>The individu</w:t>
      </w:r>
      <w:r w:rsidR="000A6FE9" w:rsidRPr="00AA4677">
        <w:rPr>
          <w:rFonts w:eastAsia="Times New Roman" w:cs="Times New Roman"/>
          <w:szCs w:val="24"/>
        </w:rPr>
        <w:t>al</w:t>
      </w:r>
      <w:r w:rsidRPr="00AA4677">
        <w:rPr>
          <w:rFonts w:eastAsia="Times New Roman" w:cs="Times New Roman"/>
          <w:szCs w:val="24"/>
        </w:rPr>
        <w:t>’s right to revoke his/her authorization in writing and either (a) the exceptions to the right to revoke and a description of how the individual may revoke his/her authorization or (b) reference to the corresponding sections fo</w:t>
      </w:r>
      <w:r w:rsidR="000A6FE9" w:rsidRPr="00AA4677">
        <w:rPr>
          <w:rFonts w:eastAsia="Times New Roman" w:cs="Times New Roman"/>
          <w:szCs w:val="24"/>
        </w:rPr>
        <w:t>r</w:t>
      </w:r>
      <w:r w:rsidRPr="00AA4677">
        <w:rPr>
          <w:rFonts w:eastAsia="Times New Roman" w:cs="Times New Roman"/>
          <w:szCs w:val="24"/>
        </w:rPr>
        <w:t xml:space="preserve"> the covered entity’s Notice of Privacy Practices</w:t>
      </w:r>
    </w:p>
    <w:p w14:paraId="22A40006" w14:textId="3880997B" w:rsidR="0040650F" w:rsidRPr="00AA4677" w:rsidRDefault="0040650F">
      <w:pPr>
        <w:pStyle w:val="ListParagraph"/>
        <w:numPr>
          <w:ilvl w:val="0"/>
          <w:numId w:val="326"/>
        </w:numPr>
        <w:shd w:val="clear" w:color="auto" w:fill="FFFFFF"/>
        <w:spacing w:after="0" w:line="240" w:lineRule="auto"/>
        <w:ind w:left="360"/>
        <w:rPr>
          <w:rFonts w:eastAsia="Times New Roman" w:cs="Times New Roman"/>
          <w:szCs w:val="24"/>
        </w:rPr>
      </w:pPr>
      <w:r w:rsidRPr="00AA4677">
        <w:rPr>
          <w:rFonts w:eastAsia="Times New Roman" w:cs="Times New Roman"/>
          <w:szCs w:val="24"/>
        </w:rPr>
        <w:t>Notice of the covered entity’s ability or inability to condition treatment, payment, enrollment or eligibili</w:t>
      </w:r>
      <w:r w:rsidR="000A6FE9" w:rsidRPr="00AA4677">
        <w:rPr>
          <w:rFonts w:eastAsia="Times New Roman" w:cs="Times New Roman"/>
          <w:szCs w:val="24"/>
        </w:rPr>
        <w:t>ty for benefits on the aut</w:t>
      </w:r>
      <w:r w:rsidRPr="00AA4677">
        <w:rPr>
          <w:rFonts w:eastAsia="Times New Roman" w:cs="Times New Roman"/>
          <w:szCs w:val="24"/>
        </w:rPr>
        <w:t>horization, including research-related interventio</w:t>
      </w:r>
      <w:r w:rsidR="00614E39" w:rsidRPr="00AA4677">
        <w:rPr>
          <w:rFonts w:eastAsia="Times New Roman" w:cs="Times New Roman"/>
          <w:szCs w:val="24"/>
        </w:rPr>
        <w:t>n, and if applicable consequences</w:t>
      </w:r>
      <w:r w:rsidRPr="00AA4677">
        <w:rPr>
          <w:rFonts w:eastAsia="Times New Roman" w:cs="Times New Roman"/>
          <w:szCs w:val="24"/>
        </w:rPr>
        <w:t xml:space="preserve"> of refusing to sign the authorization</w:t>
      </w:r>
    </w:p>
    <w:p w14:paraId="72B06F20" w14:textId="4770264F" w:rsidR="0040650F" w:rsidRPr="00AA4677" w:rsidRDefault="0040650F">
      <w:pPr>
        <w:pStyle w:val="ListParagraph"/>
        <w:numPr>
          <w:ilvl w:val="0"/>
          <w:numId w:val="326"/>
        </w:numPr>
        <w:shd w:val="clear" w:color="auto" w:fill="FFFFFF"/>
        <w:spacing w:after="0" w:line="240" w:lineRule="auto"/>
        <w:ind w:left="360"/>
        <w:rPr>
          <w:rFonts w:eastAsia="Times New Roman" w:cs="Times New Roman"/>
          <w:szCs w:val="24"/>
        </w:rPr>
      </w:pPr>
      <w:r w:rsidRPr="00AA4677">
        <w:rPr>
          <w:rFonts w:eastAsia="Times New Roman" w:cs="Times New Roman"/>
          <w:szCs w:val="24"/>
        </w:rPr>
        <w:t>The potential for the PHI to be re-disclosed by the recipient and no longer protected by the Privacy Rule. This may be a general statement that the Privacy rule may no longer protect the PHI</w:t>
      </w:r>
    </w:p>
    <w:p w14:paraId="78BC995F" w14:textId="5EB39FFE" w:rsidR="00973E2D" w:rsidRPr="00AA4677" w:rsidRDefault="00973E2D" w:rsidP="00973E2D">
      <w:pPr>
        <w:shd w:val="clear" w:color="auto" w:fill="FFFFFF"/>
        <w:spacing w:after="0" w:line="240" w:lineRule="auto"/>
        <w:rPr>
          <w:rFonts w:eastAsia="Times New Roman" w:cs="Times New Roman"/>
          <w:szCs w:val="24"/>
        </w:rPr>
      </w:pPr>
    </w:p>
    <w:p w14:paraId="2C0DC025" w14:textId="15CA88F2" w:rsidR="009274C7" w:rsidRPr="00AA4677" w:rsidRDefault="009274C7" w:rsidP="00973E2D">
      <w:pPr>
        <w:shd w:val="clear" w:color="auto" w:fill="FFFFFF"/>
        <w:spacing w:after="0" w:line="240" w:lineRule="auto"/>
        <w:rPr>
          <w:rFonts w:eastAsia="Times New Roman" w:cs="Times New Roman"/>
          <w:szCs w:val="24"/>
        </w:rPr>
      </w:pPr>
      <w:r w:rsidRPr="00AA4677">
        <w:rPr>
          <w:rFonts w:eastAsia="Times New Roman" w:cs="Times New Roman"/>
          <w:szCs w:val="24"/>
        </w:rPr>
        <w:t>A subject may revoke his/her authorization at any time. If the subject revokes authorization, t</w:t>
      </w:r>
      <w:r w:rsidR="000A6FE9" w:rsidRPr="00AA4677">
        <w:rPr>
          <w:rFonts w:eastAsia="Times New Roman" w:cs="Times New Roman"/>
          <w:szCs w:val="24"/>
        </w:rPr>
        <w:t>he covered entit</w:t>
      </w:r>
      <w:r w:rsidRPr="00AA4677">
        <w:rPr>
          <w:rFonts w:eastAsia="Times New Roman" w:cs="Times New Roman"/>
          <w:szCs w:val="24"/>
        </w:rPr>
        <w:t>y may continue to use and disclose PHI that was obtained before the individual</w:t>
      </w:r>
      <w:r w:rsidR="000A6FE9" w:rsidRPr="00AA4677">
        <w:rPr>
          <w:rFonts w:eastAsia="Times New Roman" w:cs="Times New Roman"/>
          <w:szCs w:val="24"/>
        </w:rPr>
        <w:t xml:space="preserve"> revo</w:t>
      </w:r>
      <w:r w:rsidRPr="00AA4677">
        <w:rPr>
          <w:rFonts w:eastAsia="Times New Roman" w:cs="Times New Roman"/>
          <w:szCs w:val="24"/>
        </w:rPr>
        <w:t>ked his/her authorization. Revocation of authorization does not mean that the data collected to date must be disposed.  T</w:t>
      </w:r>
      <w:r w:rsidR="000A6FE9" w:rsidRPr="00AA4677">
        <w:rPr>
          <w:rFonts w:eastAsia="Times New Roman" w:cs="Times New Roman"/>
          <w:szCs w:val="24"/>
        </w:rPr>
        <w:t>his permits the covered entit</w:t>
      </w:r>
      <w:r w:rsidRPr="00AA4677">
        <w:rPr>
          <w:rFonts w:eastAsia="Times New Roman" w:cs="Times New Roman"/>
          <w:szCs w:val="24"/>
        </w:rPr>
        <w:t>y and research</w:t>
      </w:r>
      <w:r w:rsidR="000A6FE9" w:rsidRPr="00AA4677">
        <w:rPr>
          <w:rFonts w:eastAsia="Times New Roman" w:cs="Times New Roman"/>
          <w:szCs w:val="24"/>
        </w:rPr>
        <w:t>ers</w:t>
      </w:r>
      <w:r w:rsidRPr="00AA4677">
        <w:rPr>
          <w:rFonts w:eastAsia="Times New Roman" w:cs="Times New Roman"/>
          <w:szCs w:val="24"/>
        </w:rPr>
        <w:t xml:space="preserve"> </w:t>
      </w:r>
      <w:r w:rsidR="000A6FE9" w:rsidRPr="00AA4677">
        <w:rPr>
          <w:rFonts w:eastAsia="Times New Roman" w:cs="Times New Roman"/>
          <w:szCs w:val="24"/>
        </w:rPr>
        <w:t>t</w:t>
      </w:r>
      <w:r w:rsidRPr="00AA4677">
        <w:rPr>
          <w:rFonts w:eastAsia="Times New Roman" w:cs="Times New Roman"/>
          <w:szCs w:val="24"/>
        </w:rPr>
        <w:t xml:space="preserve">o protect the integrity of the research. </w:t>
      </w:r>
    </w:p>
    <w:p w14:paraId="11DE3069" w14:textId="1993D739" w:rsidR="00973E2D" w:rsidRPr="00AA4677" w:rsidRDefault="00973E2D" w:rsidP="00973E2D">
      <w:pPr>
        <w:pStyle w:val="Heading1"/>
      </w:pPr>
    </w:p>
    <w:p w14:paraId="28D46C67" w14:textId="3A20A81D" w:rsidR="00FC174E" w:rsidRPr="00AA4677" w:rsidRDefault="00FC174E" w:rsidP="00973E2D">
      <w:pPr>
        <w:pStyle w:val="Heading1"/>
      </w:pPr>
      <w:bookmarkStart w:id="342" w:name="_Toc192678274"/>
      <w:r w:rsidRPr="00AA4677">
        <w:t>17 Special Topics</w:t>
      </w:r>
      <w:bookmarkEnd w:id="342"/>
    </w:p>
    <w:p w14:paraId="784F76DE" w14:textId="77777777" w:rsidR="00FC174E" w:rsidRPr="00AA4677" w:rsidRDefault="00FC174E" w:rsidP="00696B35">
      <w:pPr>
        <w:pStyle w:val="Heading2"/>
      </w:pPr>
      <w:bookmarkStart w:id="343" w:name="_Toc192678275"/>
      <w:r w:rsidRPr="00AA4677">
        <w:t>17.1 Quality Assurance/ Quality Improvement (QA/QI) Activities vs. Research Activities</w:t>
      </w:r>
      <w:bookmarkEnd w:id="343"/>
    </w:p>
    <w:p w14:paraId="03147CD7" w14:textId="7C9B5A5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QA/QI initiatives are a mandated function of </w:t>
      </w:r>
      <w:r w:rsidR="001E7B14" w:rsidRPr="00AA4677">
        <w:rPr>
          <w:rFonts w:eastAsia="Times New Roman" w:cs="Times New Roman"/>
          <w:szCs w:val="24"/>
        </w:rPr>
        <w:t>the University Hospital</w:t>
      </w:r>
      <w:r w:rsidRPr="00AA4677">
        <w:rPr>
          <w:rFonts w:eastAsia="Times New Roman" w:cs="Times New Roman"/>
          <w:szCs w:val="24"/>
        </w:rPr>
        <w:t xml:space="preserve">. Some of these initiatives are implemented after thorough </w:t>
      </w:r>
      <w:proofErr w:type="gramStart"/>
      <w:r w:rsidRPr="00AA4677">
        <w:rPr>
          <w:rFonts w:eastAsia="Times New Roman" w:cs="Times New Roman"/>
          <w:szCs w:val="24"/>
        </w:rPr>
        <w:t>evidenced</w:t>
      </w:r>
      <w:proofErr w:type="gramEnd"/>
      <w:r w:rsidRPr="00AA4677">
        <w:rPr>
          <w:rFonts w:eastAsia="Times New Roman" w:cs="Times New Roman"/>
          <w:szCs w:val="24"/>
        </w:rPr>
        <w:t>-based best practices are identified, in response to an identified safety issue, or to improve the delivery of care and avoid potential safety issues.  </w:t>
      </w:r>
      <w:r w:rsidRPr="00AA4677">
        <w:rPr>
          <w:rFonts w:eastAsia="Times New Roman" w:cs="Times New Roman"/>
          <w:b/>
          <w:bCs/>
          <w:szCs w:val="24"/>
        </w:rPr>
        <w:t>The overarching intent of the initiatives is continuous monitoring of hospital operations and im</w:t>
      </w:r>
      <w:r w:rsidR="001E7B14" w:rsidRPr="00AA4677">
        <w:rPr>
          <w:rFonts w:eastAsia="Times New Roman" w:cs="Times New Roman"/>
          <w:b/>
          <w:bCs/>
          <w:szCs w:val="24"/>
        </w:rPr>
        <w:t>proved care of our patients</w:t>
      </w:r>
      <w:r w:rsidRPr="00AA4677">
        <w:rPr>
          <w:rFonts w:eastAsia="Times New Roman" w:cs="Times New Roman"/>
          <w:b/>
          <w:bCs/>
          <w:szCs w:val="24"/>
        </w:rPr>
        <w:t xml:space="preserve"> at Stony Brook University Medical Center.</w:t>
      </w:r>
    </w:p>
    <w:p w14:paraId="4405FEB3" w14:textId="2E9A61F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Please note that the 'Application for Designation of Activity as Quality Assurance/Quality Improvement or Research" is available in the</w:t>
      </w:r>
      <w:r w:rsidR="00F42298" w:rsidRPr="00AA4677">
        <w:rPr>
          <w:rFonts w:eastAsia="Times New Roman" w:cs="Times New Roman"/>
          <w:b/>
          <w:bCs/>
          <w:szCs w:val="24"/>
        </w:rPr>
        <w:t xml:space="preserve"> </w:t>
      </w:r>
      <w:r w:rsidR="00DC5138" w:rsidRPr="00AA4677">
        <w:rPr>
          <w:rFonts w:eastAsia="Times New Roman" w:cs="Times New Roman"/>
          <w:b/>
          <w:bCs/>
          <w:szCs w:val="24"/>
        </w:rPr>
        <w:t>electronic management system</w:t>
      </w:r>
      <w:r w:rsidR="00F42298" w:rsidRPr="00AA4677">
        <w:rPr>
          <w:rFonts w:eastAsia="Times New Roman" w:cs="Times New Roman"/>
          <w:b/>
          <w:bCs/>
          <w:szCs w:val="24"/>
        </w:rPr>
        <w:t xml:space="preserve"> in the </w:t>
      </w:r>
      <w:r w:rsidRPr="00AA4677">
        <w:rPr>
          <w:rFonts w:eastAsia="Times New Roman" w:cs="Times New Roman"/>
          <w:b/>
          <w:bCs/>
          <w:szCs w:val="24"/>
        </w:rPr>
        <w:t>Forms and Documents Library to assist the investigator in the proper designation for the activity.</w:t>
      </w:r>
    </w:p>
    <w:p w14:paraId="3508F485"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QA/QI initiatives</w:t>
      </w:r>
    </w:p>
    <w:p w14:paraId="3399547B" w14:textId="1DFBCAE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Cs/>
          <w:szCs w:val="24"/>
        </w:rPr>
        <w:lastRenderedPageBreak/>
        <w:t xml:space="preserve">The following activities are not considered research activities at </w:t>
      </w:r>
      <w:r w:rsidR="00F42298" w:rsidRPr="00AA4677">
        <w:rPr>
          <w:rFonts w:eastAsia="Times New Roman" w:cs="Times New Roman"/>
          <w:bCs/>
          <w:szCs w:val="24"/>
        </w:rPr>
        <w:t>the University</w:t>
      </w:r>
      <w:r w:rsidRPr="00AA4677">
        <w:rPr>
          <w:rFonts w:eastAsia="Times New Roman" w:cs="Times New Roman"/>
          <w:bCs/>
          <w:szCs w:val="24"/>
        </w:rPr>
        <w:t xml:space="preserve">. The responsible conduct of the activities </w:t>
      </w:r>
      <w:r w:rsidR="001E7B14" w:rsidRPr="00AA4677">
        <w:rPr>
          <w:rFonts w:eastAsia="Times New Roman" w:cs="Times New Roman"/>
          <w:bCs/>
          <w:szCs w:val="24"/>
        </w:rPr>
        <w:t xml:space="preserve">listed </w:t>
      </w:r>
      <w:r w:rsidRPr="00AA4677">
        <w:rPr>
          <w:rFonts w:eastAsia="Times New Roman" w:cs="Times New Roman"/>
          <w:bCs/>
          <w:szCs w:val="24"/>
        </w:rPr>
        <w:t>below falls under the jurisdiction of SBUMC’s Division of Medical and Regulatory Affairs and/or a hospital-recognized departmental quality assurance committee (collectively referred to from this point on as ‘Hospital QA’):</w:t>
      </w:r>
    </w:p>
    <w:p w14:paraId="1C4AB513" w14:textId="77777777" w:rsidR="00FC174E" w:rsidRPr="00AA4677" w:rsidRDefault="00FC174E">
      <w:pPr>
        <w:numPr>
          <w:ilvl w:val="0"/>
          <w:numId w:val="5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Any hospital QA initiatives, and presentation/publication of results thereof, that are conducted within SBUMC only, and that serve to:</w:t>
      </w:r>
    </w:p>
    <w:p w14:paraId="12DE0A3A" w14:textId="4290FBF4" w:rsidR="00F42298" w:rsidRPr="00AA4677" w:rsidRDefault="00F42298">
      <w:pPr>
        <w:numPr>
          <w:ilvl w:val="0"/>
          <w:numId w:val="304"/>
        </w:numPr>
        <w:shd w:val="clear" w:color="auto" w:fill="FFFFFF"/>
        <w:spacing w:after="0" w:line="240" w:lineRule="auto"/>
        <w:rPr>
          <w:rFonts w:eastAsia="Times New Roman" w:cs="Times New Roman"/>
          <w:szCs w:val="24"/>
        </w:rPr>
      </w:pPr>
      <w:r w:rsidRPr="00AA4677">
        <w:rPr>
          <w:rFonts w:eastAsia="Times New Roman" w:cs="Times New Roman"/>
          <w:szCs w:val="24"/>
        </w:rPr>
        <w:t>M</w:t>
      </w:r>
      <w:r w:rsidR="00FC174E" w:rsidRPr="00AA4677">
        <w:rPr>
          <w:rFonts w:eastAsia="Times New Roman" w:cs="Times New Roman"/>
          <w:szCs w:val="24"/>
        </w:rPr>
        <w:t>easure or improve SBU’s ability to meet or exceed an existing national standard of care or benchmark (J</w:t>
      </w:r>
      <w:r w:rsidR="00FC025D" w:rsidRPr="00AA4677">
        <w:rPr>
          <w:rFonts w:eastAsia="Times New Roman" w:cs="Times New Roman"/>
          <w:szCs w:val="24"/>
        </w:rPr>
        <w:t>oint Commission</w:t>
      </w:r>
      <w:r w:rsidR="00FC174E" w:rsidRPr="00AA4677">
        <w:rPr>
          <w:rFonts w:eastAsia="Times New Roman" w:cs="Times New Roman"/>
          <w:szCs w:val="24"/>
        </w:rPr>
        <w:t>, etc</w:t>
      </w:r>
      <w:r w:rsidRPr="00AA4677">
        <w:rPr>
          <w:rFonts w:eastAsia="Times New Roman" w:cs="Times New Roman"/>
          <w:szCs w:val="24"/>
        </w:rPr>
        <w:t>.</w:t>
      </w:r>
      <w:r w:rsidR="00FC174E" w:rsidRPr="00AA4677">
        <w:rPr>
          <w:rFonts w:eastAsia="Times New Roman" w:cs="Times New Roman"/>
          <w:szCs w:val="24"/>
        </w:rPr>
        <w:t>)</w:t>
      </w:r>
      <w:r w:rsidR="001E7B14" w:rsidRPr="00AA4677">
        <w:rPr>
          <w:rFonts w:eastAsia="Times New Roman" w:cs="Times New Roman"/>
          <w:szCs w:val="24"/>
        </w:rPr>
        <w:t>,</w:t>
      </w:r>
      <w:r w:rsidRPr="00AA4677">
        <w:rPr>
          <w:rFonts w:eastAsia="Times New Roman" w:cs="Times New Roman"/>
          <w:szCs w:val="24"/>
        </w:rPr>
        <w:t xml:space="preserve"> OR </w:t>
      </w:r>
    </w:p>
    <w:p w14:paraId="2EAF0969" w14:textId="614EF54F" w:rsidR="00F42298" w:rsidRPr="00AA4677" w:rsidRDefault="00F42298">
      <w:pPr>
        <w:numPr>
          <w:ilvl w:val="0"/>
          <w:numId w:val="304"/>
        </w:numPr>
        <w:shd w:val="clear" w:color="auto" w:fill="FFFFFF"/>
        <w:spacing w:after="0" w:line="240" w:lineRule="auto"/>
        <w:rPr>
          <w:rFonts w:eastAsia="Times New Roman" w:cs="Times New Roman"/>
          <w:szCs w:val="24"/>
        </w:rPr>
      </w:pPr>
      <w:r w:rsidRPr="00AA4677">
        <w:rPr>
          <w:rFonts w:eastAsia="Times New Roman" w:cs="Times New Roman"/>
          <w:b/>
          <w:bCs/>
          <w:szCs w:val="24"/>
        </w:rPr>
        <w:t>D</w:t>
      </w:r>
      <w:r w:rsidR="00FC174E" w:rsidRPr="00AA4677">
        <w:rPr>
          <w:rFonts w:eastAsia="Times New Roman" w:cs="Times New Roman"/>
          <w:b/>
          <w:bCs/>
          <w:szCs w:val="24"/>
        </w:rPr>
        <w:t>evelop </w:t>
      </w:r>
      <w:r w:rsidR="00FC174E" w:rsidRPr="00AA4677">
        <w:rPr>
          <w:rFonts w:eastAsia="Times New Roman" w:cs="Times New Roman"/>
          <w:szCs w:val="24"/>
        </w:rPr>
        <w:t>a standard of care or benchmark </w:t>
      </w:r>
      <w:r w:rsidR="00FC174E" w:rsidRPr="00AA4677">
        <w:rPr>
          <w:rFonts w:eastAsia="Times New Roman" w:cs="Times New Roman"/>
          <w:b/>
          <w:bCs/>
          <w:szCs w:val="24"/>
        </w:rPr>
        <w:t>for applicability within SBUMC</w:t>
      </w:r>
      <w:r w:rsidR="00E16A6D" w:rsidRPr="00AA4677">
        <w:rPr>
          <w:rFonts w:eastAsia="Times New Roman" w:cs="Times New Roman"/>
          <w:b/>
          <w:bCs/>
          <w:szCs w:val="24"/>
        </w:rPr>
        <w:t>.</w:t>
      </w:r>
    </w:p>
    <w:p w14:paraId="1AC7DF9A" w14:textId="0C08CABA" w:rsidR="00FC174E" w:rsidRPr="00AA4677" w:rsidRDefault="00FC174E">
      <w:pPr>
        <w:numPr>
          <w:ilvl w:val="0"/>
          <w:numId w:val="304"/>
        </w:numPr>
        <w:shd w:val="clear" w:color="auto" w:fill="FFFFFF"/>
        <w:spacing w:after="0" w:line="240" w:lineRule="auto"/>
        <w:rPr>
          <w:rFonts w:eastAsia="Times New Roman" w:cs="Times New Roman"/>
          <w:szCs w:val="24"/>
        </w:rPr>
      </w:pPr>
      <w:r w:rsidRPr="00AA4677">
        <w:rPr>
          <w:rFonts w:eastAsia="Times New Roman" w:cs="Times New Roman"/>
          <w:b/>
          <w:bCs/>
          <w:szCs w:val="24"/>
        </w:rPr>
        <w:t>Submission of data to a national or state registry/database:</w:t>
      </w:r>
    </w:p>
    <w:p w14:paraId="428CF0FD" w14:textId="214D4194" w:rsidR="00FC174E" w:rsidRPr="00AA4677" w:rsidRDefault="00E16A6D">
      <w:pPr>
        <w:pStyle w:val="ListParagraph"/>
        <w:numPr>
          <w:ilvl w:val="0"/>
          <w:numId w:val="118"/>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hat is mandated at the state or federal level</w:t>
      </w:r>
      <w:r w:rsidR="001E7B14" w:rsidRPr="00AA4677">
        <w:rPr>
          <w:rFonts w:eastAsia="Times New Roman" w:cs="Times New Roman"/>
          <w:szCs w:val="24"/>
        </w:rPr>
        <w:t>,</w:t>
      </w:r>
      <w:r w:rsidRPr="00AA4677">
        <w:rPr>
          <w:rFonts w:eastAsia="Times New Roman" w:cs="Times New Roman"/>
          <w:szCs w:val="24"/>
        </w:rPr>
        <w:t xml:space="preserve"> OR </w:t>
      </w:r>
    </w:p>
    <w:p w14:paraId="5289E4A1" w14:textId="77777777" w:rsidR="00E16A6D" w:rsidRPr="00AA4677" w:rsidRDefault="00FC174E">
      <w:pPr>
        <w:pStyle w:val="ListParagraph"/>
        <w:numPr>
          <w:ilvl w:val="0"/>
          <w:numId w:val="118"/>
        </w:numPr>
        <w:shd w:val="clear" w:color="auto" w:fill="FFFFFF"/>
        <w:tabs>
          <w:tab w:val="num" w:pos="1080"/>
        </w:tabs>
        <w:spacing w:after="0" w:line="240" w:lineRule="auto"/>
        <w:rPr>
          <w:rFonts w:eastAsia="Times New Roman" w:cs="Times New Roman"/>
          <w:szCs w:val="24"/>
        </w:rPr>
      </w:pPr>
      <w:r w:rsidRPr="00AA4677">
        <w:rPr>
          <w:rFonts w:eastAsia="Times New Roman" w:cs="Times New Roman"/>
          <w:szCs w:val="24"/>
        </w:rPr>
        <w:t>That directly impacts reimbursements and funding available from the state, Department of Health, or federal Centers for Medicare &amp; Medicaid Services (CMS) based on performance and/</w:t>
      </w:r>
      <w:r w:rsidR="00E16A6D" w:rsidRPr="00AA4677">
        <w:rPr>
          <w:rFonts w:eastAsia="Times New Roman" w:cs="Times New Roman"/>
          <w:szCs w:val="24"/>
        </w:rPr>
        <w:t xml:space="preserve">or clinical or quality outcomes, OR </w:t>
      </w:r>
    </w:p>
    <w:p w14:paraId="16508D85" w14:textId="3910AE08" w:rsidR="00FC174E" w:rsidRPr="00AA4677" w:rsidRDefault="00FC174E">
      <w:pPr>
        <w:pStyle w:val="ListParagraph"/>
        <w:numPr>
          <w:ilvl w:val="0"/>
          <w:numId w:val="118"/>
        </w:numPr>
        <w:shd w:val="clear" w:color="auto" w:fill="FFFFFF"/>
        <w:tabs>
          <w:tab w:val="num" w:pos="1080"/>
        </w:tabs>
        <w:spacing w:after="0" w:line="240" w:lineRule="auto"/>
        <w:rPr>
          <w:rFonts w:eastAsia="Times New Roman" w:cs="Times New Roman"/>
          <w:szCs w:val="24"/>
        </w:rPr>
      </w:pPr>
      <w:r w:rsidRPr="00AA4677">
        <w:rPr>
          <w:rFonts w:eastAsia="Times New Roman" w:cs="Times New Roman"/>
          <w:szCs w:val="24"/>
        </w:rPr>
        <w:t xml:space="preserve">That is maintained by an organization/consortium, formally recognized by SBUMC’s Division of Medical </w:t>
      </w:r>
      <w:r w:rsidR="007258EB" w:rsidRPr="00AA4677">
        <w:rPr>
          <w:rFonts w:eastAsia="Times New Roman" w:cs="Times New Roman"/>
          <w:szCs w:val="24"/>
        </w:rPr>
        <w:t xml:space="preserve">and </w:t>
      </w:r>
      <w:r w:rsidRPr="00AA4677">
        <w:rPr>
          <w:rFonts w:eastAsia="Times New Roman" w:cs="Times New Roman"/>
          <w:szCs w:val="24"/>
        </w:rPr>
        <w:t>Regulatory Affairs, </w:t>
      </w:r>
      <w:r w:rsidRPr="00AA4677">
        <w:rPr>
          <w:rFonts w:eastAsia="Times New Roman" w:cs="Times New Roman"/>
          <w:b/>
          <w:bCs/>
          <w:szCs w:val="24"/>
        </w:rPr>
        <w:t>the principal purpose of which is</w:t>
      </w:r>
      <w:r w:rsidRPr="00AA4677">
        <w:rPr>
          <w:rFonts w:eastAsia="Times New Roman" w:cs="Times New Roman"/>
          <w:szCs w:val="24"/>
        </w:rPr>
        <w:t xml:space="preserve"> benchmarking and/or performance improvement, the use of which is for internal </w:t>
      </w:r>
      <w:r w:rsidR="00E16A6D" w:rsidRPr="00AA4677">
        <w:rPr>
          <w:rFonts w:eastAsia="Times New Roman" w:cs="Times New Roman"/>
          <w:szCs w:val="24"/>
        </w:rPr>
        <w:t xml:space="preserve">University </w:t>
      </w:r>
      <w:r w:rsidRPr="00AA4677">
        <w:rPr>
          <w:rFonts w:eastAsia="Times New Roman" w:cs="Times New Roman"/>
          <w:szCs w:val="24"/>
        </w:rPr>
        <w:t>activities</w:t>
      </w:r>
      <w:r w:rsidR="00E16A6D" w:rsidRPr="00AA4677">
        <w:rPr>
          <w:rFonts w:eastAsia="Times New Roman" w:cs="Times New Roman"/>
          <w:szCs w:val="24"/>
        </w:rPr>
        <w:t>.</w:t>
      </w:r>
    </w:p>
    <w:p w14:paraId="2F5E3A1B" w14:textId="77777777" w:rsidR="00E16A6D" w:rsidRPr="00AA4677" w:rsidRDefault="00E16A6D" w:rsidP="00F42298">
      <w:pPr>
        <w:shd w:val="clear" w:color="auto" w:fill="FFFFFF"/>
        <w:spacing w:after="0" w:line="240" w:lineRule="auto"/>
        <w:rPr>
          <w:rFonts w:eastAsia="Times New Roman" w:cs="Times New Roman"/>
          <w:szCs w:val="24"/>
        </w:rPr>
      </w:pPr>
    </w:p>
    <w:p w14:paraId="2B51D626" w14:textId="77777777" w:rsidR="00FC174E" w:rsidRPr="00AA4677" w:rsidRDefault="00FC174E">
      <w:pPr>
        <w:numPr>
          <w:ilvl w:val="0"/>
          <w:numId w:val="54"/>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szCs w:val="24"/>
        </w:rPr>
        <w:t>Hospital QA use of data from a registry/database, meeting any of the criteria above, for the purpose of:</w:t>
      </w:r>
    </w:p>
    <w:p w14:paraId="4708900A" w14:textId="1EBBF765" w:rsidR="00FC174E" w:rsidRPr="00AA4677" w:rsidRDefault="00E16A6D">
      <w:pPr>
        <w:numPr>
          <w:ilvl w:val="0"/>
          <w:numId w:val="119"/>
        </w:numPr>
        <w:shd w:val="clear" w:color="auto" w:fill="FFFFFF"/>
        <w:spacing w:after="0" w:line="240" w:lineRule="auto"/>
        <w:ind w:left="720"/>
        <w:rPr>
          <w:rFonts w:eastAsia="Times New Roman" w:cs="Times New Roman"/>
          <w:szCs w:val="24"/>
        </w:rPr>
      </w:pPr>
      <w:r w:rsidRPr="00AA4677">
        <w:rPr>
          <w:rFonts w:eastAsia="Times New Roman" w:cs="Times New Roman"/>
          <w:b/>
          <w:bCs/>
          <w:szCs w:val="24"/>
        </w:rPr>
        <w:t>M</w:t>
      </w:r>
      <w:r w:rsidR="00FC174E" w:rsidRPr="00AA4677">
        <w:rPr>
          <w:rFonts w:eastAsia="Times New Roman" w:cs="Times New Roman"/>
          <w:b/>
          <w:bCs/>
          <w:szCs w:val="24"/>
        </w:rPr>
        <w:t>easuring or improving SBU’s</w:t>
      </w:r>
      <w:r w:rsidR="00FC174E" w:rsidRPr="00AA4677">
        <w:rPr>
          <w:rFonts w:eastAsia="Times New Roman" w:cs="Times New Roman"/>
          <w:szCs w:val="24"/>
        </w:rPr>
        <w:t> ability to meet or exceed an existing national standard of</w:t>
      </w:r>
      <w:r w:rsidRPr="00AA4677">
        <w:rPr>
          <w:rFonts w:eastAsia="Times New Roman" w:cs="Times New Roman"/>
          <w:szCs w:val="24"/>
        </w:rPr>
        <w:t xml:space="preserve"> care or benchmark (JCAHO, etc.). OR </w:t>
      </w:r>
    </w:p>
    <w:p w14:paraId="2E8AAD12" w14:textId="4978E70A" w:rsidR="00FC174E" w:rsidRPr="00AA4677" w:rsidRDefault="00E16A6D">
      <w:pPr>
        <w:numPr>
          <w:ilvl w:val="0"/>
          <w:numId w:val="119"/>
        </w:numPr>
        <w:shd w:val="clear" w:color="auto" w:fill="FFFFFF"/>
        <w:spacing w:after="0" w:line="240" w:lineRule="auto"/>
        <w:ind w:left="720"/>
        <w:rPr>
          <w:rFonts w:eastAsia="Times New Roman" w:cs="Times New Roman"/>
          <w:szCs w:val="24"/>
        </w:rPr>
      </w:pPr>
      <w:r w:rsidRPr="00AA4677">
        <w:rPr>
          <w:rFonts w:eastAsia="Times New Roman" w:cs="Times New Roman"/>
          <w:b/>
          <w:bCs/>
          <w:szCs w:val="24"/>
        </w:rPr>
        <w:t>D</w:t>
      </w:r>
      <w:r w:rsidR="00FC174E" w:rsidRPr="00AA4677">
        <w:rPr>
          <w:rFonts w:eastAsia="Times New Roman" w:cs="Times New Roman"/>
          <w:b/>
          <w:bCs/>
          <w:szCs w:val="24"/>
        </w:rPr>
        <w:t>eveloping </w:t>
      </w:r>
      <w:r w:rsidR="00FC174E" w:rsidRPr="00AA4677">
        <w:rPr>
          <w:rFonts w:eastAsia="Times New Roman" w:cs="Times New Roman"/>
          <w:szCs w:val="24"/>
        </w:rPr>
        <w:t>a standard of care or benchmark </w:t>
      </w:r>
      <w:r w:rsidR="00FC174E" w:rsidRPr="00AA4677">
        <w:rPr>
          <w:rFonts w:eastAsia="Times New Roman" w:cs="Times New Roman"/>
          <w:b/>
          <w:bCs/>
          <w:szCs w:val="24"/>
        </w:rPr>
        <w:t>for applicability within SBUMC.</w:t>
      </w:r>
    </w:p>
    <w:p w14:paraId="3B4CCCA1" w14:textId="6A8DC825" w:rsidR="00FC174E" w:rsidRPr="00AA4677" w:rsidRDefault="00FC174E" w:rsidP="00E16A6D">
      <w:pPr>
        <w:shd w:val="clear" w:color="auto" w:fill="FFFFFF"/>
        <w:spacing w:before="100" w:beforeAutospacing="1" w:after="100" w:afterAutospacing="1" w:line="240" w:lineRule="auto"/>
        <w:rPr>
          <w:sz w:val="27"/>
          <w:szCs w:val="27"/>
        </w:rPr>
      </w:pPr>
      <w:r w:rsidRPr="00AA4677">
        <w:rPr>
          <w:rFonts w:ascii="Times New Roman" w:eastAsia="Times New Roman" w:hAnsi="Times New Roman" w:cs="Times New Roman"/>
          <w:b/>
          <w:bCs/>
          <w:szCs w:val="24"/>
        </w:rPr>
        <w:t>​</w:t>
      </w:r>
      <w:r w:rsidRPr="00AA4677">
        <w:rPr>
          <w:rStyle w:val="Heading3Char"/>
          <w:rFonts w:eastAsiaTheme="minorHAnsi"/>
          <w:color w:val="auto"/>
        </w:rPr>
        <w:t>17.1.1 Research Activities</w:t>
      </w:r>
    </w:p>
    <w:p w14:paraId="0C531CB3" w14:textId="3BEEDB9C" w:rsidR="00FC174E" w:rsidRPr="00AA4677" w:rsidRDefault="00FC174E" w:rsidP="00E16A6D">
      <w:pPr>
        <w:shd w:val="clear" w:color="auto" w:fill="FFFFFF"/>
        <w:spacing w:after="0" w:line="240" w:lineRule="auto"/>
        <w:rPr>
          <w:rFonts w:eastAsia="Times New Roman" w:cs="Times New Roman"/>
          <w:szCs w:val="24"/>
        </w:rPr>
      </w:pPr>
      <w:r w:rsidRPr="00AA4677">
        <w:rPr>
          <w:rFonts w:eastAsia="Times New Roman" w:cs="Times New Roman"/>
          <w:b/>
          <w:bCs/>
          <w:szCs w:val="24"/>
        </w:rPr>
        <w:t xml:space="preserve">The following activities are considered research activities. The </w:t>
      </w:r>
      <w:proofErr w:type="gramStart"/>
      <w:r w:rsidRPr="00AA4677">
        <w:rPr>
          <w:rFonts w:eastAsia="Times New Roman" w:cs="Times New Roman"/>
          <w:b/>
          <w:bCs/>
          <w:szCs w:val="24"/>
        </w:rPr>
        <w:t>responsible conduct of the activities</w:t>
      </w:r>
      <w:proofErr w:type="gramEnd"/>
      <w:r w:rsidRPr="00AA4677">
        <w:rPr>
          <w:rFonts w:eastAsia="Times New Roman" w:cs="Times New Roman"/>
          <w:b/>
          <w:bCs/>
          <w:szCs w:val="24"/>
        </w:rPr>
        <w:t xml:space="preserve"> below </w:t>
      </w:r>
      <w:proofErr w:type="gramStart"/>
      <w:r w:rsidRPr="00AA4677">
        <w:rPr>
          <w:rFonts w:eastAsia="Times New Roman" w:cs="Times New Roman"/>
          <w:b/>
          <w:bCs/>
          <w:szCs w:val="24"/>
        </w:rPr>
        <w:t>fall</w:t>
      </w:r>
      <w:proofErr w:type="gramEnd"/>
      <w:r w:rsidRPr="00AA4677">
        <w:rPr>
          <w:rFonts w:eastAsia="Times New Roman" w:cs="Times New Roman"/>
          <w:b/>
          <w:bCs/>
          <w:szCs w:val="24"/>
        </w:rPr>
        <w:t xml:space="preserve"> under the jurisdiction of ORC and/or Institutional Review Board (IRB):</w:t>
      </w:r>
    </w:p>
    <w:p w14:paraId="6B80BB31" w14:textId="44921430" w:rsidR="00FC174E" w:rsidRPr="00AA4677" w:rsidRDefault="00FC174E">
      <w:pPr>
        <w:numPr>
          <w:ilvl w:val="0"/>
          <w:numId w:val="244"/>
        </w:numPr>
        <w:shd w:val="clear" w:color="auto" w:fill="FFFFFF"/>
        <w:spacing w:after="0" w:line="240" w:lineRule="auto"/>
        <w:rPr>
          <w:rFonts w:eastAsia="Times New Roman" w:cs="Times New Roman"/>
          <w:szCs w:val="24"/>
        </w:rPr>
      </w:pPr>
      <w:r w:rsidRPr="00AA4677">
        <w:rPr>
          <w:rFonts w:eastAsia="Times New Roman" w:cs="Times New Roman"/>
          <w:szCs w:val="24"/>
        </w:rPr>
        <w:t>Any hospital QA initiative, conducted within SBUMC only, designed to </w:t>
      </w:r>
      <w:r w:rsidRPr="00AA4677">
        <w:rPr>
          <w:rFonts w:eastAsia="Times New Roman" w:cs="Times New Roman"/>
          <w:b/>
          <w:bCs/>
          <w:szCs w:val="24"/>
        </w:rPr>
        <w:t>develop </w:t>
      </w:r>
      <w:r w:rsidRPr="00AA4677">
        <w:rPr>
          <w:rFonts w:eastAsia="Times New Roman" w:cs="Times New Roman"/>
          <w:szCs w:val="24"/>
        </w:rPr>
        <w:t>a standard of care or benchmark</w:t>
      </w:r>
      <w:r w:rsidR="00E16A6D" w:rsidRPr="00AA4677">
        <w:rPr>
          <w:rFonts w:eastAsia="Times New Roman" w:cs="Times New Roman"/>
          <w:szCs w:val="24"/>
        </w:rPr>
        <w:t xml:space="preserve"> </w:t>
      </w:r>
      <w:r w:rsidRPr="00AA4677">
        <w:rPr>
          <w:rFonts w:eastAsia="Times New Roman" w:cs="Times New Roman"/>
          <w:b/>
          <w:bCs/>
          <w:szCs w:val="24"/>
        </w:rPr>
        <w:t>for general applicability </w:t>
      </w:r>
      <w:r w:rsidRPr="00AA4677">
        <w:rPr>
          <w:rFonts w:eastAsia="Times New Roman" w:cs="Times New Roman"/>
          <w:szCs w:val="24"/>
        </w:rPr>
        <w:t>(i.e. not only for operations within SBUMC, but to outside entities as well). </w:t>
      </w:r>
    </w:p>
    <w:p w14:paraId="449A4189" w14:textId="0B6B1F3B" w:rsidR="00FC174E" w:rsidRPr="00AA4677" w:rsidRDefault="00FC174E">
      <w:pPr>
        <w:numPr>
          <w:ilvl w:val="0"/>
          <w:numId w:val="244"/>
        </w:numPr>
        <w:shd w:val="clear" w:color="auto" w:fill="FFFFFF"/>
        <w:spacing w:after="0" w:line="240" w:lineRule="auto"/>
        <w:rPr>
          <w:rFonts w:eastAsia="Times New Roman" w:cs="Times New Roman"/>
          <w:szCs w:val="24"/>
        </w:rPr>
      </w:pPr>
      <w:r w:rsidRPr="00AA4677">
        <w:rPr>
          <w:rFonts w:eastAsia="Times New Roman" w:cs="Times New Roman"/>
          <w:szCs w:val="24"/>
        </w:rPr>
        <w:t>Any QA or QI initiatives (including those proposing to </w:t>
      </w:r>
      <w:r w:rsidRPr="00AA4677">
        <w:rPr>
          <w:rFonts w:eastAsia="Times New Roman" w:cs="Times New Roman"/>
          <w:b/>
          <w:bCs/>
          <w:szCs w:val="24"/>
        </w:rPr>
        <w:t>develop</w:t>
      </w:r>
      <w:r w:rsidRPr="00AA4677">
        <w:rPr>
          <w:rFonts w:eastAsia="Times New Roman" w:cs="Times New Roman"/>
          <w:szCs w:val="24"/>
        </w:rPr>
        <w:t> an</w:t>
      </w:r>
      <w:r w:rsidR="001E7B14" w:rsidRPr="00AA4677">
        <w:rPr>
          <w:rFonts w:eastAsia="Times New Roman" w:cs="Times New Roman"/>
          <w:szCs w:val="24"/>
        </w:rPr>
        <w:t xml:space="preserve"> operational standard of care or</w:t>
      </w:r>
      <w:r w:rsidRPr="00AA4677">
        <w:rPr>
          <w:rFonts w:eastAsia="Times New Roman" w:cs="Times New Roman"/>
          <w:szCs w:val="24"/>
        </w:rPr>
        <w:t xml:space="preserve"> benchmark) that are “investigator-initiated”, i.e., that have not been vetted through, and endorsed by, SBUMC’s Division of  </w:t>
      </w:r>
      <w:r w:rsidR="007258EB" w:rsidRPr="00AA4677">
        <w:rPr>
          <w:rFonts w:eastAsia="Times New Roman" w:cs="Times New Roman"/>
          <w:szCs w:val="24"/>
        </w:rPr>
        <w:t xml:space="preserve">Medical and </w:t>
      </w:r>
      <w:r w:rsidRPr="00AA4677">
        <w:rPr>
          <w:rFonts w:eastAsia="Times New Roman" w:cs="Times New Roman"/>
          <w:szCs w:val="24"/>
        </w:rPr>
        <w:t>Regulatory Affairs and/or a hospital-recognized departmental QA committee).</w:t>
      </w:r>
    </w:p>
    <w:p w14:paraId="6CD0ECA0" w14:textId="77777777" w:rsidR="00FC174E" w:rsidRPr="00AA4677" w:rsidRDefault="00FC174E">
      <w:pPr>
        <w:numPr>
          <w:ilvl w:val="0"/>
          <w:numId w:val="244"/>
        </w:numPr>
        <w:shd w:val="clear" w:color="auto" w:fill="FFFFFF"/>
        <w:spacing w:after="0" w:line="240" w:lineRule="auto"/>
        <w:rPr>
          <w:rFonts w:eastAsia="Times New Roman" w:cs="Times New Roman"/>
          <w:szCs w:val="24"/>
        </w:rPr>
      </w:pPr>
      <w:r w:rsidRPr="00AA4677">
        <w:rPr>
          <w:rFonts w:eastAsia="Times New Roman" w:cs="Times New Roman"/>
          <w:szCs w:val="24"/>
        </w:rPr>
        <w:t>Submission of data to a registry/database that is not covered by those described above.</w:t>
      </w:r>
    </w:p>
    <w:p w14:paraId="26129762" w14:textId="5DEB14C8" w:rsidR="00FC174E" w:rsidRPr="00AA4677" w:rsidRDefault="00FC174E">
      <w:pPr>
        <w:numPr>
          <w:ilvl w:val="0"/>
          <w:numId w:val="244"/>
        </w:num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 xml:space="preserve">Use of data from any registry/database for the purpose of measuring, improving or developing a standard or benchmark, under any condition not covered in </w:t>
      </w:r>
      <w:r w:rsidR="00B1340C" w:rsidRPr="00AA4677">
        <w:rPr>
          <w:rFonts w:eastAsia="Times New Roman" w:cs="Times New Roman"/>
          <w:szCs w:val="24"/>
        </w:rPr>
        <w:t>the section above</w:t>
      </w:r>
      <w:r w:rsidRPr="00AA4677">
        <w:rPr>
          <w:rFonts w:eastAsia="Times New Roman" w:cs="Times New Roman"/>
          <w:szCs w:val="24"/>
        </w:rPr>
        <w:t>, including the use of registry data for the purpose of research. </w:t>
      </w:r>
    </w:p>
    <w:p w14:paraId="32465BC0" w14:textId="39B5DA9B" w:rsidR="00FC174E" w:rsidRPr="00AA4677" w:rsidRDefault="00FC174E">
      <w:pPr>
        <w:numPr>
          <w:ilvl w:val="0"/>
          <w:numId w:val="244"/>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Any activity that proposes comparisons of one or more prospective interventions that are deliberately administered or made available (through a randomization or other process) to some patients (if within </w:t>
      </w:r>
      <w:r w:rsidR="00E16A6D" w:rsidRPr="00AA4677">
        <w:rPr>
          <w:rFonts w:eastAsia="Times New Roman" w:cs="Times New Roman"/>
          <w:szCs w:val="24"/>
        </w:rPr>
        <w:t>the University</w:t>
      </w:r>
      <w:r w:rsidRPr="00AA4677">
        <w:rPr>
          <w:rFonts w:eastAsia="Times New Roman" w:cs="Times New Roman"/>
          <w:szCs w:val="24"/>
        </w:rPr>
        <w:t>) or some hospitals (if part of a consortium or organizational effort) and not to others. This does not include, e.g. init</w:t>
      </w:r>
      <w:r w:rsidR="00E16A6D" w:rsidRPr="00AA4677">
        <w:rPr>
          <w:rFonts w:eastAsia="Times New Roman" w:cs="Times New Roman"/>
          <w:szCs w:val="24"/>
        </w:rPr>
        <w:t>iating a QI process in a small percentage</w:t>
      </w:r>
      <w:r w:rsidRPr="00AA4677">
        <w:rPr>
          <w:rFonts w:eastAsia="Times New Roman" w:cs="Times New Roman"/>
          <w:szCs w:val="24"/>
        </w:rPr>
        <w:t xml:space="preserve"> of patients at SBUMC first to ensure feasibility, before introducing it to the entire patient population.</w:t>
      </w:r>
    </w:p>
    <w:p w14:paraId="503AA3B9" w14:textId="14076D34" w:rsidR="00FC174E" w:rsidRPr="00AA4677" w:rsidRDefault="00FC174E" w:rsidP="00C57C98">
      <w:pPr>
        <w:pStyle w:val="Heading3"/>
        <w:rPr>
          <w:sz w:val="27"/>
          <w:szCs w:val="27"/>
        </w:rPr>
      </w:pPr>
      <w:r w:rsidRPr="00AA4677">
        <w:t>17.1.2 Activities that have a mix of both QA/QI and Research Components</w:t>
      </w:r>
    </w:p>
    <w:p w14:paraId="75138266" w14:textId="3484E181" w:rsidR="00E16A6D"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Where your activity involves a mix of activities from Sections A and B, you will need to ensure compliance with the applicable entity, i.e. SBUMC’s Division of Medical </w:t>
      </w:r>
      <w:r w:rsidR="007258EB" w:rsidRPr="00AA4677">
        <w:rPr>
          <w:rFonts w:eastAsia="Times New Roman" w:cs="Times New Roman"/>
          <w:szCs w:val="24"/>
        </w:rPr>
        <w:t xml:space="preserve">and </w:t>
      </w:r>
      <w:r w:rsidRPr="00AA4677">
        <w:rPr>
          <w:rFonts w:eastAsia="Times New Roman" w:cs="Times New Roman"/>
          <w:szCs w:val="24"/>
        </w:rPr>
        <w:t xml:space="preserve">Regulatory Affairs for the QA/QI aspects and </w:t>
      </w:r>
      <w:r w:rsidR="00E16A6D" w:rsidRPr="00AA4677">
        <w:rPr>
          <w:rFonts w:eastAsia="Times New Roman" w:cs="Times New Roman"/>
          <w:szCs w:val="24"/>
        </w:rPr>
        <w:t>ORC</w:t>
      </w:r>
      <w:r w:rsidR="002C23B6" w:rsidRPr="00AA4677">
        <w:rPr>
          <w:rFonts w:eastAsia="Times New Roman" w:cs="Times New Roman"/>
          <w:szCs w:val="24"/>
        </w:rPr>
        <w:t xml:space="preserve"> </w:t>
      </w:r>
      <w:r w:rsidR="00E16A6D" w:rsidRPr="00AA4677">
        <w:rPr>
          <w:rFonts w:eastAsia="Times New Roman" w:cs="Times New Roman"/>
          <w:szCs w:val="24"/>
        </w:rPr>
        <w:t>IRB</w:t>
      </w:r>
      <w:r w:rsidRPr="00AA4677">
        <w:rPr>
          <w:rFonts w:eastAsia="Times New Roman" w:cs="Times New Roman"/>
          <w:szCs w:val="24"/>
        </w:rPr>
        <w:t xml:space="preserve"> for the research aspects of the activity (including securing approval prior to conducting the research aspect)</w:t>
      </w:r>
      <w:r w:rsidR="00E16A6D" w:rsidRPr="00AA4677">
        <w:rPr>
          <w:rFonts w:eastAsia="Times New Roman" w:cs="Times New Roman"/>
          <w:szCs w:val="24"/>
        </w:rPr>
        <w:t>.</w:t>
      </w:r>
    </w:p>
    <w:p w14:paraId="66942249" w14:textId="767554A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For any ‘questionable’ (QA vs. Research) activity not described above, please consult with the </w:t>
      </w:r>
      <w:r w:rsidR="00E16A6D" w:rsidRPr="00AA4677">
        <w:rPr>
          <w:rFonts w:eastAsia="Times New Roman" w:cs="Times New Roman"/>
          <w:b/>
          <w:bCs/>
          <w:szCs w:val="24"/>
        </w:rPr>
        <w:t>ORC</w:t>
      </w:r>
      <w:r w:rsidRPr="00AA4677">
        <w:rPr>
          <w:rFonts w:eastAsia="Times New Roman" w:cs="Times New Roman"/>
          <w:b/>
          <w:bCs/>
          <w:szCs w:val="24"/>
        </w:rPr>
        <w:t xml:space="preserve"> and/or the Division of Medic</w:t>
      </w:r>
      <w:r w:rsidR="007258EB" w:rsidRPr="00AA4677">
        <w:rPr>
          <w:rFonts w:eastAsia="Times New Roman" w:cs="Times New Roman"/>
          <w:b/>
          <w:bCs/>
          <w:szCs w:val="24"/>
        </w:rPr>
        <w:t xml:space="preserve">al and </w:t>
      </w:r>
      <w:r w:rsidRPr="00AA4677">
        <w:rPr>
          <w:rFonts w:eastAsia="Times New Roman" w:cs="Times New Roman"/>
          <w:b/>
          <w:bCs/>
          <w:szCs w:val="24"/>
        </w:rPr>
        <w:t>Regulatory Affairs for assistance. </w:t>
      </w:r>
    </w:p>
    <w:p w14:paraId="5BF42F26" w14:textId="77777777" w:rsidR="00FC174E" w:rsidRPr="00AA4677" w:rsidRDefault="00FC174E" w:rsidP="00696B35">
      <w:pPr>
        <w:pStyle w:val="Heading2"/>
      </w:pPr>
      <w:bookmarkStart w:id="344" w:name="_Toc192678276"/>
      <w:r w:rsidRPr="00AA4677">
        <w:t>17.2 Data/ Tissue Registries/ Banks</w:t>
      </w:r>
      <w:bookmarkEnd w:id="344"/>
    </w:p>
    <w:p w14:paraId="6949ED8C" w14:textId="77777777" w:rsidR="00F87FCD" w:rsidRPr="00AA4677" w:rsidRDefault="00F87FCD" w:rsidP="00C57C98">
      <w:pPr>
        <w:pStyle w:val="Heading3"/>
      </w:pPr>
      <w:r w:rsidRPr="00AA4677">
        <w:rPr>
          <w:rStyle w:val="Strong"/>
          <w:b/>
          <w:bCs/>
          <w:color w:val="auto"/>
        </w:rPr>
        <w:t>17.2.1 Mandated Registries and Biobanks</w:t>
      </w:r>
    </w:p>
    <w:p w14:paraId="542B072C" w14:textId="77777777" w:rsidR="00F87FCD" w:rsidRPr="00AA4677" w:rsidRDefault="00F87FCD" w:rsidP="00C57C98">
      <w:pPr>
        <w:pStyle w:val="Heading3"/>
      </w:pPr>
      <w:r w:rsidRPr="00AA4677">
        <w:t>Mandated registries and biobanks are those: </w:t>
      </w:r>
    </w:p>
    <w:p w14:paraId="11BF11BB" w14:textId="77777777" w:rsidR="00F87FCD" w:rsidRPr="00AA4677" w:rsidRDefault="00F87FCD">
      <w:pPr>
        <w:numPr>
          <w:ilvl w:val="0"/>
          <w:numId w:val="243"/>
        </w:numPr>
        <w:shd w:val="clear" w:color="auto" w:fill="FFFFFF"/>
        <w:spacing w:after="0" w:line="300" w:lineRule="atLeast"/>
        <w:ind w:left="360"/>
        <w:rPr>
          <w:rFonts w:cs="Helvetica"/>
          <w:szCs w:val="24"/>
        </w:rPr>
      </w:pPr>
      <w:r w:rsidRPr="00AA4677">
        <w:rPr>
          <w:rFonts w:cs="Helvetica"/>
          <w:szCs w:val="24"/>
        </w:rPr>
        <w:t xml:space="preserve">That </w:t>
      </w:r>
      <w:proofErr w:type="gramStart"/>
      <w:r w:rsidRPr="00AA4677">
        <w:rPr>
          <w:rFonts w:cs="Helvetica"/>
          <w:szCs w:val="24"/>
        </w:rPr>
        <w:t>are</w:t>
      </w:r>
      <w:proofErr w:type="gramEnd"/>
      <w:r w:rsidRPr="00AA4677">
        <w:rPr>
          <w:rFonts w:cs="Helvetica"/>
          <w:szCs w:val="24"/>
        </w:rPr>
        <w:t xml:space="preserve"> required by a state or federal agency, or </w:t>
      </w:r>
    </w:p>
    <w:p w14:paraId="6A17F83D" w14:textId="4A8208ED" w:rsidR="00F87FCD" w:rsidRPr="00AA4677" w:rsidRDefault="00F87FCD">
      <w:pPr>
        <w:numPr>
          <w:ilvl w:val="0"/>
          <w:numId w:val="243"/>
        </w:numPr>
        <w:shd w:val="clear" w:color="auto" w:fill="FFFFFF"/>
        <w:spacing w:after="0" w:line="300" w:lineRule="atLeast"/>
        <w:ind w:left="360"/>
        <w:rPr>
          <w:rFonts w:cs="Helvetica"/>
          <w:szCs w:val="24"/>
        </w:rPr>
      </w:pPr>
      <w:r w:rsidRPr="00AA4677">
        <w:rPr>
          <w:rFonts w:cs="Helvetica"/>
          <w:szCs w:val="24"/>
        </w:rPr>
        <w:t>Tha</w:t>
      </w:r>
      <w:r w:rsidR="002C23B6" w:rsidRPr="00AA4677">
        <w:rPr>
          <w:rFonts w:cs="Helvetica"/>
          <w:szCs w:val="24"/>
        </w:rPr>
        <w:t xml:space="preserve">t directly </w:t>
      </w:r>
      <w:proofErr w:type="gramStart"/>
      <w:r w:rsidR="002C23B6" w:rsidRPr="00AA4677">
        <w:rPr>
          <w:rFonts w:cs="Helvetica"/>
          <w:szCs w:val="24"/>
        </w:rPr>
        <w:t>impact</w:t>
      </w:r>
      <w:proofErr w:type="gramEnd"/>
      <w:r w:rsidR="002C23B6" w:rsidRPr="00AA4677">
        <w:rPr>
          <w:rFonts w:cs="Helvetica"/>
          <w:szCs w:val="24"/>
        </w:rPr>
        <w:t xml:space="preserve"> reimbursement</w:t>
      </w:r>
      <w:r w:rsidRPr="00AA4677">
        <w:rPr>
          <w:rFonts w:cs="Helvetica"/>
          <w:szCs w:val="24"/>
        </w:rPr>
        <w:t xml:space="preserve"> and funding available from the state, Department of Health, or federal Centers for Medicare &amp; Medicaid Services (CMS) based on performance and/or clinical or quality outcomes, or</w:t>
      </w:r>
    </w:p>
    <w:p w14:paraId="349B3D0A" w14:textId="563D55CC" w:rsidR="00F87FCD" w:rsidRPr="00AA4677" w:rsidRDefault="00F87FCD">
      <w:pPr>
        <w:numPr>
          <w:ilvl w:val="0"/>
          <w:numId w:val="243"/>
        </w:numPr>
        <w:shd w:val="clear" w:color="auto" w:fill="FFFFFF"/>
        <w:spacing w:after="0" w:line="300" w:lineRule="atLeast"/>
        <w:ind w:left="360"/>
        <w:rPr>
          <w:rFonts w:cs="Helvetica"/>
          <w:szCs w:val="24"/>
        </w:rPr>
      </w:pPr>
      <w:r w:rsidRPr="00AA4677">
        <w:rPr>
          <w:rFonts w:cs="Helvetica"/>
          <w:szCs w:val="24"/>
        </w:rPr>
        <w:t>That are required to meet Joint Commission and other written standards for the treatment, payment, and/or operation of SBU</w:t>
      </w:r>
      <w:r w:rsidR="002C23B6" w:rsidRPr="00AA4677">
        <w:rPr>
          <w:rFonts w:cs="Helvetica"/>
          <w:szCs w:val="24"/>
        </w:rPr>
        <w:t>’s University Hospital (SBUH),</w:t>
      </w:r>
      <w:r w:rsidRPr="00AA4677">
        <w:rPr>
          <w:rFonts w:cs="Helvetica"/>
          <w:szCs w:val="24"/>
        </w:rPr>
        <w:t xml:space="preserve"> SBUH departments or SBU Clinical Practice Management Plan (CPMP). </w:t>
      </w:r>
    </w:p>
    <w:p w14:paraId="23302DAE" w14:textId="77777777" w:rsidR="004A108B" w:rsidRPr="00AA4677" w:rsidRDefault="004A108B" w:rsidP="004A108B">
      <w:pPr>
        <w:pStyle w:val="NormalWeb"/>
        <w:shd w:val="clear" w:color="auto" w:fill="FFFFFF"/>
        <w:spacing w:before="0" w:beforeAutospacing="0" w:after="0" w:afterAutospacing="0"/>
        <w:rPr>
          <w:rFonts w:asciiTheme="minorHAnsi" w:hAnsiTheme="minorHAnsi" w:cs="Helvetica"/>
          <w:b/>
        </w:rPr>
      </w:pPr>
    </w:p>
    <w:p w14:paraId="7A2453E8" w14:textId="2CD47935" w:rsidR="00F87FCD" w:rsidRPr="00AA4677" w:rsidRDefault="00F87FCD" w:rsidP="002C23B6">
      <w:pPr>
        <w:pStyle w:val="NormalWeb"/>
        <w:shd w:val="clear" w:color="auto" w:fill="FFFFFF"/>
        <w:spacing w:before="0" w:beforeAutospacing="0" w:after="0" w:afterAutospacing="0"/>
        <w:rPr>
          <w:rFonts w:asciiTheme="minorHAnsi" w:hAnsiTheme="minorHAnsi" w:cstheme="minorHAnsi"/>
        </w:rPr>
      </w:pPr>
      <w:r w:rsidRPr="00AA4677">
        <w:rPr>
          <w:rFonts w:asciiTheme="minorHAnsi" w:hAnsiTheme="minorHAnsi" w:cstheme="minorHAnsi"/>
        </w:rPr>
        <w:t>These activities are not under IRB jurisdiction. However, proposed research on identifiable data or specimens from such registries or biobanks would require prior review and approval or exemption by an SBU IRB.</w:t>
      </w:r>
    </w:p>
    <w:p w14:paraId="5EB3E33D" w14:textId="77777777" w:rsidR="00F87FCD" w:rsidRPr="00AA4677" w:rsidRDefault="00F87FCD" w:rsidP="00C57C98">
      <w:pPr>
        <w:pStyle w:val="Heading3"/>
      </w:pPr>
      <w:r w:rsidRPr="00AA4677">
        <w:rPr>
          <w:rStyle w:val="Strong"/>
          <w:b/>
          <w:bCs/>
          <w:color w:val="auto"/>
        </w:rPr>
        <w:lastRenderedPageBreak/>
        <w:t>17.2.2 Non-Mandated Registries and Biobanks:</w:t>
      </w:r>
    </w:p>
    <w:p w14:paraId="36219405" w14:textId="463B3807" w:rsidR="00F87FCD" w:rsidRPr="00AA4677" w:rsidRDefault="00F87FCD" w:rsidP="00F87FCD">
      <w:pPr>
        <w:pStyle w:val="NormalWeb"/>
        <w:shd w:val="clear" w:color="auto" w:fill="FFFFFF"/>
        <w:spacing w:before="0" w:beforeAutospacing="0" w:after="300" w:afterAutospacing="0"/>
        <w:rPr>
          <w:rFonts w:asciiTheme="minorHAnsi" w:hAnsiTheme="minorHAnsi" w:cs="Helvetica"/>
          <w:color w:val="FF0000"/>
        </w:rPr>
      </w:pPr>
      <w:r w:rsidRPr="00AA4677">
        <w:rPr>
          <w:rFonts w:asciiTheme="minorHAnsi" w:hAnsiTheme="minorHAnsi" w:cs="Helvetica"/>
        </w:rPr>
        <w:t>Non-mandated registries and biobanks are those that are not listed above as mandatory. IRB oversight is dependent on the intent of the registry or biobank. </w:t>
      </w:r>
    </w:p>
    <w:p w14:paraId="41385D22" w14:textId="161C9CE6" w:rsidR="00F87FCD" w:rsidRPr="00AA4677" w:rsidRDefault="00F87FCD" w:rsidP="00F87FCD">
      <w:pPr>
        <w:pStyle w:val="NormalWeb"/>
        <w:shd w:val="clear" w:color="auto" w:fill="FFFFFF"/>
        <w:spacing w:before="0" w:beforeAutospacing="0" w:after="0" w:afterAutospacing="0"/>
        <w:rPr>
          <w:rFonts w:asciiTheme="minorHAnsi" w:hAnsiTheme="minorHAnsi" w:cs="Helvetica"/>
        </w:rPr>
      </w:pPr>
      <w:r w:rsidRPr="00AA4677">
        <w:rPr>
          <w:rStyle w:val="Strong"/>
          <w:rFonts w:asciiTheme="minorHAnsi" w:hAnsiTheme="minorHAnsi" w:cs="Helvetica"/>
          <w:bdr w:val="none" w:sz="0" w:space="0" w:color="auto" w:frame="1"/>
        </w:rPr>
        <w:t>If the primary intent of the registry/biobank is for SBU-recognized quality assurance activities</w:t>
      </w:r>
      <w:r w:rsidRPr="00AA4677">
        <w:rPr>
          <w:rFonts w:asciiTheme="minorHAnsi" w:hAnsiTheme="minorHAnsi" w:cs="Helvetica"/>
        </w:rPr>
        <w:t>, then the creation of the registry/biobank does not fall under the jurisdiction of the IRB. The creation, and subsequent QA use of data or tissue from, the regist</w:t>
      </w:r>
      <w:r w:rsidR="002C23B6" w:rsidRPr="00AA4677">
        <w:rPr>
          <w:rFonts w:asciiTheme="minorHAnsi" w:hAnsiTheme="minorHAnsi" w:cs="Helvetica"/>
        </w:rPr>
        <w:t>ry or biobank, must not begin</w:t>
      </w:r>
      <w:r w:rsidRPr="00AA4677">
        <w:rPr>
          <w:rFonts w:asciiTheme="minorHAnsi" w:hAnsiTheme="minorHAnsi" w:cs="Helvetica"/>
        </w:rPr>
        <w:t xml:space="preserve"> without prior written approval by an appropriate authority (see Section 17.1 for additional guidance on QA activities at the University).</w:t>
      </w:r>
    </w:p>
    <w:p w14:paraId="47512A51" w14:textId="77777777" w:rsidR="00F87FCD" w:rsidRPr="00AA4677" w:rsidRDefault="00F87FCD" w:rsidP="00F87FCD">
      <w:pPr>
        <w:pStyle w:val="NormalWeb"/>
        <w:shd w:val="clear" w:color="auto" w:fill="FFFFFF"/>
        <w:spacing w:before="0" w:beforeAutospacing="0" w:after="0" w:afterAutospacing="0"/>
        <w:rPr>
          <w:rFonts w:asciiTheme="minorHAnsi" w:hAnsiTheme="minorHAnsi" w:cs="Helvetica"/>
        </w:rPr>
      </w:pPr>
    </w:p>
    <w:p w14:paraId="2A59A89C" w14:textId="61D3356B" w:rsidR="00F87FCD" w:rsidRPr="00AA4677" w:rsidRDefault="002C23B6" w:rsidP="00F87FCD">
      <w:pPr>
        <w:pStyle w:val="NormalWeb"/>
        <w:shd w:val="clear" w:color="auto" w:fill="FFFFFF"/>
        <w:spacing w:before="0" w:beforeAutospacing="0" w:after="0" w:afterAutospacing="0"/>
        <w:rPr>
          <w:rFonts w:asciiTheme="minorHAnsi" w:hAnsiTheme="minorHAnsi" w:cs="Helvetica"/>
        </w:rPr>
      </w:pPr>
      <w:r w:rsidRPr="00AA4677">
        <w:rPr>
          <w:rStyle w:val="Strong"/>
          <w:rFonts w:asciiTheme="minorHAnsi" w:hAnsiTheme="minorHAnsi" w:cs="Helvetica"/>
          <w:bdr w:val="none" w:sz="0" w:space="0" w:color="auto" w:frame="1"/>
        </w:rPr>
        <w:t>A</w:t>
      </w:r>
      <w:r w:rsidR="00F87FCD" w:rsidRPr="00AA4677">
        <w:rPr>
          <w:rStyle w:val="Strong"/>
          <w:rFonts w:asciiTheme="minorHAnsi" w:hAnsiTheme="minorHAnsi" w:cs="Helvetica"/>
          <w:bdr w:val="none" w:sz="0" w:space="0" w:color="auto" w:frame="1"/>
        </w:rPr>
        <w:t>ny intent of the registry or biobank to bank data or tissue for future use in research activitie</w:t>
      </w:r>
      <w:r w:rsidRPr="00AA4677">
        <w:rPr>
          <w:rFonts w:asciiTheme="minorHAnsi" w:hAnsiTheme="minorHAnsi" w:cs="Helvetica"/>
          <w:b/>
          <w:bCs/>
        </w:rPr>
        <w:t>s</w:t>
      </w:r>
      <w:r w:rsidRPr="00AA4677">
        <w:rPr>
          <w:rFonts w:asciiTheme="minorHAnsi" w:hAnsiTheme="minorHAnsi" w:cs="Helvetica"/>
        </w:rPr>
        <w:t xml:space="preserve"> requires</w:t>
      </w:r>
      <w:r w:rsidR="00F87FCD" w:rsidRPr="00AA4677">
        <w:rPr>
          <w:rFonts w:asciiTheme="minorHAnsi" w:hAnsiTheme="minorHAnsi" w:cs="Helvetica"/>
        </w:rPr>
        <w:t xml:space="preserve"> IRB approval</w:t>
      </w:r>
      <w:r w:rsidRPr="00AA4677">
        <w:rPr>
          <w:rFonts w:asciiTheme="minorHAnsi" w:hAnsiTheme="minorHAnsi" w:cs="Helvetica"/>
        </w:rPr>
        <w:t>. Institutional Review Board approval</w:t>
      </w:r>
      <w:r w:rsidR="00F87FCD" w:rsidRPr="00AA4677">
        <w:rPr>
          <w:rFonts w:asciiTheme="minorHAnsi" w:hAnsiTheme="minorHAnsi" w:cs="Helvetica"/>
        </w:rPr>
        <w:t xml:space="preserve"> is required for the creation of the registry or biobank, and IRB review and approval (or exemption) is required for the individual research activities that use the banked data or tissue. This includes:</w:t>
      </w:r>
    </w:p>
    <w:p w14:paraId="0FD1536C" w14:textId="77777777" w:rsidR="00F87FCD" w:rsidRPr="00AA4677" w:rsidRDefault="00F87FCD" w:rsidP="00F87FCD">
      <w:pPr>
        <w:pStyle w:val="NormalWeb"/>
        <w:shd w:val="clear" w:color="auto" w:fill="FFFFFF"/>
        <w:spacing w:before="0" w:beforeAutospacing="0" w:after="0" w:afterAutospacing="0"/>
        <w:rPr>
          <w:rFonts w:asciiTheme="minorHAnsi" w:hAnsiTheme="minorHAnsi" w:cs="Helvetica"/>
        </w:rPr>
      </w:pPr>
    </w:p>
    <w:p w14:paraId="4CA6388C" w14:textId="77777777" w:rsidR="00F87FCD" w:rsidRPr="00AA4677" w:rsidRDefault="00F87FCD">
      <w:pPr>
        <w:numPr>
          <w:ilvl w:val="0"/>
          <w:numId w:val="242"/>
        </w:numPr>
        <w:shd w:val="clear" w:color="auto" w:fill="FFFFFF"/>
        <w:spacing w:after="0" w:line="300" w:lineRule="atLeast"/>
        <w:ind w:left="360"/>
        <w:rPr>
          <w:rFonts w:cs="Helvetica"/>
          <w:szCs w:val="24"/>
        </w:rPr>
      </w:pPr>
      <w:r w:rsidRPr="00AA4677">
        <w:rPr>
          <w:rFonts w:cs="Helvetica"/>
          <w:szCs w:val="24"/>
        </w:rPr>
        <w:t>Informed Consent: Patients must consent to their data and/or tissue being banked in a non-mandated registry/biobank. Their consent is for the banking process only, and the consent process must be clear that each subsequent research use of the patient’s (now subject’s) data or tissue will undergo an ethics review to determine ethical and scientific merits of the proposed research.</w:t>
      </w:r>
    </w:p>
    <w:p w14:paraId="6C7A2295" w14:textId="77777777" w:rsidR="00F87FCD" w:rsidRPr="00AA4677" w:rsidRDefault="00F87FCD" w:rsidP="00067941">
      <w:pPr>
        <w:shd w:val="clear" w:color="auto" w:fill="FFFFFF"/>
        <w:spacing w:after="0" w:line="300" w:lineRule="atLeast"/>
        <w:ind w:left="360" w:hanging="360"/>
        <w:rPr>
          <w:rFonts w:cs="Helvetica"/>
          <w:szCs w:val="24"/>
        </w:rPr>
      </w:pPr>
    </w:p>
    <w:p w14:paraId="1FD41E77" w14:textId="77777777" w:rsidR="00F87FCD" w:rsidRPr="00AA4677" w:rsidRDefault="00F87FCD">
      <w:pPr>
        <w:numPr>
          <w:ilvl w:val="0"/>
          <w:numId w:val="242"/>
        </w:numPr>
        <w:shd w:val="clear" w:color="auto" w:fill="FFFFFF"/>
        <w:spacing w:after="0" w:line="300" w:lineRule="atLeast"/>
        <w:ind w:left="360"/>
        <w:rPr>
          <w:rFonts w:cs="Helvetica"/>
          <w:szCs w:val="24"/>
        </w:rPr>
      </w:pPr>
      <w:r w:rsidRPr="00AA4677">
        <w:rPr>
          <w:rFonts w:cs="Helvetica"/>
          <w:szCs w:val="24"/>
        </w:rPr>
        <w:t>HIPAA Authorization: Patients must provide HIPAA authorization for their data and/or tissue to be banked in a non-mandated, non-QA registry/biobank. </w:t>
      </w:r>
    </w:p>
    <w:p w14:paraId="248DB1DB" w14:textId="77777777" w:rsidR="00F87FCD" w:rsidRPr="00AA4677" w:rsidRDefault="00F87FCD" w:rsidP="00067941">
      <w:pPr>
        <w:shd w:val="clear" w:color="auto" w:fill="FFFFFF"/>
        <w:spacing w:after="0" w:line="300" w:lineRule="atLeast"/>
        <w:ind w:left="360" w:hanging="360"/>
        <w:rPr>
          <w:rFonts w:cs="Helvetica"/>
          <w:szCs w:val="24"/>
        </w:rPr>
      </w:pPr>
    </w:p>
    <w:p w14:paraId="4978525F" w14:textId="514751A2" w:rsidR="004C2B3B" w:rsidRPr="00AA4677" w:rsidRDefault="00F87FCD">
      <w:pPr>
        <w:numPr>
          <w:ilvl w:val="0"/>
          <w:numId w:val="242"/>
        </w:numPr>
        <w:shd w:val="clear" w:color="auto" w:fill="FFFFFF"/>
        <w:spacing w:after="0" w:line="300" w:lineRule="atLeast"/>
        <w:ind w:left="360"/>
        <w:rPr>
          <w:rFonts w:cs="Helvetica"/>
          <w:szCs w:val="24"/>
        </w:rPr>
      </w:pPr>
      <w:r w:rsidRPr="00AA4677">
        <w:rPr>
          <w:rFonts w:cs="Helvetica"/>
          <w:szCs w:val="24"/>
        </w:rPr>
        <w:t xml:space="preserve">Confidentiality: Certificates of </w:t>
      </w:r>
      <w:r w:rsidR="004C2B3B" w:rsidRPr="00AA4677">
        <w:rPr>
          <w:rFonts w:cs="Helvetica"/>
          <w:szCs w:val="24"/>
        </w:rPr>
        <w:t>C</w:t>
      </w:r>
      <w:r w:rsidRPr="00AA4677">
        <w:rPr>
          <w:rFonts w:cs="Helvetica"/>
          <w:szCs w:val="24"/>
        </w:rPr>
        <w:t>onfidentiality</w:t>
      </w:r>
    </w:p>
    <w:p w14:paraId="38139E7A" w14:textId="7676215A" w:rsidR="00067941" w:rsidRPr="00AA4677" w:rsidRDefault="00067941" w:rsidP="00067941">
      <w:pPr>
        <w:shd w:val="clear" w:color="auto" w:fill="FFFFFF"/>
        <w:spacing w:after="0" w:line="300" w:lineRule="atLeast"/>
        <w:rPr>
          <w:rFonts w:cs="Helvetica"/>
          <w:szCs w:val="24"/>
        </w:rPr>
      </w:pPr>
    </w:p>
    <w:p w14:paraId="27A17946" w14:textId="318A6228" w:rsidR="00F87FCD" w:rsidRPr="00AA4677" w:rsidRDefault="00F87FCD">
      <w:pPr>
        <w:pStyle w:val="ListParagraph"/>
        <w:numPr>
          <w:ilvl w:val="0"/>
          <w:numId w:val="242"/>
        </w:numPr>
        <w:shd w:val="clear" w:color="auto" w:fill="FFFFFF"/>
        <w:spacing w:after="0" w:line="300" w:lineRule="atLeast"/>
        <w:ind w:left="360"/>
        <w:rPr>
          <w:rFonts w:cs="Helvetica"/>
          <w:szCs w:val="24"/>
        </w:rPr>
      </w:pPr>
      <w:r w:rsidRPr="00AA4677">
        <w:rPr>
          <w:rFonts w:cs="Helvetica"/>
          <w:szCs w:val="24"/>
        </w:rPr>
        <w:t>(</w:t>
      </w:r>
      <w:hyperlink r:id="rId126" w:history="1">
        <w:r w:rsidRPr="00696B35">
          <w:rPr>
            <w:rStyle w:val="Hyperlink"/>
            <w:rFonts w:cs="Helvetica"/>
            <w:szCs w:val="24"/>
            <w:bdr w:val="none" w:sz="0" w:space="0" w:color="auto" w:frame="1"/>
          </w:rPr>
          <w:t>https://grants.nih.gov/grants/policy/coc/index.htm</w:t>
        </w:r>
      </w:hyperlink>
      <w:r w:rsidRPr="00AA4677">
        <w:rPr>
          <w:rFonts w:cs="Helvetica"/>
          <w:szCs w:val="24"/>
        </w:rPr>
        <w:t>) should be obtained for each registry and biobank to protect the confidentiality of the stored data and tissues. </w:t>
      </w:r>
    </w:p>
    <w:p w14:paraId="39A9A5DC" w14:textId="70653FDB" w:rsidR="00067941" w:rsidRPr="00AA4677" w:rsidRDefault="00067941" w:rsidP="00067941">
      <w:pPr>
        <w:shd w:val="clear" w:color="auto" w:fill="FFFFFF"/>
        <w:spacing w:after="0" w:line="300" w:lineRule="atLeast"/>
        <w:rPr>
          <w:rFonts w:cs="Helvetica"/>
          <w:szCs w:val="24"/>
        </w:rPr>
      </w:pPr>
    </w:p>
    <w:p w14:paraId="01A01859" w14:textId="5558489E" w:rsidR="00CF2A4B" w:rsidRPr="00AA4677" w:rsidRDefault="00CF2A4B">
      <w:pPr>
        <w:pStyle w:val="ListParagraph"/>
        <w:numPr>
          <w:ilvl w:val="0"/>
          <w:numId w:val="242"/>
        </w:numPr>
        <w:shd w:val="clear" w:color="auto" w:fill="FFFFFF"/>
        <w:spacing w:after="0" w:line="300" w:lineRule="atLeast"/>
        <w:ind w:left="360"/>
        <w:rPr>
          <w:rFonts w:cs="Helvetica"/>
          <w:szCs w:val="24"/>
        </w:rPr>
      </w:pPr>
      <w:r w:rsidRPr="00AA4677">
        <w:rPr>
          <w:rFonts w:cs="Helvetica"/>
          <w:szCs w:val="24"/>
        </w:rPr>
        <w:t>The National Institutes of Health have indicated that they will not issue discretionary Certificates of Confidentiality for the establishment and maintenance of data/biospecimen repositories where the main original source of the data</w:t>
      </w:r>
      <w:r w:rsidR="00AE682E" w:rsidRPr="00AA4677">
        <w:rPr>
          <w:rFonts w:cs="Helvetica"/>
          <w:szCs w:val="24"/>
        </w:rPr>
        <w:t>/biospecimen</w:t>
      </w:r>
      <w:r w:rsidRPr="00AA4677">
        <w:rPr>
          <w:rFonts w:cs="Helvetica"/>
          <w:szCs w:val="24"/>
        </w:rPr>
        <w:t xml:space="preserve"> was for clinical care or commercial purposes, rather than research sources. NOTE: a Certi</w:t>
      </w:r>
      <w:r w:rsidR="00AE682E" w:rsidRPr="00AA4677">
        <w:rPr>
          <w:rFonts w:cs="Helvetica"/>
          <w:szCs w:val="24"/>
        </w:rPr>
        <w:t>fi</w:t>
      </w:r>
      <w:r w:rsidRPr="00AA4677">
        <w:rPr>
          <w:rFonts w:cs="Helvetica"/>
          <w:szCs w:val="24"/>
        </w:rPr>
        <w:t>cate of Confidentiality request for individual stu</w:t>
      </w:r>
      <w:r w:rsidR="00AE682E" w:rsidRPr="00AA4677">
        <w:rPr>
          <w:rFonts w:cs="Helvetica"/>
          <w:szCs w:val="24"/>
        </w:rPr>
        <w:t>dies using data or biospecimen</w:t>
      </w:r>
      <w:r w:rsidR="0097482D" w:rsidRPr="00AA4677">
        <w:rPr>
          <w:rFonts w:cs="Helvetica"/>
          <w:szCs w:val="24"/>
        </w:rPr>
        <w:t>s</w:t>
      </w:r>
      <w:r w:rsidRPr="00AA4677">
        <w:rPr>
          <w:rFonts w:cs="Helvetica"/>
          <w:szCs w:val="24"/>
        </w:rPr>
        <w:t xml:space="preserve"> from the repository will be considered for a CoC.</w:t>
      </w:r>
    </w:p>
    <w:p w14:paraId="1C255F38" w14:textId="77777777" w:rsidR="00F87FCD" w:rsidRPr="00AA4677" w:rsidRDefault="00F87FCD" w:rsidP="00067941">
      <w:pPr>
        <w:shd w:val="clear" w:color="auto" w:fill="FFFFFF"/>
        <w:spacing w:after="0" w:line="300" w:lineRule="atLeast"/>
        <w:ind w:left="360" w:hanging="360"/>
        <w:rPr>
          <w:rFonts w:cs="Helvetica"/>
          <w:szCs w:val="24"/>
        </w:rPr>
      </w:pPr>
    </w:p>
    <w:p w14:paraId="78B63530" w14:textId="77777777" w:rsidR="00F87FCD" w:rsidRPr="00AA4677" w:rsidRDefault="00F87FCD">
      <w:pPr>
        <w:numPr>
          <w:ilvl w:val="0"/>
          <w:numId w:val="242"/>
        </w:numPr>
        <w:shd w:val="clear" w:color="auto" w:fill="FFFFFF"/>
        <w:spacing w:after="0" w:line="300" w:lineRule="atLeast"/>
        <w:ind w:left="360"/>
        <w:rPr>
          <w:rFonts w:cs="Helvetica"/>
          <w:szCs w:val="24"/>
        </w:rPr>
      </w:pPr>
      <w:r w:rsidRPr="00AA4677">
        <w:rPr>
          <w:rFonts w:cs="Helvetica"/>
          <w:szCs w:val="24"/>
        </w:rPr>
        <w:t>Licensure: Biobanks must operate under appropriate licensure from the NYS Department of Health; See section 17.2.3 below for more information. </w:t>
      </w:r>
    </w:p>
    <w:p w14:paraId="4708F9E0" w14:textId="77777777" w:rsidR="00F87FCD" w:rsidRPr="00AA4677" w:rsidRDefault="00F87FCD" w:rsidP="00C57C98">
      <w:pPr>
        <w:pStyle w:val="Heading3"/>
        <w:rPr>
          <w:rStyle w:val="Strong"/>
          <w:color w:val="auto"/>
        </w:rPr>
      </w:pPr>
      <w:r w:rsidRPr="00AA4677">
        <w:rPr>
          <w:rStyle w:val="Strong"/>
          <w:b/>
          <w:bCs/>
          <w:color w:val="auto"/>
        </w:rPr>
        <w:lastRenderedPageBreak/>
        <w:t>17.2.3 Stony Brook University BioBank </w:t>
      </w:r>
    </w:p>
    <w:p w14:paraId="6D95E54D" w14:textId="36E6C9D6" w:rsidR="00F87FCD" w:rsidRPr="00AA4677" w:rsidRDefault="00F87FCD" w:rsidP="00E820CF">
      <w:pPr>
        <w:pStyle w:val="NormalWeb"/>
        <w:shd w:val="clear" w:color="auto" w:fill="FFFFFF"/>
        <w:spacing w:before="0" w:beforeAutospacing="0" w:after="300" w:afterAutospacing="0"/>
        <w:rPr>
          <w:rFonts w:cs="Helvetica"/>
        </w:rPr>
      </w:pPr>
      <w:r w:rsidRPr="00AA4677">
        <w:rPr>
          <w:rFonts w:asciiTheme="minorHAnsi" w:hAnsiTheme="minorHAnsi" w:cs="Helvetica"/>
        </w:rPr>
        <w:t>Stony Brook University operates a licensed BioBank, currently under the oversight of Dr. Kenneth Shroyer, Chair of Pathology. Any biobank that is proposed must be specifically added to the University’s license on file with the NYS Department of Health</w:t>
      </w:r>
      <w:r w:rsidR="0097482D" w:rsidRPr="00AA4677">
        <w:rPr>
          <w:rFonts w:asciiTheme="minorHAnsi" w:hAnsiTheme="minorHAnsi" w:cs="Helvetica"/>
        </w:rPr>
        <w:t>.</w:t>
      </w:r>
    </w:p>
    <w:p w14:paraId="0E2C3680" w14:textId="77777777" w:rsidR="00FC174E" w:rsidRPr="00AA4677" w:rsidRDefault="00FC174E" w:rsidP="00696B35">
      <w:pPr>
        <w:pStyle w:val="Heading2"/>
      </w:pPr>
      <w:bookmarkStart w:id="345" w:name="_Toc192678277"/>
      <w:r w:rsidRPr="00AA4677">
        <w:t>17.3 International Research</w:t>
      </w:r>
      <w:bookmarkEnd w:id="345"/>
    </w:p>
    <w:p w14:paraId="7B86CCDD" w14:textId="630782A1" w:rsidR="00033899" w:rsidRPr="00160475" w:rsidRDefault="00033899" w:rsidP="00033899">
      <w:pPr>
        <w:shd w:val="clear" w:color="auto" w:fill="FFFFFF"/>
        <w:spacing w:before="100" w:beforeAutospacing="1" w:after="100" w:afterAutospacing="1" w:line="240" w:lineRule="auto"/>
        <w:rPr>
          <w:rFonts w:eastAsia="Times New Roman" w:cs="Times New Roman"/>
          <w:szCs w:val="24"/>
        </w:rPr>
      </w:pPr>
      <w:r w:rsidRPr="00160475">
        <w:rPr>
          <w:rFonts w:eastAsia="Times New Roman" w:cs="Times New Roman"/>
          <w:b/>
          <w:bCs/>
          <w:szCs w:val="24"/>
        </w:rPr>
        <w:t>International research</w:t>
      </w:r>
      <w:r w:rsidRPr="00160475">
        <w:rPr>
          <w:rFonts w:eastAsia="Times New Roman" w:cs="Times New Roman"/>
          <w:szCs w:val="24"/>
        </w:rPr>
        <w:t> is research that is intentionally </w:t>
      </w:r>
      <w:r w:rsidRPr="00160475">
        <w:rPr>
          <w:rFonts w:eastAsia="Times New Roman" w:cs="Times New Roman"/>
          <w:i/>
          <w:iCs/>
          <w:szCs w:val="24"/>
        </w:rPr>
        <w:t xml:space="preserve">designed to be conducted in, or specifically targets, one or more countries outside the </w:t>
      </w:r>
      <w:r w:rsidR="00C46F32">
        <w:rPr>
          <w:rFonts w:eastAsia="Times New Roman" w:cs="Times New Roman"/>
          <w:i/>
          <w:iCs/>
          <w:szCs w:val="24"/>
        </w:rPr>
        <w:t>United States</w:t>
      </w:r>
      <w:r w:rsidRPr="00160475">
        <w:rPr>
          <w:rFonts w:eastAsia="Times New Roman" w:cs="Times New Roman"/>
          <w:i/>
          <w:iCs/>
          <w:szCs w:val="24"/>
        </w:rPr>
        <w:t>.  </w:t>
      </w:r>
      <w:r w:rsidRPr="00160475">
        <w:rPr>
          <w:rFonts w:eastAsia="Times New Roman" w:cs="Times New Roman"/>
          <w:szCs w:val="24"/>
        </w:rPr>
        <w:t>This includes activities such as data collection, subject recruitment, interventions, collaborations, or use of local institutions or populations within those countries.</w:t>
      </w:r>
    </w:p>
    <w:p w14:paraId="7D6E243B" w14:textId="77777777" w:rsidR="00033899" w:rsidRPr="00160475" w:rsidRDefault="00033899" w:rsidP="00033899">
      <w:pPr>
        <w:shd w:val="clear" w:color="auto" w:fill="FFFFFF"/>
        <w:spacing w:before="100" w:beforeAutospacing="1" w:after="100" w:afterAutospacing="1" w:line="240" w:lineRule="auto"/>
        <w:rPr>
          <w:rFonts w:eastAsia="Times New Roman" w:cs="Times New Roman"/>
          <w:szCs w:val="24"/>
        </w:rPr>
      </w:pPr>
      <w:r w:rsidRPr="00160475">
        <w:rPr>
          <w:rFonts w:eastAsia="Times New Roman" w:cs="Times New Roman"/>
          <w:szCs w:val="24"/>
        </w:rPr>
        <w:t>Research is </w:t>
      </w:r>
      <w:r w:rsidRPr="00160475">
        <w:rPr>
          <w:rFonts w:eastAsia="Times New Roman" w:cs="Times New Roman"/>
          <w:b/>
          <w:bCs/>
          <w:szCs w:val="24"/>
        </w:rPr>
        <w:t>not considered international</w:t>
      </w:r>
      <w:r w:rsidRPr="00160475">
        <w:rPr>
          <w:rFonts w:eastAsia="Times New Roman" w:cs="Times New Roman"/>
          <w:szCs w:val="24"/>
        </w:rPr>
        <w:t> </w:t>
      </w:r>
      <w:r w:rsidRPr="00160475">
        <w:rPr>
          <w:rFonts w:eastAsia="Times New Roman" w:cs="Times New Roman"/>
          <w:b/>
          <w:bCs/>
          <w:szCs w:val="24"/>
        </w:rPr>
        <w:t>when it is neither directed at, nor adapted for those countries, and is not conducted within them, even if </w:t>
      </w:r>
      <w:r w:rsidRPr="00160475">
        <w:rPr>
          <w:rFonts w:eastAsia="Times New Roman" w:cs="Times New Roman"/>
          <w:szCs w:val="24"/>
        </w:rPr>
        <w:t> individuals from multiple countries participate incidentally (for example, through online platforms).</w:t>
      </w:r>
    </w:p>
    <w:p w14:paraId="421470B9" w14:textId="37374D1C" w:rsidR="00FC174E" w:rsidRPr="00AA4677" w:rsidRDefault="00E16A6D" w:rsidP="00FC174E">
      <w:pPr>
        <w:shd w:val="clear" w:color="auto" w:fill="FFFFFF"/>
        <w:spacing w:before="100" w:beforeAutospacing="1" w:after="100" w:afterAutospacing="1" w:line="240" w:lineRule="auto"/>
        <w:rPr>
          <w:rFonts w:eastAsia="Times New Roman" w:cs="Times New Roman"/>
          <w:szCs w:val="24"/>
        </w:rPr>
      </w:pPr>
      <w:r w:rsidRPr="00160475">
        <w:rPr>
          <w:rFonts w:eastAsia="Times New Roman" w:cs="Times New Roman"/>
          <w:szCs w:val="24"/>
        </w:rPr>
        <w:t xml:space="preserve">The </w:t>
      </w:r>
      <w:r w:rsidR="00EE7207" w:rsidRPr="00160475">
        <w:rPr>
          <w:rFonts w:eastAsia="Times New Roman" w:cs="Times New Roman"/>
          <w:szCs w:val="24"/>
        </w:rPr>
        <w:t>IRB</w:t>
      </w:r>
      <w:r w:rsidR="00FC174E" w:rsidRPr="00160475">
        <w:rPr>
          <w:rFonts w:eastAsia="Times New Roman" w:cs="Times New Roman"/>
          <w:szCs w:val="24"/>
        </w:rPr>
        <w:t xml:space="preserve"> will review all </w:t>
      </w:r>
      <w:r w:rsidR="002C23B6" w:rsidRPr="00160475">
        <w:rPr>
          <w:rFonts w:eastAsia="Times New Roman" w:cs="Times New Roman"/>
          <w:szCs w:val="24"/>
        </w:rPr>
        <w:t>international research using</w:t>
      </w:r>
      <w:r w:rsidR="00FC174E" w:rsidRPr="00160475">
        <w:rPr>
          <w:rFonts w:eastAsia="Times New Roman" w:cs="Times New Roman"/>
          <w:szCs w:val="24"/>
        </w:rPr>
        <w:t xml:space="preserve"> human </w:t>
      </w:r>
      <w:r w:rsidR="00BF7470" w:rsidRPr="00160475">
        <w:rPr>
          <w:rFonts w:eastAsia="Times New Roman" w:cs="Times New Roman"/>
          <w:szCs w:val="24"/>
        </w:rPr>
        <w:t>subject</w:t>
      </w:r>
      <w:r w:rsidR="00FC174E" w:rsidRPr="00160475">
        <w:rPr>
          <w:rFonts w:eastAsia="Times New Roman" w:cs="Times New Roman"/>
          <w:szCs w:val="24"/>
        </w:rPr>
        <w:t xml:space="preserve">s to assure adequate provisions are in place to protect the rights and welfare of the </w:t>
      </w:r>
      <w:r w:rsidR="00BF7470" w:rsidRPr="00160475">
        <w:rPr>
          <w:rFonts w:eastAsia="Times New Roman" w:cs="Times New Roman"/>
          <w:szCs w:val="24"/>
        </w:rPr>
        <w:t>subject</w:t>
      </w:r>
      <w:r w:rsidR="00FC174E" w:rsidRPr="00160475">
        <w:rPr>
          <w:rFonts w:eastAsia="Times New Roman" w:cs="Times New Roman"/>
          <w:szCs w:val="24"/>
        </w:rPr>
        <w:t>s.</w:t>
      </w:r>
      <w:r w:rsidR="00033899" w:rsidRPr="00160475">
        <w:rPr>
          <w:rFonts w:eastAsia="Times New Roman" w:cs="Times New Roman"/>
          <w:szCs w:val="24"/>
        </w:rPr>
        <w:t xml:space="preserve"> If international research is being conducted, the study team </w:t>
      </w:r>
      <w:r w:rsidR="003E7F14" w:rsidRPr="00160475">
        <w:rPr>
          <w:rFonts w:eastAsia="Times New Roman" w:cs="Times New Roman"/>
          <w:szCs w:val="24"/>
        </w:rPr>
        <w:t>must</w:t>
      </w:r>
      <w:r w:rsidR="00033899" w:rsidRPr="00160475">
        <w:rPr>
          <w:rFonts w:eastAsia="Times New Roman" w:cs="Times New Roman"/>
          <w:szCs w:val="24"/>
        </w:rPr>
        <w:t xml:space="preserve"> submit Supplemental Form C – International Research.</w:t>
      </w:r>
      <w:r w:rsidR="00033899">
        <w:rPr>
          <w:rFonts w:eastAsia="Times New Roman" w:cs="Times New Roman"/>
          <w:szCs w:val="24"/>
        </w:rPr>
        <w:t xml:space="preserve"> </w:t>
      </w:r>
    </w:p>
    <w:p w14:paraId="25353988"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Approval of research is permitted if “the procedures prescribed by the foreign institution afford protections that are at least equivalent to those provided in 45 CFR 46.”</w:t>
      </w:r>
    </w:p>
    <w:p w14:paraId="05ECE576"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All policies and procedures that are applied to research conducted domestically should be applied to research conducted in other countries, as appropriate.</w:t>
      </w:r>
    </w:p>
    <w:p w14:paraId="6C2B852E" w14:textId="64814DB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For international research, </w:t>
      </w:r>
      <w:r w:rsidR="00E16A6D"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seeks sufficient knowledge of the local research context by requesting approval for the project from local IRBs or ethics committees (which may or may not be OHRP-registered) and/or local letters of support.  The source of this information will depend on the nature of the study, on the country and on the resources available to the PI.  Where there is a local IRB/IEC, </w:t>
      </w:r>
      <w:r w:rsidR="00E16A6D"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must receive and review the foreign institution or site’s IRB/IEC review and approval of each study prior to the commencement of the research at the foreign institution or site.</w:t>
      </w:r>
      <w:r w:rsidR="003250FA" w:rsidRPr="00AA4677">
        <w:rPr>
          <w:rFonts w:eastAsia="Times New Roman" w:cs="Times New Roman"/>
          <w:szCs w:val="24"/>
        </w:rPr>
        <w:t xml:space="preserve"> </w:t>
      </w:r>
    </w:p>
    <w:p w14:paraId="17B5A85E" w14:textId="77777777" w:rsidR="003250FA"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 some circumstances where research may be performed internationally and/or in set</w:t>
      </w:r>
      <w:r w:rsidR="00DE3222" w:rsidRPr="00AA4677">
        <w:rPr>
          <w:rFonts w:eastAsia="Times New Roman" w:cs="Times New Roman"/>
          <w:szCs w:val="24"/>
        </w:rPr>
        <w:t xml:space="preserve">tings where there are no IRBs, the </w:t>
      </w:r>
      <w:r w:rsidR="00EE7207" w:rsidRPr="00AA4677">
        <w:rPr>
          <w:rFonts w:eastAsia="Times New Roman" w:cs="Times New Roman"/>
          <w:szCs w:val="24"/>
        </w:rPr>
        <w:t>IRB</w:t>
      </w:r>
      <w:r w:rsidRPr="00AA4677">
        <w:rPr>
          <w:rFonts w:eastAsia="Times New Roman" w:cs="Times New Roman"/>
          <w:szCs w:val="24"/>
        </w:rPr>
        <w:t xml:space="preserve"> may, prior to approval of the research, require additional verification and information from people outside the particular research project who are familiar with the customs, practices, or standards of care where the research will be taking place, such as local IRBs </w:t>
      </w:r>
      <w:r w:rsidRPr="00AA4677">
        <w:rPr>
          <w:rFonts w:eastAsia="Times New Roman" w:cs="Times New Roman"/>
          <w:szCs w:val="24"/>
        </w:rPr>
        <w:lastRenderedPageBreak/>
        <w:t xml:space="preserve">or ethics committees, other </w:t>
      </w:r>
      <w:r w:rsidR="007E68D3" w:rsidRPr="00AA4677">
        <w:rPr>
          <w:rFonts w:eastAsia="Times New Roman" w:cs="Times New Roman"/>
          <w:szCs w:val="24"/>
        </w:rPr>
        <w:t>investigator</w:t>
      </w:r>
      <w:r w:rsidRPr="00AA4677">
        <w:rPr>
          <w:rFonts w:eastAsia="Times New Roman" w:cs="Times New Roman"/>
          <w:szCs w:val="24"/>
        </w:rPr>
        <w:t>s with knowledge of the region, or other experts</w:t>
      </w:r>
      <w:r w:rsidR="002C23B6" w:rsidRPr="00AA4677">
        <w:rPr>
          <w:rFonts w:eastAsia="Times New Roman" w:cs="Times New Roman"/>
          <w:szCs w:val="24"/>
        </w:rPr>
        <w:t xml:space="preserve"> with knowledge of</w:t>
      </w:r>
      <w:r w:rsidRPr="00AA4677">
        <w:rPr>
          <w:rFonts w:eastAsia="Times New Roman" w:cs="Times New Roman"/>
          <w:szCs w:val="24"/>
        </w:rPr>
        <w:t xml:space="preserve"> the region.  </w:t>
      </w:r>
    </w:p>
    <w:p w14:paraId="5CA12115" w14:textId="5A44AD3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C66572" w:rsidRPr="00AA4677">
        <w:rPr>
          <w:rFonts w:eastAsia="Times New Roman" w:cs="Times New Roman"/>
          <w:szCs w:val="24"/>
        </w:rPr>
        <w:t>AVP-</w:t>
      </w:r>
      <w:proofErr w:type="gramStart"/>
      <w:r w:rsidR="00C66572" w:rsidRPr="00AA4677">
        <w:rPr>
          <w:rFonts w:eastAsia="Times New Roman" w:cs="Times New Roman"/>
          <w:szCs w:val="24"/>
        </w:rPr>
        <w:t>RC</w:t>
      </w:r>
      <w:r w:rsidR="00D169B3" w:rsidRPr="00AA4677">
        <w:rPr>
          <w:rFonts w:eastAsia="Times New Roman" w:cs="Times New Roman"/>
          <w:szCs w:val="24"/>
        </w:rPr>
        <w:t>, ,</w:t>
      </w:r>
      <w:proofErr w:type="gramEnd"/>
      <w:r w:rsidRPr="00AA4677">
        <w:rPr>
          <w:rFonts w:eastAsia="Times New Roman" w:cs="Times New Roman"/>
          <w:szCs w:val="24"/>
        </w:rPr>
        <w:t xml:space="preserve"> will review all transnational research proposals to determine whether the IRB has the qualifications to review the proposed research, or require</w:t>
      </w:r>
      <w:r w:rsidR="002C23B6" w:rsidRPr="00AA4677">
        <w:rPr>
          <w:rFonts w:eastAsia="Times New Roman" w:cs="Times New Roman"/>
          <w:szCs w:val="24"/>
        </w:rPr>
        <w:t>s</w:t>
      </w:r>
      <w:r w:rsidRPr="00AA4677">
        <w:rPr>
          <w:rFonts w:eastAsia="Times New Roman" w:cs="Times New Roman"/>
          <w:szCs w:val="24"/>
        </w:rPr>
        <w:t xml:space="preserve"> expertise of a consultant. Use of consultants will be required when none of the investigators are from the international site and there is no local site/contact. These consultants may either provide a written review of a p</w:t>
      </w:r>
      <w:r w:rsidR="00DE3222" w:rsidRPr="00AA4677">
        <w:rPr>
          <w:rFonts w:eastAsia="Times New Roman" w:cs="Times New Roman"/>
          <w:szCs w:val="24"/>
        </w:rPr>
        <w:t>articular protocol or attend a</w:t>
      </w:r>
      <w:r w:rsidR="00B1340C" w:rsidRPr="00AA4677">
        <w:rPr>
          <w:rFonts w:eastAsia="Times New Roman" w:cs="Times New Roman"/>
          <w:szCs w:val="24"/>
        </w:rPr>
        <w:t>n</w:t>
      </w:r>
      <w:r w:rsidR="00DE3222"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meeting to provide the </w:t>
      </w:r>
      <w:r w:rsidR="00EE7207" w:rsidRPr="00AA4677">
        <w:rPr>
          <w:rFonts w:eastAsia="Times New Roman" w:cs="Times New Roman"/>
          <w:szCs w:val="24"/>
        </w:rPr>
        <w:t>IRB</w:t>
      </w:r>
      <w:r w:rsidRPr="00AA4677">
        <w:rPr>
          <w:rFonts w:eastAsia="Times New Roman" w:cs="Times New Roman"/>
          <w:szCs w:val="24"/>
        </w:rPr>
        <w:t xml:space="preserve"> with recommendations based on his or her expertise. </w:t>
      </w:r>
    </w:p>
    <w:p w14:paraId="2C7F07B5" w14:textId="200B62E4" w:rsidR="00FC174E" w:rsidRPr="00AA4677" w:rsidRDefault="00DE3222"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For f</w:t>
      </w:r>
      <w:r w:rsidR="00FC174E" w:rsidRPr="00AA4677">
        <w:rPr>
          <w:rFonts w:eastAsia="Times New Roman" w:cs="Times New Roman"/>
          <w:szCs w:val="24"/>
        </w:rPr>
        <w:t>ederally funded research, approval of research for foreign institutions or sites “engaged” in research is only permitted if the foreign institution or site holds an Assurance with OHRP and local IRB review and approval is obtained.</w:t>
      </w:r>
    </w:p>
    <w:p w14:paraId="205785DE" w14:textId="77777777" w:rsidR="00FC174E" w:rsidRPr="00AA4677" w:rsidRDefault="00FC174E" w:rsidP="00DE3222">
      <w:pPr>
        <w:shd w:val="clear" w:color="auto" w:fill="FFFFFF"/>
        <w:spacing w:after="0" w:line="240" w:lineRule="auto"/>
        <w:rPr>
          <w:rFonts w:eastAsia="Times New Roman" w:cs="Times New Roman"/>
          <w:szCs w:val="24"/>
        </w:rPr>
      </w:pPr>
      <w:r w:rsidRPr="00AA4677">
        <w:rPr>
          <w:rFonts w:eastAsia="Times New Roman" w:cs="Times New Roman"/>
          <w:szCs w:val="24"/>
        </w:rPr>
        <w:t>Approval of research for foreign institutions or sites “not engaged” in research is only permitted if one or more of the following circumstances exist:</w:t>
      </w:r>
    </w:p>
    <w:p w14:paraId="58B76AB1" w14:textId="77777777" w:rsidR="00FC174E" w:rsidRPr="00AA4677" w:rsidRDefault="00FC174E">
      <w:pPr>
        <w:numPr>
          <w:ilvl w:val="0"/>
          <w:numId w:val="55"/>
        </w:numPr>
        <w:shd w:val="clear" w:color="auto" w:fill="FFFFFF"/>
        <w:spacing w:after="0" w:line="240" w:lineRule="auto"/>
        <w:rPr>
          <w:rFonts w:eastAsia="Times New Roman" w:cs="Times New Roman"/>
          <w:szCs w:val="24"/>
        </w:rPr>
      </w:pPr>
      <w:r w:rsidRPr="00AA4677">
        <w:rPr>
          <w:rFonts w:eastAsia="Times New Roman" w:cs="Times New Roman"/>
          <w:szCs w:val="24"/>
        </w:rPr>
        <w:t>When the foreign institution or site has an established IRB/IEC, the Investigator must obtain approval to conduct the research at the "not engaged" site from the site’s IRB/IEC or provide documentation that the site’s IRB/IEC has determined that approval is not necessary for the Investigator to conduct the proposed research at the site.</w:t>
      </w:r>
    </w:p>
    <w:p w14:paraId="0F84E85D" w14:textId="77777777" w:rsidR="00FC174E" w:rsidRPr="00AA4677" w:rsidRDefault="00FC174E">
      <w:pPr>
        <w:numPr>
          <w:ilvl w:val="0"/>
          <w:numId w:val="55"/>
        </w:numPr>
        <w:shd w:val="clear" w:color="auto" w:fill="FFFFFF"/>
        <w:spacing w:after="0" w:line="240" w:lineRule="auto"/>
        <w:rPr>
          <w:rFonts w:eastAsia="Times New Roman" w:cs="Times New Roman"/>
          <w:szCs w:val="24"/>
        </w:rPr>
      </w:pPr>
      <w:r w:rsidRPr="00AA4677">
        <w:rPr>
          <w:rFonts w:eastAsia="Times New Roman" w:cs="Times New Roman"/>
          <w:szCs w:val="24"/>
        </w:rPr>
        <w:t>When the foreign institution or site does not have an established IRB/IEC, a letter of cooperation must be obtained demonstrating that the appropriate institutional or oversight officials are permitting the research to be conducted at the performance site.</w:t>
      </w:r>
    </w:p>
    <w:p w14:paraId="78D2E603" w14:textId="77777777" w:rsidR="00FC174E" w:rsidRPr="00AA4677" w:rsidRDefault="00FC174E">
      <w:pPr>
        <w:numPr>
          <w:ilvl w:val="0"/>
          <w:numId w:val="55"/>
        </w:numPr>
        <w:shd w:val="clear" w:color="auto" w:fill="FFFFFF"/>
        <w:spacing w:after="0" w:line="240" w:lineRule="auto"/>
        <w:rPr>
          <w:rFonts w:eastAsia="Times New Roman" w:cs="Times New Roman"/>
          <w:szCs w:val="24"/>
        </w:rPr>
      </w:pPr>
      <w:r w:rsidRPr="00AA4677">
        <w:rPr>
          <w:rFonts w:eastAsia="Times New Roman" w:cs="Times New Roman"/>
          <w:szCs w:val="24"/>
        </w:rPr>
        <w:t>IRB approval to conduct research at the foreign institution or site is contingent upon receiving documentation of the performance site’s IRB/IEC determination, or letter of cooperation, as applicable.</w:t>
      </w:r>
    </w:p>
    <w:p w14:paraId="4DCF0410" w14:textId="48283FC2" w:rsidR="00FC174E" w:rsidRPr="00AA4677" w:rsidRDefault="00FC174E" w:rsidP="00C57C98">
      <w:pPr>
        <w:pStyle w:val="Heading3"/>
      </w:pPr>
      <w:r w:rsidRPr="00AA4677">
        <w:t>17.3.1 Responsibilities</w:t>
      </w:r>
    </w:p>
    <w:p w14:paraId="19DBC723" w14:textId="60F84D27" w:rsidR="00FC174E" w:rsidRPr="00AA4677" w:rsidRDefault="00FC174E">
      <w:pPr>
        <w:numPr>
          <w:ilvl w:val="0"/>
          <w:numId w:val="56"/>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w:t>
      </w:r>
      <w:r w:rsidR="00DE3222" w:rsidRPr="00AA4677">
        <w:rPr>
          <w:rFonts w:eastAsia="Times New Roman" w:cs="Times New Roman"/>
          <w:szCs w:val="24"/>
        </w:rPr>
        <w:t>t is the responsibility of the University</w:t>
      </w:r>
      <w:r w:rsidRPr="00AA4677">
        <w:rPr>
          <w:rFonts w:eastAsia="Times New Roman" w:cs="Times New Roman"/>
          <w:szCs w:val="24"/>
        </w:rPr>
        <w:t xml:space="preserve"> investigator and the foreign institution or site to assure that the resources and facilities are appropriate for the nature of the research.</w:t>
      </w:r>
    </w:p>
    <w:p w14:paraId="1F733DB8" w14:textId="229D6906" w:rsidR="00FC174E" w:rsidRPr="00AA4677" w:rsidRDefault="00FC174E">
      <w:pPr>
        <w:numPr>
          <w:ilvl w:val="0"/>
          <w:numId w:val="56"/>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It </w:t>
      </w:r>
      <w:r w:rsidR="00DE3222" w:rsidRPr="00AA4677">
        <w:rPr>
          <w:rFonts w:eastAsia="Times New Roman" w:cs="Times New Roman"/>
          <w:szCs w:val="24"/>
        </w:rPr>
        <w:t>is the responsibility of the University</w:t>
      </w:r>
      <w:r w:rsidRPr="00AA4677">
        <w:rPr>
          <w:rFonts w:eastAsia="Times New Roman" w:cs="Times New Roman"/>
          <w:szCs w:val="24"/>
        </w:rPr>
        <w:t xml:space="preserve"> investigator and the foreign institution or site to confirm the qualifications of the </w:t>
      </w:r>
      <w:r w:rsidR="007E68D3" w:rsidRPr="00AA4677">
        <w:rPr>
          <w:rFonts w:eastAsia="Times New Roman" w:cs="Times New Roman"/>
          <w:szCs w:val="24"/>
        </w:rPr>
        <w:t>investigator</w:t>
      </w:r>
      <w:r w:rsidRPr="00AA4677">
        <w:rPr>
          <w:rFonts w:eastAsia="Times New Roman" w:cs="Times New Roman"/>
          <w:szCs w:val="24"/>
        </w:rPr>
        <w:t>s and research staff for conducting research in that country(ies).</w:t>
      </w:r>
    </w:p>
    <w:p w14:paraId="23137192" w14:textId="2C54646E" w:rsidR="00FC174E" w:rsidRPr="00AA4677" w:rsidRDefault="00FC174E">
      <w:pPr>
        <w:numPr>
          <w:ilvl w:val="0"/>
          <w:numId w:val="56"/>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It is the responsibility of the </w:t>
      </w:r>
      <w:r w:rsidR="00DE3222" w:rsidRPr="00AA4677">
        <w:rPr>
          <w:rFonts w:eastAsia="Times New Roman" w:cs="Times New Roman"/>
          <w:szCs w:val="24"/>
        </w:rPr>
        <w:t>University</w:t>
      </w:r>
      <w:r w:rsidRPr="00AA4677">
        <w:rPr>
          <w:rFonts w:eastAsia="Times New Roman" w:cs="Times New Roman"/>
          <w:szCs w:val="24"/>
        </w:rPr>
        <w:t xml:space="preserve"> investigator and the foreign institution or site to ensure that the </w:t>
      </w:r>
      <w:r w:rsidR="00DE3222" w:rsidRPr="00AA4677">
        <w:rPr>
          <w:rFonts w:eastAsia="Times New Roman" w:cs="Times New Roman"/>
          <w:szCs w:val="24"/>
        </w:rPr>
        <w:t>following activities will occur:</w:t>
      </w:r>
    </w:p>
    <w:p w14:paraId="3BF8AA95" w14:textId="158E278A" w:rsidR="00FC174E" w:rsidRPr="00AA4677" w:rsidRDefault="00FC174E">
      <w:pPr>
        <w:numPr>
          <w:ilvl w:val="0"/>
          <w:numId w:val="120"/>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Initial review, continuing review, and review of </w:t>
      </w:r>
      <w:proofErr w:type="gramStart"/>
      <w:r w:rsidRPr="00AA4677">
        <w:rPr>
          <w:rFonts w:eastAsia="Times New Roman" w:cs="Times New Roman"/>
          <w:szCs w:val="24"/>
        </w:rPr>
        <w:t>modification</w:t>
      </w:r>
      <w:r w:rsidR="002C23B6" w:rsidRPr="00AA4677">
        <w:rPr>
          <w:rFonts w:eastAsia="Times New Roman" w:cs="Times New Roman"/>
          <w:szCs w:val="24"/>
        </w:rPr>
        <w:t>s</w:t>
      </w:r>
      <w:r w:rsidR="00DE3222" w:rsidRPr="00AA4677">
        <w:rPr>
          <w:rFonts w:eastAsia="Times New Roman" w:cs="Times New Roman"/>
          <w:szCs w:val="24"/>
        </w:rPr>
        <w:t>;</w:t>
      </w:r>
      <w:proofErr w:type="gramEnd"/>
    </w:p>
    <w:p w14:paraId="4DB4E6FA" w14:textId="3E9052B4" w:rsidR="00FC174E" w:rsidRPr="00AA4677" w:rsidRDefault="00FC174E">
      <w:pPr>
        <w:numPr>
          <w:ilvl w:val="0"/>
          <w:numId w:val="120"/>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Post-approval </w:t>
      </w:r>
      <w:proofErr w:type="gramStart"/>
      <w:r w:rsidRPr="00AA4677">
        <w:rPr>
          <w:rFonts w:eastAsia="Times New Roman" w:cs="Times New Roman"/>
          <w:szCs w:val="24"/>
        </w:rPr>
        <w:t>monitoring</w:t>
      </w:r>
      <w:r w:rsidR="00DE3222" w:rsidRPr="00AA4677">
        <w:rPr>
          <w:rFonts w:eastAsia="Times New Roman" w:cs="Times New Roman"/>
          <w:szCs w:val="24"/>
        </w:rPr>
        <w:t>;</w:t>
      </w:r>
      <w:proofErr w:type="gramEnd"/>
    </w:p>
    <w:p w14:paraId="300DDE49" w14:textId="3ABCBD7D" w:rsidR="00FC174E" w:rsidRPr="00AA4677" w:rsidRDefault="00FC174E">
      <w:pPr>
        <w:numPr>
          <w:ilvl w:val="0"/>
          <w:numId w:val="120"/>
        </w:numPr>
        <w:shd w:val="clear" w:color="auto" w:fill="FFFFFF"/>
        <w:spacing w:after="0" w:line="240" w:lineRule="auto"/>
        <w:rPr>
          <w:rFonts w:eastAsia="Times New Roman" w:cs="Times New Roman"/>
          <w:szCs w:val="24"/>
        </w:rPr>
      </w:pPr>
      <w:r w:rsidRPr="00AA4677">
        <w:rPr>
          <w:rFonts w:eastAsia="Times New Roman" w:cs="Times New Roman"/>
          <w:szCs w:val="24"/>
        </w:rPr>
        <w:t>Handling of complaints, non-compliance and unanticipated problems involving risk to subjects or others</w:t>
      </w:r>
      <w:r w:rsidR="00DE3222" w:rsidRPr="00AA4677">
        <w:rPr>
          <w:rFonts w:eastAsia="Times New Roman" w:cs="Times New Roman"/>
          <w:szCs w:val="24"/>
        </w:rPr>
        <w:t>; and</w:t>
      </w:r>
    </w:p>
    <w:p w14:paraId="1F156BB7" w14:textId="4319EADC" w:rsidR="00FC174E" w:rsidRPr="00AA4677" w:rsidRDefault="00FC174E">
      <w:pPr>
        <w:pStyle w:val="ListParagraph"/>
        <w:numPr>
          <w:ilvl w:val="0"/>
          <w:numId w:val="56"/>
        </w:num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The IRB will not rely on a local ethics committee that does not have policies and procedures for the activities listed above.</w:t>
      </w:r>
    </w:p>
    <w:p w14:paraId="13D2131D" w14:textId="72F8B37C" w:rsidR="00FC174E" w:rsidRPr="00AA4677" w:rsidRDefault="00FC174E">
      <w:pPr>
        <w:numPr>
          <w:ilvl w:val="0"/>
          <w:numId w:val="56"/>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It is the responsibility of the </w:t>
      </w:r>
      <w:r w:rsidR="00DE3222" w:rsidRPr="00AA4677">
        <w:rPr>
          <w:rFonts w:eastAsia="Times New Roman" w:cs="Times New Roman"/>
          <w:szCs w:val="24"/>
        </w:rPr>
        <w:t>University</w:t>
      </w:r>
      <w:r w:rsidRPr="00AA4677">
        <w:rPr>
          <w:rFonts w:eastAsia="Times New Roman" w:cs="Times New Roman"/>
          <w:szCs w:val="24"/>
        </w:rPr>
        <w:t xml:space="preserve"> investigator and the foreign institution or site to notify the </w:t>
      </w:r>
      <w:r w:rsidR="00EE7207" w:rsidRPr="00AA4677">
        <w:rPr>
          <w:rFonts w:eastAsia="Times New Roman" w:cs="Times New Roman"/>
          <w:szCs w:val="24"/>
        </w:rPr>
        <w:t>IRB</w:t>
      </w:r>
      <w:r w:rsidRPr="00AA4677">
        <w:rPr>
          <w:rFonts w:eastAsia="Times New Roman" w:cs="Times New Roman"/>
          <w:szCs w:val="24"/>
        </w:rPr>
        <w:t xml:space="preserve"> promptly if a change in research activities alters the performance site’s engagement in the research (e.g., performance site “not engaged” begins consenting research </w:t>
      </w:r>
      <w:r w:rsidR="00BF7470" w:rsidRPr="00AA4677">
        <w:rPr>
          <w:rFonts w:eastAsia="Times New Roman" w:cs="Times New Roman"/>
          <w:szCs w:val="24"/>
        </w:rPr>
        <w:t>subject</w:t>
      </w:r>
      <w:r w:rsidRPr="00AA4677">
        <w:rPr>
          <w:rFonts w:eastAsia="Times New Roman" w:cs="Times New Roman"/>
          <w:szCs w:val="24"/>
        </w:rPr>
        <w:t>s, etc.). </w:t>
      </w:r>
    </w:p>
    <w:p w14:paraId="7D340BE2" w14:textId="52ADA44E" w:rsidR="00FC174E" w:rsidRPr="00AA4677" w:rsidRDefault="00FC174E" w:rsidP="00C57C98">
      <w:pPr>
        <w:pStyle w:val="Heading3"/>
      </w:pPr>
      <w:r w:rsidRPr="00AA4677">
        <w:t>17.3.2 Consent Documents</w:t>
      </w:r>
    </w:p>
    <w:p w14:paraId="50B8E0D3" w14:textId="76D9FA4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informed consent documents must be in a language understandable to the proposed </w:t>
      </w:r>
      <w:r w:rsidR="00BF7470" w:rsidRPr="00AA4677">
        <w:rPr>
          <w:rFonts w:eastAsia="Times New Roman" w:cs="Times New Roman"/>
          <w:szCs w:val="24"/>
        </w:rPr>
        <w:t>subject</w:t>
      </w:r>
      <w:r w:rsidRPr="00AA4677">
        <w:rPr>
          <w:rFonts w:eastAsia="Times New Roman" w:cs="Times New Roman"/>
          <w:szCs w:val="24"/>
        </w:rPr>
        <w:t>s</w:t>
      </w:r>
      <w:r w:rsidR="00643881" w:rsidRPr="00AA4677">
        <w:rPr>
          <w:rFonts w:eastAsia="Times New Roman" w:cs="Times New Roman"/>
          <w:szCs w:val="24"/>
        </w:rPr>
        <w:t xml:space="preserve">, </w:t>
      </w:r>
      <w:r w:rsidRPr="00AA4677">
        <w:rPr>
          <w:rFonts w:eastAsia="Times New Roman" w:cs="Times New Roman"/>
          <w:szCs w:val="24"/>
        </w:rPr>
        <w:t xml:space="preserve">with the credentials of the translator detailed in the </w:t>
      </w:r>
      <w:r w:rsidR="00EE7207" w:rsidRPr="00AA4677">
        <w:rPr>
          <w:rFonts w:eastAsia="Times New Roman" w:cs="Times New Roman"/>
          <w:szCs w:val="24"/>
        </w:rPr>
        <w:t>IRB</w:t>
      </w:r>
      <w:r w:rsidRPr="00AA4677">
        <w:rPr>
          <w:rFonts w:eastAsia="Times New Roman" w:cs="Times New Roman"/>
          <w:szCs w:val="24"/>
        </w:rPr>
        <w:t xml:space="preserve"> application or amendment form. </w:t>
      </w:r>
    </w:p>
    <w:p w14:paraId="5F95E514" w14:textId="0BD7037E" w:rsidR="00FC174E" w:rsidRPr="00AA4677" w:rsidRDefault="00FC174E" w:rsidP="00C57C98">
      <w:pPr>
        <w:pStyle w:val="Heading3"/>
      </w:pPr>
      <w:r w:rsidRPr="00AA4677">
        <w:t>17.3.3 Monitoring of Approved International Research</w:t>
      </w:r>
    </w:p>
    <w:p w14:paraId="148215B9" w14:textId="0117A8D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IRB is responsible for the ongoing review of international research conducted under its jurisdiction through the continuing review process</w:t>
      </w:r>
      <w:r w:rsidR="00942F04" w:rsidRPr="00AA4677">
        <w:rPr>
          <w:rFonts w:eastAsia="Times New Roman" w:cs="Times New Roman"/>
          <w:szCs w:val="24"/>
        </w:rPr>
        <w:t xml:space="preserve"> </w:t>
      </w:r>
      <w:r w:rsidRPr="00AA4677">
        <w:rPr>
          <w:rFonts w:eastAsia="Times New Roman" w:cs="Times New Roman"/>
          <w:szCs w:val="24"/>
        </w:rPr>
        <w:t>in accordance with all applicable federal regulations.</w:t>
      </w:r>
    </w:p>
    <w:p w14:paraId="5D880B6F" w14:textId="1B98808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When the IRB and a local ethics committee will both be involved in the review of research, the</w:t>
      </w:r>
      <w:r w:rsidR="00643881" w:rsidRPr="00AA4677">
        <w:rPr>
          <w:rFonts w:eastAsia="Times New Roman" w:cs="Times New Roman"/>
          <w:szCs w:val="24"/>
        </w:rPr>
        <w:t xml:space="preserve"> PI will be responsible for ensuring </w:t>
      </w:r>
      <w:r w:rsidRPr="00AA4677">
        <w:rPr>
          <w:rFonts w:eastAsia="Times New Roman" w:cs="Times New Roman"/>
          <w:szCs w:val="24"/>
        </w:rPr>
        <w:t>coordination and communication with the local IRB/IECs.</w:t>
      </w:r>
    </w:p>
    <w:p w14:paraId="6C12158E" w14:textId="77B2E66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PI will be required to review and confirm compliance with </w:t>
      </w:r>
      <w:r w:rsidR="00643881" w:rsidRPr="00AA4677">
        <w:rPr>
          <w:rFonts w:eastAsia="Times New Roman" w:cs="Times New Roman"/>
          <w:szCs w:val="24"/>
        </w:rPr>
        <w:t xml:space="preserve">any cited </w:t>
      </w:r>
      <w:r w:rsidRPr="00AA4677">
        <w:rPr>
          <w:rFonts w:eastAsia="Times New Roman" w:cs="Times New Roman"/>
          <w:szCs w:val="24"/>
        </w:rPr>
        <w:t>provisions provided in the current International Compilation of Human Subject Research Protections available through OHRP at </w:t>
      </w:r>
      <w:hyperlink r:id="rId127" w:history="1">
        <w:r w:rsidRPr="00696B35">
          <w:rPr>
            <w:rStyle w:val="Hyperlink"/>
            <w:rFonts w:eastAsia="Times New Roman" w:cs="Times New Roman"/>
            <w:szCs w:val="24"/>
          </w:rPr>
          <w:t>http://www.hhs.gov/ohrp/international/index.html</w:t>
        </w:r>
      </w:hyperlink>
      <w:r w:rsidRPr="00AA4677">
        <w:rPr>
          <w:rFonts w:eastAsia="Times New Roman" w:cs="Times New Roman"/>
          <w:szCs w:val="24"/>
        </w:rPr>
        <w:t>. When the foreign institution or site does not have an established IRB, a letter of cooperation must be obtained demonstrating that the appropriate institutional or oversight officials are permitting the research to be conducted at the performance site.  </w:t>
      </w:r>
    </w:p>
    <w:p w14:paraId="1B94AA7A" w14:textId="77777777" w:rsidR="00FC174E" w:rsidRPr="00AA4677" w:rsidRDefault="00FC174E" w:rsidP="00696B35">
      <w:pPr>
        <w:pStyle w:val="Heading2"/>
      </w:pPr>
      <w:bookmarkStart w:id="346" w:name="_Toc192678278"/>
      <w:r w:rsidRPr="00AA4677">
        <w:t>17.4 Registration of Clinical Trials</w:t>
      </w:r>
      <w:bookmarkEnd w:id="346"/>
    </w:p>
    <w:p w14:paraId="3CA91D10" w14:textId="77777777" w:rsidR="001668DC" w:rsidRPr="00AA4677" w:rsidRDefault="001668DC" w:rsidP="00F87FCD">
      <w:pPr>
        <w:pStyle w:val="NormalWeb"/>
        <w:shd w:val="clear" w:color="auto" w:fill="FFFFFF"/>
        <w:spacing w:before="0" w:beforeAutospacing="0" w:after="0" w:afterAutospacing="0"/>
        <w:rPr>
          <w:rFonts w:asciiTheme="minorHAnsi" w:hAnsiTheme="minorHAnsi" w:cs="Helvetica"/>
        </w:rPr>
      </w:pPr>
    </w:p>
    <w:p w14:paraId="09C332F1" w14:textId="0BB51311" w:rsidR="00F87FCD" w:rsidRPr="00AA4677" w:rsidRDefault="000F1BD5" w:rsidP="00F87FCD">
      <w:pPr>
        <w:pStyle w:val="NormalWeb"/>
        <w:shd w:val="clear" w:color="auto" w:fill="FFFFFF"/>
        <w:spacing w:before="0" w:beforeAutospacing="0" w:after="0" w:afterAutospacing="0"/>
        <w:rPr>
          <w:rFonts w:asciiTheme="minorHAnsi" w:hAnsiTheme="minorHAnsi" w:cs="Helvetica"/>
        </w:rPr>
      </w:pPr>
      <w:r w:rsidRPr="00AA4677">
        <w:rPr>
          <w:rFonts w:asciiTheme="minorHAnsi" w:hAnsiTheme="minorHAnsi" w:cs="Helvetica"/>
        </w:rPr>
        <w:t>This institution requires PI</w:t>
      </w:r>
      <w:r w:rsidR="00F87FCD" w:rsidRPr="00AA4677">
        <w:rPr>
          <w:rFonts w:asciiTheme="minorHAnsi" w:hAnsiTheme="minorHAnsi" w:cs="Helvetica"/>
        </w:rPr>
        <w:t xml:space="preserve">s of </w:t>
      </w:r>
      <w:r w:rsidRPr="00AA4677">
        <w:rPr>
          <w:rFonts w:asciiTheme="minorHAnsi" w:hAnsiTheme="minorHAnsi" w:cs="Helvetica"/>
        </w:rPr>
        <w:t xml:space="preserve">certain </w:t>
      </w:r>
      <w:r w:rsidR="00F87FCD" w:rsidRPr="00AA4677">
        <w:rPr>
          <w:rFonts w:asciiTheme="minorHAnsi" w:hAnsiTheme="minorHAnsi" w:cs="Helvetica"/>
        </w:rPr>
        <w:t>investigator-initiated clinical trials to comply with federal requirements concerning registration of their studies on</w:t>
      </w:r>
      <w:r w:rsidR="00F87FCD" w:rsidRPr="00AA4677">
        <w:rPr>
          <w:rStyle w:val="apple-converted-space"/>
          <w:rFonts w:asciiTheme="minorHAnsi" w:hAnsiTheme="minorHAnsi" w:cs="Helvetica"/>
        </w:rPr>
        <w:t> </w:t>
      </w:r>
      <w:hyperlink r:id="rId128" w:tgtFrame="_blank" w:history="1">
        <w:r w:rsidR="00F87FCD" w:rsidRPr="00AA4677">
          <w:rPr>
            <w:rStyle w:val="Hyperlink"/>
            <w:rFonts w:asciiTheme="minorHAnsi" w:hAnsiTheme="minorHAnsi" w:cs="Helvetica"/>
            <w:color w:val="auto"/>
            <w:u w:val="none"/>
            <w:bdr w:val="none" w:sz="0" w:space="0" w:color="auto" w:frame="1"/>
          </w:rPr>
          <w:t>www.clinicaltrials.gov</w:t>
        </w:r>
      </w:hyperlink>
      <w:r w:rsidRPr="00AA4677">
        <w:rPr>
          <w:rFonts w:asciiTheme="minorHAnsi" w:hAnsiTheme="minorHAnsi" w:cs="Helvetica"/>
        </w:rPr>
        <w:t>,</w:t>
      </w:r>
      <w:r w:rsidR="00F87FCD" w:rsidRPr="00AA4677">
        <w:rPr>
          <w:rFonts w:asciiTheme="minorHAnsi" w:hAnsiTheme="minorHAnsi" w:cs="Helvetica"/>
        </w:rPr>
        <w:t xml:space="preserve"> </w:t>
      </w:r>
      <w:r w:rsidR="005052A6" w:rsidRPr="00AA4677">
        <w:rPr>
          <w:rFonts w:asciiTheme="minorHAnsi" w:hAnsiTheme="minorHAnsi" w:cs="Helvetica"/>
          <w:b/>
        </w:rPr>
        <w:t>no later than 21 days after enrollment of the first participant</w:t>
      </w:r>
      <w:r w:rsidR="005052A6" w:rsidRPr="00AA4677">
        <w:rPr>
          <w:rFonts w:asciiTheme="minorHAnsi" w:hAnsiTheme="minorHAnsi" w:cs="Helvetica"/>
        </w:rPr>
        <w:t xml:space="preserve">, </w:t>
      </w:r>
      <w:r w:rsidR="00F87FCD" w:rsidRPr="00AA4677">
        <w:rPr>
          <w:rFonts w:asciiTheme="minorHAnsi" w:hAnsiTheme="minorHAnsi" w:cs="Helvetica"/>
        </w:rPr>
        <w:t>if their study is described by any of the following:</w:t>
      </w:r>
    </w:p>
    <w:p w14:paraId="4AEAA156" w14:textId="77777777" w:rsidR="000F1BD5" w:rsidRPr="00AA4677" w:rsidRDefault="000F1BD5" w:rsidP="00F87FCD">
      <w:pPr>
        <w:pStyle w:val="NormalWeb"/>
        <w:shd w:val="clear" w:color="auto" w:fill="FFFFFF"/>
        <w:spacing w:before="0" w:beforeAutospacing="0" w:after="0" w:afterAutospacing="0"/>
        <w:rPr>
          <w:rFonts w:asciiTheme="minorHAnsi" w:hAnsiTheme="minorHAnsi" w:cs="Helvetica"/>
        </w:rPr>
      </w:pPr>
    </w:p>
    <w:p w14:paraId="2085FC01" w14:textId="21477C68" w:rsidR="00F87FCD" w:rsidRPr="00AA4677" w:rsidRDefault="00F87FCD">
      <w:pPr>
        <w:pStyle w:val="ListParagraph"/>
        <w:numPr>
          <w:ilvl w:val="0"/>
          <w:numId w:val="240"/>
        </w:numPr>
        <w:shd w:val="clear" w:color="auto" w:fill="FFFFFF"/>
        <w:spacing w:after="0" w:line="300" w:lineRule="atLeast"/>
        <w:ind w:left="360"/>
        <w:rPr>
          <w:rFonts w:cs="Helvetica"/>
          <w:szCs w:val="24"/>
        </w:rPr>
      </w:pPr>
      <w:r w:rsidRPr="00AA4677">
        <w:rPr>
          <w:rFonts w:cs="Helvetica"/>
          <w:szCs w:val="24"/>
        </w:rPr>
        <w:t xml:space="preserve">Funded (wholly or in part) by NIH, and </w:t>
      </w:r>
      <w:r w:rsidR="000F1BD5" w:rsidRPr="00AA4677">
        <w:rPr>
          <w:rFonts w:cs="Helvetica"/>
          <w:szCs w:val="24"/>
        </w:rPr>
        <w:t>meets the NIH defin</w:t>
      </w:r>
      <w:r w:rsidR="002C23B6" w:rsidRPr="00AA4677">
        <w:rPr>
          <w:rFonts w:cs="Helvetica"/>
          <w:szCs w:val="24"/>
        </w:rPr>
        <w:t xml:space="preserve">ition of a clinical trial, </w:t>
      </w:r>
      <w:proofErr w:type="gramStart"/>
      <w:r w:rsidR="002C23B6" w:rsidRPr="00AA4677">
        <w:rPr>
          <w:rFonts w:cs="Helvetica"/>
          <w:szCs w:val="24"/>
        </w:rPr>
        <w:t>i.e..</w:t>
      </w:r>
      <w:proofErr w:type="gramEnd"/>
      <w:r w:rsidR="002C23B6" w:rsidRPr="00AA4677">
        <w:rPr>
          <w:rFonts w:cs="Helvetica"/>
          <w:szCs w:val="24"/>
        </w:rPr>
        <w:t xml:space="preserve"> </w:t>
      </w:r>
      <w:proofErr w:type="gramStart"/>
      <w:r w:rsidR="002C23B6" w:rsidRPr="00AA4677">
        <w:rPr>
          <w:rFonts w:cs="Helvetica"/>
          <w:szCs w:val="24"/>
        </w:rPr>
        <w:t>In order to</w:t>
      </w:r>
      <w:proofErr w:type="gramEnd"/>
      <w:r w:rsidR="002C23B6" w:rsidRPr="00AA4677">
        <w:rPr>
          <w:rFonts w:cs="Helvetica"/>
          <w:szCs w:val="24"/>
        </w:rPr>
        <w:t xml:space="preserve"> meet the NIH definition of a clinical trial,</w:t>
      </w:r>
      <w:r w:rsidR="000F1BD5" w:rsidRPr="00AA4677">
        <w:rPr>
          <w:rFonts w:cs="Helvetica"/>
          <w:szCs w:val="24"/>
        </w:rPr>
        <w:t xml:space="preserve"> the answer to all four of the following questions is yes:   </w:t>
      </w:r>
    </w:p>
    <w:p w14:paraId="45953B45" w14:textId="4195ABF4" w:rsidR="000F1BD5" w:rsidRPr="00AA4677" w:rsidRDefault="000F1BD5">
      <w:pPr>
        <w:pStyle w:val="ListParagraph"/>
        <w:numPr>
          <w:ilvl w:val="2"/>
          <w:numId w:val="240"/>
        </w:numPr>
        <w:shd w:val="clear" w:color="auto" w:fill="FFFFFF"/>
        <w:spacing w:line="300" w:lineRule="atLeast"/>
        <w:ind w:left="360" w:firstLine="0"/>
        <w:rPr>
          <w:rFonts w:cs="Helvetica"/>
          <w:szCs w:val="24"/>
        </w:rPr>
      </w:pPr>
      <w:r w:rsidRPr="00AA4677">
        <w:rPr>
          <w:rFonts w:cs="Helvetica"/>
          <w:szCs w:val="24"/>
        </w:rPr>
        <w:t>Does the study involve human participants?</w:t>
      </w:r>
    </w:p>
    <w:p w14:paraId="35D86B94" w14:textId="7C22C450" w:rsidR="000F1BD5" w:rsidRPr="00AA4677" w:rsidRDefault="000F1BD5">
      <w:pPr>
        <w:pStyle w:val="ListParagraph"/>
        <w:numPr>
          <w:ilvl w:val="2"/>
          <w:numId w:val="241"/>
        </w:numPr>
        <w:shd w:val="clear" w:color="auto" w:fill="FFFFFF"/>
        <w:spacing w:line="300" w:lineRule="atLeast"/>
        <w:ind w:left="720"/>
        <w:rPr>
          <w:rFonts w:cs="Helvetica"/>
          <w:szCs w:val="24"/>
        </w:rPr>
      </w:pPr>
      <w:r w:rsidRPr="00AA4677">
        <w:rPr>
          <w:rFonts w:cs="Helvetica"/>
          <w:szCs w:val="24"/>
        </w:rPr>
        <w:t>Are the participants prospectively assigned to an intervention?</w:t>
      </w:r>
    </w:p>
    <w:p w14:paraId="09B37DF0" w14:textId="5CD21E3B" w:rsidR="000F1BD5" w:rsidRPr="00AA4677" w:rsidRDefault="000F1BD5">
      <w:pPr>
        <w:pStyle w:val="ListParagraph"/>
        <w:numPr>
          <w:ilvl w:val="2"/>
          <w:numId w:val="241"/>
        </w:numPr>
        <w:shd w:val="clear" w:color="auto" w:fill="FFFFFF"/>
        <w:spacing w:line="300" w:lineRule="atLeast"/>
        <w:ind w:left="720"/>
        <w:rPr>
          <w:rFonts w:cs="Helvetica"/>
          <w:szCs w:val="24"/>
        </w:rPr>
      </w:pPr>
      <w:r w:rsidRPr="00AA4677">
        <w:rPr>
          <w:rFonts w:cs="Helvetica"/>
          <w:szCs w:val="24"/>
        </w:rPr>
        <w:t>Is the study designed to evaluate the effect of the intervention on the participants?</w:t>
      </w:r>
    </w:p>
    <w:p w14:paraId="091B3B10" w14:textId="03DEB04D" w:rsidR="000F1BD5" w:rsidRPr="00AA4677" w:rsidRDefault="000F1BD5">
      <w:pPr>
        <w:pStyle w:val="ListParagraph"/>
        <w:numPr>
          <w:ilvl w:val="2"/>
          <w:numId w:val="241"/>
        </w:numPr>
        <w:shd w:val="clear" w:color="auto" w:fill="FFFFFF"/>
        <w:spacing w:line="300" w:lineRule="atLeast"/>
        <w:ind w:left="720"/>
        <w:rPr>
          <w:rFonts w:cs="Helvetica"/>
          <w:szCs w:val="24"/>
        </w:rPr>
      </w:pPr>
      <w:r w:rsidRPr="00AA4677">
        <w:rPr>
          <w:rFonts w:cs="Helvetica"/>
          <w:szCs w:val="24"/>
        </w:rPr>
        <w:lastRenderedPageBreak/>
        <w:t>Is the effect that will be evaluated a health-related biomedical or behavioral outcome?</w:t>
      </w:r>
    </w:p>
    <w:p w14:paraId="46040944" w14:textId="7CEE3A1D" w:rsidR="004A1989" w:rsidRPr="00AA4677" w:rsidRDefault="004A1989">
      <w:pPr>
        <w:pStyle w:val="ListParagraph"/>
        <w:numPr>
          <w:ilvl w:val="0"/>
          <w:numId w:val="240"/>
        </w:numPr>
        <w:shd w:val="clear" w:color="auto" w:fill="FFFFFF"/>
        <w:spacing w:line="300" w:lineRule="atLeast"/>
        <w:ind w:left="360"/>
        <w:rPr>
          <w:rFonts w:cs="Helvetica"/>
          <w:szCs w:val="24"/>
        </w:rPr>
      </w:pPr>
      <w:r w:rsidRPr="00AA4677">
        <w:rPr>
          <w:rFonts w:cs="Helvetica"/>
          <w:szCs w:val="24"/>
        </w:rPr>
        <w:t xml:space="preserve">See </w:t>
      </w:r>
      <w:hyperlink r:id="rId129" w:history="1">
        <w:r w:rsidRPr="00696B35">
          <w:rPr>
            <w:rStyle w:val="Hyperlink"/>
            <w:rFonts w:cs="Helvetica"/>
            <w:szCs w:val="24"/>
          </w:rPr>
          <w:t>https://grants.nih.gov/policy/clinical-trials/definition.htm</w:t>
        </w:r>
      </w:hyperlink>
      <w:r w:rsidRPr="00AA4677">
        <w:rPr>
          <w:rFonts w:cs="Helvetica"/>
          <w:szCs w:val="24"/>
        </w:rPr>
        <w:t xml:space="preserve"> for details. </w:t>
      </w:r>
    </w:p>
    <w:p w14:paraId="36C08999" w14:textId="2EF5E88E" w:rsidR="004A1989" w:rsidRPr="00AA4677" w:rsidRDefault="00F87FCD" w:rsidP="00D06E2E">
      <w:pPr>
        <w:pStyle w:val="ListParagraph"/>
        <w:numPr>
          <w:ilvl w:val="0"/>
          <w:numId w:val="240"/>
        </w:numPr>
        <w:shd w:val="clear" w:color="auto" w:fill="FFFFFF"/>
        <w:spacing w:line="300" w:lineRule="atLeast"/>
        <w:ind w:left="360"/>
        <w:rPr>
          <w:rFonts w:cs="Helvetica"/>
          <w:szCs w:val="24"/>
        </w:rPr>
      </w:pPr>
      <w:r w:rsidRPr="00AA4677">
        <w:rPr>
          <w:rFonts w:cs="Helvetica"/>
          <w:szCs w:val="24"/>
        </w:rPr>
        <w:t>Not funded by NIH, and is (1) a clinical trial of drugs and/or biological products that is a controlled, clinical investigation, other than a Phase I investigation, of a product subject to FDA regulation</w:t>
      </w:r>
      <w:r w:rsidR="005052A6" w:rsidRPr="00AA4677">
        <w:rPr>
          <w:rFonts w:cs="Helvetica"/>
          <w:szCs w:val="24"/>
        </w:rPr>
        <w:t xml:space="preserve"> (see </w:t>
      </w:r>
      <w:hyperlink r:id="rId130" w:history="1">
        <w:r w:rsidR="005052A6" w:rsidRPr="00696B35">
          <w:rPr>
            <w:rStyle w:val="Hyperlink"/>
            <w:rFonts w:cs="Helvetica"/>
            <w:szCs w:val="24"/>
          </w:rPr>
          <w:t>https://clinicaltrials.gov/ct2/manage-recs/fdaaa</w:t>
        </w:r>
      </w:hyperlink>
      <w:r w:rsidR="005052A6" w:rsidRPr="00AA4677">
        <w:rPr>
          <w:rFonts w:cs="Helvetica"/>
          <w:szCs w:val="24"/>
        </w:rPr>
        <w:t>)</w:t>
      </w:r>
      <w:r w:rsidRPr="00AA4677">
        <w:rPr>
          <w:rFonts w:cs="Helvetica"/>
          <w:szCs w:val="24"/>
        </w:rPr>
        <w:t>;</w:t>
      </w:r>
    </w:p>
    <w:p w14:paraId="5BA452DE" w14:textId="727BDB43" w:rsidR="005052A6" w:rsidRPr="00AA4677" w:rsidRDefault="00F87FCD">
      <w:pPr>
        <w:pStyle w:val="ListParagraph"/>
        <w:numPr>
          <w:ilvl w:val="0"/>
          <w:numId w:val="240"/>
        </w:numPr>
        <w:shd w:val="clear" w:color="auto" w:fill="FFFFFF"/>
        <w:spacing w:before="100" w:beforeAutospacing="1" w:after="100" w:afterAutospacing="1" w:line="240" w:lineRule="auto"/>
        <w:ind w:left="360"/>
        <w:jc w:val="both"/>
        <w:rPr>
          <w:rFonts w:eastAsia="Times New Roman" w:cs="Times New Roman"/>
          <w:b/>
          <w:szCs w:val="24"/>
        </w:rPr>
      </w:pPr>
      <w:r w:rsidRPr="00AA4677">
        <w:rPr>
          <w:rFonts w:cs="Helvetica"/>
          <w:szCs w:val="24"/>
        </w:rPr>
        <w:t>Not funded by NIH, and is a prospective clinical study of health outcomes comparing an intervention with a device product against a control in humans (other than a small</w:t>
      </w:r>
      <w:r w:rsidR="004A108B" w:rsidRPr="00AA4677">
        <w:rPr>
          <w:rFonts w:cs="Helvetica"/>
          <w:szCs w:val="24"/>
        </w:rPr>
        <w:t xml:space="preserve"> f</w:t>
      </w:r>
      <w:r w:rsidRPr="00AA4677">
        <w:rPr>
          <w:rFonts w:cs="Helvetica"/>
          <w:szCs w:val="24"/>
        </w:rPr>
        <w:t>easibility study), or any pediatric post-market surveillance study, as required under the Federal Food, Drug and Cosmetic Act</w:t>
      </w:r>
      <w:r w:rsidR="005052A6" w:rsidRPr="00AA4677">
        <w:rPr>
          <w:rFonts w:cs="Helvetica"/>
          <w:szCs w:val="24"/>
        </w:rPr>
        <w:t xml:space="preserve"> (see </w:t>
      </w:r>
      <w:hyperlink r:id="rId131" w:history="1">
        <w:r w:rsidR="005052A6" w:rsidRPr="00696B35">
          <w:rPr>
            <w:rStyle w:val="Hyperlink"/>
            <w:rFonts w:cs="Helvetica"/>
            <w:szCs w:val="24"/>
          </w:rPr>
          <w:t>https://clinicaltrials.gov/ct2/manage-recs/fdaaa</w:t>
        </w:r>
      </w:hyperlink>
      <w:r w:rsidR="005052A6" w:rsidRPr="00AA4677">
        <w:rPr>
          <w:rFonts w:cs="Helvetica"/>
          <w:szCs w:val="24"/>
        </w:rPr>
        <w:t>)</w:t>
      </w:r>
    </w:p>
    <w:p w14:paraId="536AEE97" w14:textId="59FC8BFF" w:rsidR="007D0CA3" w:rsidRPr="00AA4677" w:rsidRDefault="007D0CA3" w:rsidP="0016258E">
      <w:pPr>
        <w:shd w:val="clear" w:color="auto" w:fill="FFFFFF"/>
        <w:spacing w:before="100" w:beforeAutospacing="1" w:after="100" w:afterAutospacing="1" w:line="240" w:lineRule="auto"/>
        <w:rPr>
          <w:rFonts w:eastAsia="Times New Roman" w:cs="Times New Roman"/>
          <w:bCs/>
          <w:szCs w:val="24"/>
        </w:rPr>
      </w:pPr>
      <w:bookmarkStart w:id="347" w:name="_Hlk192161671"/>
      <w:r w:rsidRPr="00160475">
        <w:rPr>
          <w:rFonts w:eastAsia="Times New Roman" w:cs="Times New Roman"/>
          <w:b/>
          <w:szCs w:val="24"/>
        </w:rPr>
        <w:t xml:space="preserve">NOTE: </w:t>
      </w:r>
      <w:r w:rsidRPr="00AA4677">
        <w:rPr>
          <w:rFonts w:eastAsia="Times New Roman" w:cs="Times New Roman"/>
          <w:bCs/>
          <w:szCs w:val="24"/>
        </w:rPr>
        <w:t xml:space="preserve">The </w:t>
      </w:r>
      <w:r w:rsidR="00DB5273" w:rsidRPr="00AA4677">
        <w:rPr>
          <w:rFonts w:eastAsia="Times New Roman" w:cs="Times New Roman"/>
          <w:bCs/>
          <w:szCs w:val="24"/>
        </w:rPr>
        <w:t>C</w:t>
      </w:r>
      <w:r w:rsidRPr="00AA4677">
        <w:rPr>
          <w:rFonts w:eastAsia="Times New Roman" w:cs="Times New Roman"/>
          <w:bCs/>
          <w:szCs w:val="24"/>
        </w:rPr>
        <w:t>linical</w:t>
      </w:r>
      <w:r w:rsidR="00DB5273" w:rsidRPr="00AA4677">
        <w:rPr>
          <w:rFonts w:eastAsia="Times New Roman" w:cs="Times New Roman"/>
          <w:bCs/>
          <w:szCs w:val="24"/>
        </w:rPr>
        <w:t>T</w:t>
      </w:r>
      <w:r w:rsidRPr="00AA4677">
        <w:rPr>
          <w:rFonts w:eastAsia="Times New Roman" w:cs="Times New Roman"/>
          <w:bCs/>
          <w:szCs w:val="24"/>
        </w:rPr>
        <w:t>rials.gov record must be updated at least once every 12 months or within 30 days of a protocol change. Results must</w:t>
      </w:r>
      <w:r w:rsidR="001668DC" w:rsidRPr="00AA4677">
        <w:rPr>
          <w:rFonts w:eastAsia="Times New Roman" w:cs="Times New Roman"/>
          <w:bCs/>
          <w:szCs w:val="24"/>
        </w:rPr>
        <w:t xml:space="preserve"> </w:t>
      </w:r>
      <w:r w:rsidR="0016258E" w:rsidRPr="00AA4677">
        <w:rPr>
          <w:rFonts w:eastAsia="Times New Roman" w:cs="Times New Roman"/>
          <w:bCs/>
          <w:szCs w:val="24"/>
        </w:rPr>
        <w:t>be reported no later than 1 year after the complet</w:t>
      </w:r>
      <w:r w:rsidR="00553385" w:rsidRPr="00AA4677">
        <w:rPr>
          <w:rFonts w:eastAsia="Times New Roman" w:cs="Times New Roman"/>
          <w:bCs/>
          <w:szCs w:val="24"/>
        </w:rPr>
        <w:t>ion</w:t>
      </w:r>
      <w:r w:rsidR="0016258E" w:rsidRPr="00AA4677">
        <w:rPr>
          <w:rFonts w:eastAsia="Times New Roman" w:cs="Times New Roman"/>
          <w:bCs/>
          <w:szCs w:val="24"/>
        </w:rPr>
        <w:t xml:space="preserve"> date.</w:t>
      </w:r>
    </w:p>
    <w:bookmarkEnd w:id="347"/>
    <w:p w14:paraId="4A9BF357" w14:textId="7492C28B" w:rsidR="004A1989" w:rsidRPr="00AA4677" w:rsidRDefault="000F1BD5" w:rsidP="005052A6">
      <w:pPr>
        <w:shd w:val="clear" w:color="auto" w:fill="FFFFFF"/>
        <w:spacing w:before="100" w:beforeAutospacing="1" w:after="100" w:afterAutospacing="1" w:line="240" w:lineRule="auto"/>
        <w:rPr>
          <w:rFonts w:cs="Arial"/>
          <w:b/>
          <w:szCs w:val="24"/>
          <w:shd w:val="clear" w:color="auto" w:fill="FFFFFF"/>
        </w:rPr>
      </w:pPr>
      <w:r w:rsidRPr="00AA4677">
        <w:rPr>
          <w:rFonts w:eastAsia="Times New Roman" w:cs="Times New Roman"/>
          <w:szCs w:val="24"/>
        </w:rPr>
        <w:t>In addition, many</w:t>
      </w:r>
      <w:r w:rsidR="005052A6" w:rsidRPr="00AA4677">
        <w:rPr>
          <w:rFonts w:eastAsia="Times New Roman" w:cs="Times New Roman"/>
          <w:szCs w:val="24"/>
        </w:rPr>
        <w:t xml:space="preserve"> ICMJE</w:t>
      </w:r>
      <w:r w:rsidRPr="00AA4677">
        <w:rPr>
          <w:rFonts w:eastAsia="Times New Roman" w:cs="Times New Roman"/>
          <w:szCs w:val="24"/>
        </w:rPr>
        <w:t xml:space="preserve"> journals </w:t>
      </w:r>
      <w:r w:rsidR="005052A6" w:rsidRPr="00AA4677">
        <w:rPr>
          <w:rFonts w:eastAsia="Times New Roman" w:cs="Times New Roman"/>
          <w:szCs w:val="24"/>
        </w:rPr>
        <w:t>(</w:t>
      </w:r>
      <w:hyperlink r:id="rId132" w:history="1">
        <w:r w:rsidR="005052A6" w:rsidRPr="00696B35">
          <w:rPr>
            <w:rStyle w:val="Hyperlink"/>
            <w:rFonts w:eastAsia="Times New Roman" w:cs="Times New Roman"/>
            <w:szCs w:val="24"/>
          </w:rPr>
          <w:t>http://www.icmje.org/</w:t>
        </w:r>
      </w:hyperlink>
      <w:r w:rsidR="005052A6" w:rsidRPr="00AA4677">
        <w:rPr>
          <w:rFonts w:eastAsia="Times New Roman" w:cs="Times New Roman"/>
          <w:szCs w:val="24"/>
        </w:rPr>
        <w:t xml:space="preserve">) </w:t>
      </w:r>
      <w:r w:rsidRPr="00AA4677">
        <w:rPr>
          <w:rFonts w:eastAsia="Times New Roman" w:cs="Times New Roman"/>
          <w:szCs w:val="24"/>
        </w:rPr>
        <w:t xml:space="preserve">require </w:t>
      </w:r>
      <w:r w:rsidR="005052A6" w:rsidRPr="00AA4677">
        <w:rPr>
          <w:rFonts w:eastAsia="Times New Roman" w:cs="Times New Roman"/>
          <w:szCs w:val="24"/>
        </w:rPr>
        <w:t xml:space="preserve">clinicaltrials.gov </w:t>
      </w:r>
      <w:r w:rsidRPr="00AA4677">
        <w:rPr>
          <w:rFonts w:eastAsia="Times New Roman" w:cs="Times New Roman"/>
          <w:szCs w:val="24"/>
        </w:rPr>
        <w:t xml:space="preserve">registration </w:t>
      </w:r>
      <w:proofErr w:type="gramStart"/>
      <w:r w:rsidR="005052A6" w:rsidRPr="00AA4677">
        <w:rPr>
          <w:rFonts w:eastAsia="Times New Roman" w:cs="Times New Roman"/>
          <w:szCs w:val="24"/>
        </w:rPr>
        <w:t>in order to</w:t>
      </w:r>
      <w:proofErr w:type="gramEnd"/>
      <w:r w:rsidR="005052A6" w:rsidRPr="00AA4677">
        <w:rPr>
          <w:rFonts w:eastAsia="Times New Roman" w:cs="Times New Roman"/>
          <w:szCs w:val="24"/>
        </w:rPr>
        <w:t xml:space="preserve"> consider articles for publication</w:t>
      </w:r>
      <w:r w:rsidRPr="00AA4677">
        <w:rPr>
          <w:rFonts w:cs="Arial"/>
          <w:szCs w:val="24"/>
          <w:shd w:val="clear" w:color="auto" w:fill="FFFFFF"/>
        </w:rPr>
        <w:t xml:space="preserve">.  </w:t>
      </w:r>
      <w:r w:rsidR="002C23B6" w:rsidRPr="00AA4677">
        <w:rPr>
          <w:rFonts w:cs="Arial"/>
          <w:szCs w:val="24"/>
          <w:shd w:val="clear" w:color="auto" w:fill="FFFFFF"/>
        </w:rPr>
        <w:t xml:space="preserve">However, the ICMJE requires that the study </w:t>
      </w:r>
      <w:proofErr w:type="gramStart"/>
      <w:r w:rsidR="002C23B6" w:rsidRPr="00AA4677">
        <w:rPr>
          <w:rFonts w:cs="Arial"/>
          <w:szCs w:val="24"/>
          <w:shd w:val="clear" w:color="auto" w:fill="FFFFFF"/>
        </w:rPr>
        <w:t>meeting</w:t>
      </w:r>
      <w:proofErr w:type="gramEnd"/>
      <w:r w:rsidR="002C23B6" w:rsidRPr="00AA4677">
        <w:rPr>
          <w:rFonts w:cs="Arial"/>
          <w:szCs w:val="24"/>
          <w:shd w:val="clear" w:color="auto" w:fill="FFFFFF"/>
        </w:rPr>
        <w:t xml:space="preserve"> the ICMJE definition of a clinical trial for registration on a public </w:t>
      </w:r>
      <w:proofErr w:type="gramStart"/>
      <w:r w:rsidR="002C23B6" w:rsidRPr="00AA4677">
        <w:rPr>
          <w:rFonts w:cs="Arial"/>
          <w:szCs w:val="24"/>
          <w:shd w:val="clear" w:color="auto" w:fill="FFFFFF"/>
        </w:rPr>
        <w:t>trials</w:t>
      </w:r>
      <w:proofErr w:type="gramEnd"/>
      <w:r w:rsidR="002C23B6" w:rsidRPr="00AA4677">
        <w:rPr>
          <w:rFonts w:cs="Arial"/>
          <w:szCs w:val="24"/>
          <w:shd w:val="clear" w:color="auto" w:fill="FFFFFF"/>
        </w:rPr>
        <w:t xml:space="preserve"> registry. The ICMJE definition is as follows: </w:t>
      </w:r>
      <w:r w:rsidR="002C23B6" w:rsidRPr="00AA4677">
        <w:rPr>
          <w:rFonts w:cstheme="minorHAnsi"/>
          <w:szCs w:val="24"/>
          <w:shd w:val="clear" w:color="auto" w:fill="FFFFFF"/>
        </w:rPr>
        <w:t>“any research project that prospectively assigns people or a group of people to an intervention, with or without concurrent comparison or control groups, to study the relationship between a health-related intervention </w:t>
      </w:r>
      <w:r w:rsidR="002C23B6" w:rsidRPr="00AA4677">
        <w:rPr>
          <w:rStyle w:val="Emphasis"/>
          <w:rFonts w:cstheme="minorHAnsi"/>
          <w:szCs w:val="24"/>
          <w:shd w:val="clear" w:color="auto" w:fill="FFFFFF"/>
        </w:rPr>
        <w:t>and</w:t>
      </w:r>
      <w:r w:rsidR="002C23B6" w:rsidRPr="00AA4677">
        <w:rPr>
          <w:rFonts w:cstheme="minorHAnsi"/>
          <w:szCs w:val="24"/>
          <w:shd w:val="clear" w:color="auto" w:fill="FFFFFF"/>
        </w:rPr>
        <w:t> a health outcome. Health-related interventions are those used to modify a biomedical or health-related outcome; examples include drugs, surgical procedures, devices, behavioral treatments, educational programs, dietary interventions, quality improvement interventions, and process-of-care changes. Health outcomes are any biomedical or health-related measures obtained in patients or participants, including pharmacokinetic measures and adverse events</w:t>
      </w:r>
      <w:bookmarkStart w:id="348" w:name="_Hlk192161725"/>
      <w:r w:rsidR="002C23B6" w:rsidRPr="00AA4677">
        <w:rPr>
          <w:rFonts w:cstheme="minorHAnsi"/>
          <w:szCs w:val="24"/>
          <w:shd w:val="clear" w:color="auto" w:fill="FFFFFF"/>
        </w:rPr>
        <w:t>.”  </w:t>
      </w:r>
      <w:r w:rsidR="0090462F" w:rsidRPr="00AA4677">
        <w:rPr>
          <w:rFonts w:cs="Arial"/>
          <w:szCs w:val="24"/>
          <w:shd w:val="clear" w:color="auto" w:fill="FFFFFF"/>
        </w:rPr>
        <w:t xml:space="preserve">If a study is intended to be published in an ICMJE journal, it must be registered </w:t>
      </w:r>
      <w:r w:rsidR="00DB5273" w:rsidRPr="00AA4677">
        <w:rPr>
          <w:rFonts w:cs="Arial"/>
          <w:szCs w:val="24"/>
          <w:shd w:val="clear" w:color="auto" w:fill="FFFFFF"/>
        </w:rPr>
        <w:t xml:space="preserve">with ClinicalTrials.gov </w:t>
      </w:r>
      <w:r w:rsidR="0090462F" w:rsidRPr="00AA4677">
        <w:rPr>
          <w:rFonts w:cs="Arial"/>
          <w:szCs w:val="24"/>
          <w:shd w:val="clear" w:color="auto" w:fill="FFFFFF"/>
        </w:rPr>
        <w:t>before the first subject is enrolled.</w:t>
      </w:r>
    </w:p>
    <w:bookmarkEnd w:id="348"/>
    <w:p w14:paraId="0A8DAD60" w14:textId="70F48A14" w:rsidR="00F87FCD" w:rsidRPr="00AA4677" w:rsidRDefault="00F87FCD" w:rsidP="004A108B">
      <w:pPr>
        <w:pStyle w:val="NormalWeb"/>
        <w:shd w:val="clear" w:color="auto" w:fill="FFFFFF"/>
        <w:spacing w:before="0" w:beforeAutospacing="0" w:after="0" w:afterAutospacing="0"/>
        <w:rPr>
          <w:rFonts w:asciiTheme="minorHAnsi" w:hAnsiTheme="minorHAnsi" w:cs="Helvetica"/>
          <w:b/>
        </w:rPr>
      </w:pPr>
      <w:r w:rsidRPr="00AA4677">
        <w:rPr>
          <w:rFonts w:asciiTheme="minorHAnsi" w:hAnsiTheme="minorHAnsi" w:cs="Helvetica"/>
          <w:b/>
        </w:rPr>
        <w:t>Contact the Office of Research Complia</w:t>
      </w:r>
      <w:r w:rsidR="004A1989" w:rsidRPr="00AA4677">
        <w:rPr>
          <w:rFonts w:asciiTheme="minorHAnsi" w:hAnsiTheme="minorHAnsi" w:cs="Helvetica"/>
          <w:b/>
        </w:rPr>
        <w:t>nce for first-time access to the clinicaltrials.gov site</w:t>
      </w:r>
      <w:r w:rsidRPr="00AA4677">
        <w:rPr>
          <w:rFonts w:asciiTheme="minorHAnsi" w:hAnsiTheme="minorHAnsi" w:cs="Helvetica"/>
          <w:b/>
        </w:rPr>
        <w:t>.</w:t>
      </w:r>
    </w:p>
    <w:p w14:paraId="53630415" w14:textId="77777777" w:rsidR="009C4743" w:rsidRPr="00AA4677" w:rsidRDefault="009C4743" w:rsidP="00696B35">
      <w:pPr>
        <w:pStyle w:val="Heading2"/>
      </w:pPr>
    </w:p>
    <w:p w14:paraId="411F1E41" w14:textId="1528A588" w:rsidR="00FC174E" w:rsidRPr="00AA4677" w:rsidRDefault="00FC174E" w:rsidP="00696B35">
      <w:pPr>
        <w:pStyle w:val="Heading2"/>
      </w:pPr>
      <w:bookmarkStart w:id="349" w:name="_Toc192678279"/>
      <w:r w:rsidRPr="00AA4677">
        <w:t>17.5 Guidance on Research (only) Involving Coded Private Information or Biological Specimens</w:t>
      </w:r>
      <w:bookmarkEnd w:id="349"/>
    </w:p>
    <w:p w14:paraId="476EB28A" w14:textId="18246A9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dealing with the review of biological specimen use in research activities, </w:t>
      </w:r>
      <w:r w:rsidR="00DE3222"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must balance two factors: </w:t>
      </w:r>
      <w:r w:rsidR="00DE3222" w:rsidRPr="00AA4677">
        <w:rPr>
          <w:rFonts w:eastAsia="Times New Roman" w:cs="Times New Roman"/>
          <w:szCs w:val="24"/>
        </w:rPr>
        <w:t xml:space="preserve"> </w:t>
      </w:r>
      <w:r w:rsidRPr="00AA4677">
        <w:rPr>
          <w:rFonts w:eastAsia="Times New Roman" w:cs="Times New Roman"/>
          <w:szCs w:val="24"/>
        </w:rPr>
        <w:t>the need for protection of the rights and welfare of the person from whom the specimen was/will be obtained and the need to not impede the research activities conducted at Stony Brook University.</w:t>
      </w:r>
    </w:p>
    <w:p w14:paraId="7CC43351"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reader should also review Section 17.2, which addresses research involving tissue registries/tissue banks. </w:t>
      </w:r>
    </w:p>
    <w:p w14:paraId="7E60CB0A" w14:textId="53122240" w:rsidR="002C23B6" w:rsidRPr="00AA4677" w:rsidRDefault="00FC174E" w:rsidP="002C23B6">
      <w:p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Under the definition of human subject at 45 CFR 46.102(f), </w:t>
      </w:r>
      <w:r w:rsidRPr="00AA4677">
        <w:rPr>
          <w:rFonts w:eastAsia="Times New Roman" w:cs="Times New Roman"/>
          <w:i/>
          <w:iCs/>
          <w:szCs w:val="24"/>
        </w:rPr>
        <w:t>obtaining</w:t>
      </w:r>
      <w:r w:rsidRPr="00AA4677">
        <w:rPr>
          <w:rFonts w:eastAsia="Times New Roman" w:cs="Times New Roman"/>
          <w:szCs w:val="24"/>
        </w:rPr>
        <w:t> identifiable private information or</w:t>
      </w:r>
      <w:r w:rsidR="006B6EAF" w:rsidRPr="00AA4677">
        <w:rPr>
          <w:rFonts w:eastAsia="Times New Roman" w:cs="Times New Roman"/>
          <w:szCs w:val="24"/>
        </w:rPr>
        <w:t xml:space="preserve"> i</w:t>
      </w:r>
      <w:r w:rsidR="002C23B6" w:rsidRPr="00AA4677">
        <w:rPr>
          <w:rFonts w:eastAsia="Times New Roman" w:cs="Times New Roman"/>
          <w:szCs w:val="24"/>
        </w:rPr>
        <w:t>dentifiable specimens for research purposes constitutes human subject research. Obtaining identifiable private information or identifiable specimens includes, but is not limited to:</w:t>
      </w:r>
    </w:p>
    <w:p w14:paraId="24A5611D" w14:textId="7C5CE756" w:rsidR="00FC174E" w:rsidRPr="00AA4677" w:rsidRDefault="00697894">
      <w:pPr>
        <w:pStyle w:val="ListParagraph"/>
        <w:numPr>
          <w:ilvl w:val="0"/>
          <w:numId w:val="57"/>
        </w:numPr>
        <w:shd w:val="clear" w:color="auto" w:fill="FFFFFF"/>
        <w:spacing w:after="0" w:line="240" w:lineRule="auto"/>
        <w:rPr>
          <w:rFonts w:eastAsia="Times New Roman" w:cs="Times New Roman"/>
          <w:szCs w:val="24"/>
        </w:rPr>
      </w:pPr>
      <w:r w:rsidRPr="00AA4677">
        <w:rPr>
          <w:rFonts w:eastAsia="Times New Roman" w:cs="Times New Roman"/>
          <w:szCs w:val="24"/>
        </w:rPr>
        <w:t>U</w:t>
      </w:r>
      <w:r w:rsidR="00FC174E" w:rsidRPr="00AA4677">
        <w:rPr>
          <w:rFonts w:eastAsia="Times New Roman" w:cs="Times New Roman"/>
          <w:szCs w:val="24"/>
        </w:rPr>
        <w:t>sing, studying, or analyzing for research purposes identifiable private information or identifiable specimens that have been provided to investigators from any source; and</w:t>
      </w:r>
    </w:p>
    <w:p w14:paraId="778B6E9F" w14:textId="426D5664" w:rsidR="00FC174E" w:rsidRPr="00AA4677" w:rsidRDefault="00697894">
      <w:pPr>
        <w:numPr>
          <w:ilvl w:val="0"/>
          <w:numId w:val="57"/>
        </w:numPr>
        <w:shd w:val="clear" w:color="auto" w:fill="FFFFFF"/>
        <w:spacing w:after="0" w:line="240" w:lineRule="auto"/>
        <w:rPr>
          <w:rFonts w:eastAsia="Times New Roman" w:cs="Times New Roman"/>
          <w:szCs w:val="24"/>
        </w:rPr>
      </w:pPr>
      <w:r w:rsidRPr="00AA4677">
        <w:rPr>
          <w:rFonts w:eastAsia="Times New Roman" w:cs="Times New Roman"/>
          <w:szCs w:val="24"/>
        </w:rPr>
        <w:t>U</w:t>
      </w:r>
      <w:r w:rsidR="00FC174E" w:rsidRPr="00AA4677">
        <w:rPr>
          <w:rFonts w:eastAsia="Times New Roman" w:cs="Times New Roman"/>
          <w:szCs w:val="24"/>
        </w:rPr>
        <w:t>sing, studying, or analyzing for research purposes identifiable private information or identifiable specimens that were already in the possession of the investigator.</w:t>
      </w:r>
    </w:p>
    <w:p w14:paraId="3B1FC8D7"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 general, OHRP considers private information or specimens to be individually identifiable as defined at 45 CFR 46.102(f) when they can be linked to specific individuals by the investigator(s) either directly or indirectly through coding systems.</w:t>
      </w:r>
    </w:p>
    <w:p w14:paraId="20105FB1" w14:textId="77777777" w:rsidR="000B4A22" w:rsidRPr="00AA4677" w:rsidRDefault="00FC174E" w:rsidP="000B4A22">
      <w:pPr>
        <w:shd w:val="clear" w:color="auto" w:fill="FFFFFF"/>
        <w:spacing w:after="0" w:line="240" w:lineRule="auto"/>
        <w:rPr>
          <w:rFonts w:eastAsia="Times New Roman" w:cs="Times New Roman"/>
          <w:szCs w:val="24"/>
        </w:rPr>
      </w:pPr>
      <w:r w:rsidRPr="00AA4677">
        <w:rPr>
          <w:rFonts w:eastAsia="Times New Roman" w:cs="Times New Roman"/>
          <w:szCs w:val="24"/>
        </w:rPr>
        <w:t xml:space="preserve">Conversely, OHRP considers private information or specimens not to be individually identifiable when they cannot be linked to specific individuals by the investigator(s) either directly or indirectly through coding systems. </w:t>
      </w:r>
    </w:p>
    <w:p w14:paraId="6FE66410" w14:textId="77777777" w:rsidR="000B4A22" w:rsidRPr="00AA4677" w:rsidRDefault="000B4A22" w:rsidP="000B4A22">
      <w:pPr>
        <w:shd w:val="clear" w:color="auto" w:fill="FFFFFF"/>
        <w:spacing w:after="0" w:line="240" w:lineRule="auto"/>
        <w:rPr>
          <w:rFonts w:eastAsia="Times New Roman" w:cs="Times New Roman"/>
          <w:szCs w:val="24"/>
        </w:rPr>
      </w:pPr>
    </w:p>
    <w:p w14:paraId="4D68BC57" w14:textId="2F33C3AC" w:rsidR="00FC174E" w:rsidRPr="00AA4677" w:rsidRDefault="00FC174E" w:rsidP="000B4A22">
      <w:pPr>
        <w:shd w:val="clear" w:color="auto" w:fill="FFFFFF"/>
        <w:spacing w:after="0" w:line="240" w:lineRule="auto"/>
        <w:rPr>
          <w:rFonts w:eastAsia="Times New Roman" w:cs="Times New Roman"/>
          <w:szCs w:val="24"/>
        </w:rPr>
      </w:pPr>
      <w:r w:rsidRPr="00AA4677">
        <w:rPr>
          <w:rFonts w:eastAsia="Times New Roman" w:cs="Times New Roman"/>
          <w:szCs w:val="24"/>
        </w:rPr>
        <w:t>For example, OHRP does not consider research involving only coded private information or specimens to involve human subjects as defined under 45 CFR 46.102(f) if the following conditions are both met:</w:t>
      </w:r>
    </w:p>
    <w:p w14:paraId="499E679B" w14:textId="77777777" w:rsidR="0098272B" w:rsidRPr="00AA4677" w:rsidRDefault="000B4A22">
      <w:pPr>
        <w:numPr>
          <w:ilvl w:val="0"/>
          <w:numId w:val="58"/>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private information or specimens were not collected specifically for the currently proposed research project through an interaction or intervention with living </w:t>
      </w:r>
      <w:proofErr w:type="gramStart"/>
      <w:r w:rsidR="00FC174E" w:rsidRPr="00AA4677">
        <w:rPr>
          <w:rFonts w:eastAsia="Times New Roman" w:cs="Times New Roman"/>
          <w:szCs w:val="24"/>
        </w:rPr>
        <w:t>individuals;</w:t>
      </w:r>
      <w:proofErr w:type="gramEnd"/>
      <w:r w:rsidR="00FC174E" w:rsidRPr="00AA4677">
        <w:rPr>
          <w:rFonts w:eastAsia="Times New Roman" w:cs="Times New Roman"/>
          <w:szCs w:val="24"/>
        </w:rPr>
        <w:t> </w:t>
      </w:r>
    </w:p>
    <w:p w14:paraId="460E4673" w14:textId="50139BE9" w:rsidR="00FC174E" w:rsidRPr="00AA4677" w:rsidRDefault="00160475" w:rsidP="00CB1025">
      <w:pPr>
        <w:shd w:val="clear" w:color="auto" w:fill="FFFFFF"/>
        <w:spacing w:after="0" w:line="240" w:lineRule="auto"/>
        <w:ind w:left="360"/>
        <w:rPr>
          <w:rFonts w:eastAsia="Times New Roman" w:cs="Times New Roman"/>
          <w:b/>
          <w:szCs w:val="24"/>
        </w:rPr>
      </w:pPr>
      <w:r>
        <w:rPr>
          <w:rFonts w:eastAsia="Times New Roman" w:cs="Times New Roman"/>
          <w:b/>
          <w:szCs w:val="24"/>
        </w:rPr>
        <w:t>a</w:t>
      </w:r>
      <w:r w:rsidR="00FC174E" w:rsidRPr="00AA4677">
        <w:rPr>
          <w:rFonts w:eastAsia="Times New Roman" w:cs="Times New Roman"/>
          <w:b/>
          <w:szCs w:val="24"/>
        </w:rPr>
        <w:t>nd</w:t>
      </w:r>
    </w:p>
    <w:p w14:paraId="2CB17262" w14:textId="51931A38" w:rsidR="00FC174E" w:rsidRPr="00AA4677" w:rsidRDefault="000B4A22">
      <w:pPr>
        <w:numPr>
          <w:ilvl w:val="0"/>
          <w:numId w:val="58"/>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 investigator(s) cannot readily ascertain the identity of the individual(s) to whom the coded private information or specimens pertain because, for example:</w:t>
      </w:r>
    </w:p>
    <w:p w14:paraId="2E7DF3D1" w14:textId="322F7D92" w:rsidR="00FC174E" w:rsidRPr="00AA4677" w:rsidRDefault="000B4A22">
      <w:pPr>
        <w:numPr>
          <w:ilvl w:val="0"/>
          <w:numId w:val="121"/>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 investigators and the holder of the key enter into an agreement prohibiting the release of the key to the investigators under any circumstances, until</w:t>
      </w:r>
      <w:r w:rsidR="00606526" w:rsidRPr="00AA4677">
        <w:rPr>
          <w:rFonts w:eastAsia="Times New Roman" w:cs="Times New Roman"/>
          <w:szCs w:val="24"/>
        </w:rPr>
        <w:t xml:space="preserve"> the individuals are deceased (N</w:t>
      </w:r>
      <w:r w:rsidR="00FC174E" w:rsidRPr="00AA4677">
        <w:rPr>
          <w:rFonts w:eastAsia="Times New Roman" w:cs="Times New Roman"/>
          <w:szCs w:val="24"/>
        </w:rPr>
        <w:t>ote</w:t>
      </w:r>
      <w:r w:rsidR="00606526" w:rsidRPr="00AA4677">
        <w:rPr>
          <w:rFonts w:eastAsia="Times New Roman" w:cs="Times New Roman"/>
          <w:szCs w:val="24"/>
        </w:rPr>
        <w:t>: t</w:t>
      </w:r>
      <w:r w:rsidR="00FC174E" w:rsidRPr="00AA4677">
        <w:rPr>
          <w:rFonts w:eastAsia="Times New Roman" w:cs="Times New Roman"/>
          <w:szCs w:val="24"/>
        </w:rPr>
        <w:t>he HHS regulations do not require the IRB to review and approve this agreement</w:t>
      </w:r>
      <w:proofErr w:type="gramStart"/>
      <w:r w:rsidR="00FC174E" w:rsidRPr="00AA4677">
        <w:rPr>
          <w:rFonts w:eastAsia="Times New Roman" w:cs="Times New Roman"/>
          <w:szCs w:val="24"/>
        </w:rPr>
        <w:t>);</w:t>
      </w:r>
      <w:proofErr w:type="gramEnd"/>
    </w:p>
    <w:p w14:paraId="30FF6714" w14:textId="1DE4D7D7" w:rsidR="00FC174E" w:rsidRPr="00AA4677" w:rsidRDefault="000B4A22">
      <w:pPr>
        <w:numPr>
          <w:ilvl w:val="0"/>
          <w:numId w:val="121"/>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here are IRB-approved written policies and operating procedures for a repository or data management center that prohibit the release of the key to the investigators under any circumstances, until the individuals are deceased; or</w:t>
      </w:r>
    </w:p>
    <w:p w14:paraId="51222F0D" w14:textId="3AAE02FE" w:rsidR="00FC174E" w:rsidRPr="00AA4677" w:rsidRDefault="000B4A22">
      <w:pPr>
        <w:numPr>
          <w:ilvl w:val="0"/>
          <w:numId w:val="121"/>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here are other legal requirements prohibiting the release of the key to the </w:t>
      </w:r>
      <w:proofErr w:type="gramStart"/>
      <w:r w:rsidR="00FC174E" w:rsidRPr="00AA4677">
        <w:rPr>
          <w:rFonts w:eastAsia="Times New Roman" w:cs="Times New Roman"/>
          <w:szCs w:val="24"/>
        </w:rPr>
        <w:t>investigators,</w:t>
      </w:r>
      <w:proofErr w:type="gramEnd"/>
      <w:r w:rsidR="00FC174E" w:rsidRPr="00AA4677">
        <w:rPr>
          <w:rFonts w:eastAsia="Times New Roman" w:cs="Times New Roman"/>
          <w:szCs w:val="24"/>
        </w:rPr>
        <w:t xml:space="preserve"> until the ind</w:t>
      </w:r>
      <w:r w:rsidR="00606526" w:rsidRPr="00AA4677">
        <w:rPr>
          <w:rFonts w:eastAsia="Times New Roman" w:cs="Times New Roman"/>
          <w:szCs w:val="24"/>
        </w:rPr>
        <w:t xml:space="preserve">ividuals are deceased. </w:t>
      </w:r>
    </w:p>
    <w:p w14:paraId="21DEB9CD" w14:textId="29B4E607" w:rsidR="00FC174E" w:rsidRPr="00AA4677" w:rsidRDefault="000B4A22"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w:t>
      </w:r>
      <w:r w:rsidR="00FC174E" w:rsidRPr="00AA4677">
        <w:rPr>
          <w:rFonts w:eastAsia="Times New Roman" w:cs="Times New Roman"/>
          <w:szCs w:val="24"/>
        </w:rPr>
        <w:t>operates under the general rule that if an investigator </w:t>
      </w:r>
      <w:r w:rsidR="00FC174E" w:rsidRPr="00AA4677">
        <w:rPr>
          <w:rFonts w:eastAsia="Times New Roman" w:cs="Times New Roman"/>
          <w:b/>
          <w:bCs/>
          <w:szCs w:val="24"/>
        </w:rPr>
        <w:t>can</w:t>
      </w:r>
      <w:r w:rsidR="00FC174E" w:rsidRPr="00AA4677">
        <w:rPr>
          <w:rFonts w:eastAsia="Times New Roman" w:cs="Times New Roman"/>
          <w:szCs w:val="24"/>
        </w:rPr>
        <w:t xml:space="preserve"> get consent from a prospective subject, </w:t>
      </w:r>
      <w:proofErr w:type="gramStart"/>
      <w:r w:rsidR="00FC174E" w:rsidRPr="00AA4677">
        <w:rPr>
          <w:rFonts w:eastAsia="Times New Roman" w:cs="Times New Roman"/>
          <w:szCs w:val="24"/>
        </w:rPr>
        <w:t>than</w:t>
      </w:r>
      <w:proofErr w:type="gramEnd"/>
      <w:r w:rsidR="00FC174E" w:rsidRPr="00AA4677">
        <w:rPr>
          <w:rFonts w:eastAsia="Times New Roman" w:cs="Times New Roman"/>
          <w:szCs w:val="24"/>
        </w:rPr>
        <w:t xml:space="preserve"> s</w:t>
      </w:r>
      <w:r w:rsidRPr="00AA4677">
        <w:rPr>
          <w:rFonts w:eastAsia="Times New Roman" w:cs="Times New Roman"/>
          <w:szCs w:val="24"/>
        </w:rPr>
        <w:t>he</w:t>
      </w:r>
      <w:r w:rsidR="00FC174E" w:rsidRPr="00AA4677">
        <w:rPr>
          <w:rFonts w:eastAsia="Times New Roman" w:cs="Times New Roman"/>
          <w:szCs w:val="24"/>
        </w:rPr>
        <w:t xml:space="preserve">/he </w:t>
      </w:r>
      <w:r w:rsidR="00FC174E" w:rsidRPr="00AA4677">
        <w:rPr>
          <w:rFonts w:eastAsia="Times New Roman" w:cs="Times New Roman"/>
          <w:b/>
          <w:bCs/>
          <w:szCs w:val="24"/>
        </w:rPr>
        <w:t>should </w:t>
      </w:r>
      <w:r w:rsidR="00FC174E" w:rsidRPr="00AA4677">
        <w:rPr>
          <w:rFonts w:eastAsia="Times New Roman" w:cs="Times New Roman"/>
          <w:szCs w:val="24"/>
        </w:rPr>
        <w:t xml:space="preserve">get consent from that subject. This is the case in most instances of research proposing prospective collection of biological specimens. Exceptions to this general requirement (e.g. in the case of future discarded surgical </w:t>
      </w:r>
      <w:proofErr w:type="gramStart"/>
      <w:r w:rsidR="00FC174E" w:rsidRPr="00AA4677">
        <w:rPr>
          <w:rFonts w:eastAsia="Times New Roman" w:cs="Times New Roman"/>
          <w:szCs w:val="24"/>
        </w:rPr>
        <w:t>specimen</w:t>
      </w:r>
      <w:proofErr w:type="gramEnd"/>
      <w:r w:rsidR="00FC174E" w:rsidRPr="00AA4677">
        <w:rPr>
          <w:rFonts w:eastAsia="Times New Roman" w:cs="Times New Roman"/>
          <w:szCs w:val="24"/>
        </w:rPr>
        <w:t>, etc.) may be granted only if the consent waiver c</w:t>
      </w:r>
      <w:r w:rsidR="00606526" w:rsidRPr="00AA4677">
        <w:rPr>
          <w:rFonts w:eastAsia="Times New Roman" w:cs="Times New Roman"/>
          <w:szCs w:val="24"/>
        </w:rPr>
        <w:t xml:space="preserve">riteria </w:t>
      </w:r>
      <w:r w:rsidR="00FC174E" w:rsidRPr="00AA4677">
        <w:rPr>
          <w:rFonts w:eastAsia="Times New Roman" w:cs="Times New Roman"/>
          <w:szCs w:val="24"/>
        </w:rPr>
        <w:t xml:space="preserve">are </w:t>
      </w:r>
      <w:proofErr w:type="gramStart"/>
      <w:r w:rsidR="00FC174E" w:rsidRPr="00AA4677">
        <w:rPr>
          <w:rFonts w:eastAsia="Times New Roman" w:cs="Times New Roman"/>
          <w:szCs w:val="24"/>
        </w:rPr>
        <w:t>submitted, and</w:t>
      </w:r>
      <w:proofErr w:type="gramEnd"/>
      <w:r w:rsidR="00FC174E" w:rsidRPr="00AA4677">
        <w:rPr>
          <w:rFonts w:eastAsia="Times New Roman" w:cs="Times New Roman"/>
          <w:szCs w:val="24"/>
        </w:rPr>
        <w:t xml:space="preserve"> deemed appropriate by </w:t>
      </w: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w:t>
      </w:r>
    </w:p>
    <w:p w14:paraId="788A9F26" w14:textId="3FD0461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lastRenderedPageBreak/>
        <w:t>Fo</w:t>
      </w:r>
      <w:r w:rsidR="00606526" w:rsidRPr="00AA4677">
        <w:rPr>
          <w:rFonts w:eastAsia="Times New Roman" w:cs="Times New Roman"/>
          <w:b/>
          <w:bCs/>
          <w:szCs w:val="24"/>
        </w:rPr>
        <w:t>r biological specimen research ask whether</w:t>
      </w:r>
      <w:r w:rsidRPr="00AA4677">
        <w:rPr>
          <w:rFonts w:eastAsia="Times New Roman" w:cs="Times New Roman"/>
          <w:b/>
          <w:bCs/>
          <w:szCs w:val="24"/>
        </w:rPr>
        <w:t xml:space="preserve"> the activity </w:t>
      </w:r>
      <w:r w:rsidR="00606526" w:rsidRPr="00AA4677">
        <w:rPr>
          <w:rFonts w:eastAsia="Times New Roman" w:cs="Times New Roman"/>
          <w:b/>
          <w:bCs/>
          <w:szCs w:val="24"/>
        </w:rPr>
        <w:t xml:space="preserve">will </w:t>
      </w:r>
      <w:r w:rsidRPr="00AA4677">
        <w:rPr>
          <w:rFonts w:eastAsia="Times New Roman" w:cs="Times New Roman"/>
          <w:b/>
          <w:bCs/>
          <w:szCs w:val="24"/>
        </w:rPr>
        <w:t>generate information that has known clinical significance for diagnosis or prediction of a disease state for either the subject or the subje</w:t>
      </w:r>
      <w:r w:rsidR="00606526" w:rsidRPr="00AA4677">
        <w:rPr>
          <w:rFonts w:eastAsia="Times New Roman" w:cs="Times New Roman"/>
          <w:b/>
          <w:bCs/>
          <w:szCs w:val="24"/>
        </w:rPr>
        <w:t>ct’s family members</w:t>
      </w:r>
    </w:p>
    <w:p w14:paraId="79085F0D" w14:textId="57110789" w:rsidR="00FC174E" w:rsidRPr="00AA4677" w:rsidRDefault="00FC174E" w:rsidP="0098272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If the answer is NO, the (non-physical) risks for the activity are deemed minimal</w:t>
      </w:r>
      <w:r w:rsidRPr="00AA4677">
        <w:rPr>
          <w:rFonts w:eastAsia="Times New Roman" w:cs="Times New Roman"/>
          <w:b/>
          <w:szCs w:val="24"/>
        </w:rPr>
        <w:t>,</w:t>
      </w:r>
      <w:r w:rsidRPr="00AA4677">
        <w:rPr>
          <w:rFonts w:eastAsia="Times New Roman" w:cs="Times New Roman"/>
          <w:szCs w:val="24"/>
        </w:rPr>
        <w:t xml:space="preserve"> i.e. they are theoretical in that clinical significance</w:t>
      </w:r>
      <w:r w:rsidRPr="00AA4677">
        <w:rPr>
          <w:rFonts w:eastAsia="Times New Roman" w:cs="Times New Roman"/>
          <w:i/>
          <w:szCs w:val="24"/>
        </w:rPr>
        <w:t xml:space="preserve"> may</w:t>
      </w:r>
      <w:r w:rsidRPr="00AA4677">
        <w:rPr>
          <w:rFonts w:eastAsia="Times New Roman" w:cs="Times New Roman"/>
          <w:szCs w:val="24"/>
        </w:rPr>
        <w:t xml:space="preserve"> be determined in the future. </w:t>
      </w:r>
      <w:r w:rsidR="0098272B" w:rsidRPr="00AA4677">
        <w:rPr>
          <w:rFonts w:eastAsia="Times New Roman" w:cs="Times New Roman"/>
          <w:szCs w:val="24"/>
        </w:rPr>
        <w:t>T</w:t>
      </w:r>
      <w:r w:rsidRPr="00AA4677">
        <w:rPr>
          <w:rFonts w:eastAsia="Times New Roman" w:cs="Times New Roman"/>
          <w:szCs w:val="24"/>
        </w:rPr>
        <w:t>he possible risk</w:t>
      </w:r>
      <w:r w:rsidR="0098272B" w:rsidRPr="00AA4677">
        <w:rPr>
          <w:rFonts w:eastAsia="Times New Roman" w:cs="Times New Roman"/>
          <w:szCs w:val="24"/>
        </w:rPr>
        <w:t xml:space="preserve"> then</w:t>
      </w:r>
      <w:r w:rsidRPr="00AA4677">
        <w:rPr>
          <w:rFonts w:eastAsia="Times New Roman" w:cs="Times New Roman"/>
          <w:szCs w:val="24"/>
        </w:rPr>
        <w:t xml:space="preserve"> becomes one of a breach of confidentiality and/or the subject not knowing that this significant, private information now exists.  </w:t>
      </w:r>
    </w:p>
    <w:p w14:paraId="51336571" w14:textId="13514F4E" w:rsidR="00FC174E" w:rsidRPr="00AA4677" w:rsidRDefault="00FC174E" w:rsidP="00606526">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Where consent is required by </w:t>
      </w:r>
      <w:r w:rsidR="000B4A22"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possible consent language in the procedures section (where consent is required) includes:</w:t>
      </w:r>
    </w:p>
    <w:p w14:paraId="3BC7734C" w14:textId="77777777" w:rsidR="00FC174E" w:rsidRPr="00AA4677" w:rsidRDefault="00FC174E" w:rsidP="00606526">
      <w:pPr>
        <w:shd w:val="clear" w:color="auto" w:fill="FFFFFF"/>
        <w:spacing w:before="100" w:beforeAutospacing="1" w:after="100" w:afterAutospacing="1" w:line="240" w:lineRule="auto"/>
        <w:ind w:left="720"/>
        <w:rPr>
          <w:rFonts w:eastAsia="Times New Roman" w:cs="Times New Roman"/>
          <w:szCs w:val="24"/>
        </w:rPr>
      </w:pPr>
      <w:r w:rsidRPr="00AA4677">
        <w:rPr>
          <w:rFonts w:eastAsia="Times New Roman" w:cs="Times New Roman"/>
          <w:i/>
          <w:iCs/>
          <w:szCs w:val="24"/>
        </w:rPr>
        <w:t xml:space="preserve">“Results from testing of your tissue will not be understood unless we pool it together with data from other study subjects. </w:t>
      </w:r>
      <w:proofErr w:type="gramStart"/>
      <w:r w:rsidRPr="00AA4677">
        <w:rPr>
          <w:rFonts w:eastAsia="Times New Roman" w:cs="Times New Roman"/>
          <w:i/>
          <w:iCs/>
          <w:szCs w:val="24"/>
        </w:rPr>
        <w:t>Because</w:t>
      </w:r>
      <w:proofErr w:type="gramEnd"/>
      <w:r w:rsidRPr="00AA4677">
        <w:rPr>
          <w:rFonts w:eastAsia="Times New Roman" w:cs="Times New Roman"/>
          <w:i/>
          <w:iCs/>
          <w:szCs w:val="24"/>
        </w:rPr>
        <w:t xml:space="preserve"> </w:t>
      </w:r>
      <w:proofErr w:type="gramStart"/>
      <w:r w:rsidRPr="00AA4677">
        <w:rPr>
          <w:rFonts w:eastAsia="Times New Roman" w:cs="Times New Roman"/>
          <w:i/>
          <w:iCs/>
          <w:szCs w:val="24"/>
        </w:rPr>
        <w:t>this is</w:t>
      </w:r>
      <w:proofErr w:type="gramEnd"/>
      <w:r w:rsidRPr="00AA4677">
        <w:rPr>
          <w:rFonts w:eastAsia="Times New Roman" w:cs="Times New Roman"/>
          <w:i/>
          <w:iCs/>
          <w:szCs w:val="24"/>
        </w:rPr>
        <w:t xml:space="preserve"> research, the clinical significance (if any) of your individual results may not be understood for years. Therefore, individual test results will not be shared with you or your doctor.”</w:t>
      </w:r>
    </w:p>
    <w:p w14:paraId="6D9EFCE1" w14:textId="77777777" w:rsidR="00FC174E" w:rsidRPr="00AA4677" w:rsidRDefault="00FC174E" w:rsidP="00606526">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the PI wishes to contact subjects </w:t>
      </w:r>
      <w:proofErr w:type="gramStart"/>
      <w:r w:rsidRPr="00AA4677">
        <w:rPr>
          <w:rFonts w:eastAsia="Times New Roman" w:cs="Times New Roman"/>
          <w:szCs w:val="24"/>
        </w:rPr>
        <w:t>if and when</w:t>
      </w:r>
      <w:proofErr w:type="gramEnd"/>
      <w:r w:rsidRPr="00AA4677">
        <w:rPr>
          <w:rFonts w:eastAsia="Times New Roman" w:cs="Times New Roman"/>
          <w:szCs w:val="24"/>
        </w:rPr>
        <w:t xml:space="preserve"> the clinical significance of the results becomes clear, possible consent language includes:</w:t>
      </w:r>
    </w:p>
    <w:p w14:paraId="07582E84" w14:textId="681E5D0A" w:rsidR="00FC174E" w:rsidRPr="00AA4677" w:rsidRDefault="00606526" w:rsidP="00CB1025">
      <w:pPr>
        <w:shd w:val="clear" w:color="auto" w:fill="FFFFFF"/>
        <w:spacing w:before="100" w:beforeAutospacing="1" w:after="100" w:afterAutospacing="1" w:line="240" w:lineRule="auto"/>
        <w:ind w:left="720"/>
        <w:rPr>
          <w:rFonts w:eastAsia="Times New Roman" w:cs="Times New Roman"/>
          <w:szCs w:val="24"/>
        </w:rPr>
      </w:pPr>
      <w:r w:rsidRPr="00AA4677">
        <w:rPr>
          <w:rFonts w:eastAsia="Times New Roman" w:cs="Times New Roman"/>
          <w:i/>
          <w:iCs/>
          <w:szCs w:val="24"/>
        </w:rPr>
        <w:t>“</w:t>
      </w:r>
      <w:r w:rsidR="00FC174E" w:rsidRPr="00AA4677">
        <w:rPr>
          <w:rFonts w:eastAsia="Times New Roman" w:cs="Times New Roman"/>
          <w:i/>
          <w:iCs/>
          <w:szCs w:val="24"/>
        </w:rPr>
        <w:t>If, in the future, findings from this study are confirmed by the scientific community and have definite implications for your health (or your children or future offspring), we will make a best effort to send you a letter describing the general results and offering ways to obtain care and/or counseling.  If you initial here__________, it means you do not want to be contacted if future findings become relevant to you.”</w:t>
      </w:r>
    </w:p>
    <w:p w14:paraId="5CFD2B49" w14:textId="77777777" w:rsidR="00FC174E" w:rsidRPr="00AA4677" w:rsidRDefault="00FC174E" w:rsidP="0098272B">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If the answer is YES</w:t>
      </w:r>
      <w:r w:rsidRPr="00AA4677">
        <w:rPr>
          <w:rFonts w:eastAsia="Times New Roman" w:cs="Times New Roman"/>
          <w:b/>
          <w:szCs w:val="24"/>
        </w:rPr>
        <w:t>, the (non-physical) risks associated with the study are deemed </w:t>
      </w:r>
      <w:r w:rsidRPr="00AA4677">
        <w:rPr>
          <w:rFonts w:eastAsia="Times New Roman" w:cs="Times New Roman"/>
          <w:b/>
          <w:bCs/>
          <w:szCs w:val="24"/>
        </w:rPr>
        <w:t>more than minimal. </w:t>
      </w:r>
      <w:r w:rsidRPr="00AA4677">
        <w:rPr>
          <w:rFonts w:eastAsia="Times New Roman" w:cs="Times New Roman"/>
          <w:szCs w:val="24"/>
        </w:rPr>
        <w:t>These risks are as follows (and should be considered when drafting the foreseeable risks section of the consent document):</w:t>
      </w:r>
    </w:p>
    <w:p w14:paraId="7772653C" w14:textId="66992292" w:rsidR="00FC174E" w:rsidRPr="00AA4677" w:rsidRDefault="00FC174E" w:rsidP="006B6EAF">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When subjects already have the disorder for which biological testing is being </w:t>
      </w:r>
      <w:proofErr w:type="gramStart"/>
      <w:r w:rsidRPr="00AA4677">
        <w:rPr>
          <w:rFonts w:eastAsia="Times New Roman" w:cs="Times New Roman"/>
          <w:b/>
          <w:bCs/>
          <w:szCs w:val="24"/>
        </w:rPr>
        <w:t>done:</w:t>
      </w:r>
      <w:proofErr w:type="gramEnd"/>
      <w:r w:rsidRPr="00AA4677">
        <w:rPr>
          <w:rFonts w:eastAsia="Times New Roman" w:cs="Times New Roman"/>
          <w:szCs w:val="24"/>
        </w:rPr>
        <w:t> Risks may include possible breaches of confidentiality (affecting insurability, employability, etc</w:t>
      </w:r>
      <w:r w:rsidR="000B4A22" w:rsidRPr="00AA4677">
        <w:rPr>
          <w:rFonts w:eastAsia="Times New Roman" w:cs="Times New Roman"/>
          <w:szCs w:val="24"/>
        </w:rPr>
        <w:t>.</w:t>
      </w:r>
      <w:r w:rsidRPr="00AA4677">
        <w:rPr>
          <w:rFonts w:eastAsia="Times New Roman" w:cs="Times New Roman"/>
          <w:szCs w:val="24"/>
        </w:rPr>
        <w:t>) and (where applicable) unintentionally uncovering unintended incidental genetic information (e.g. non-paternity, hereditary risks, risks of future diseases). Benefits could include confirmation of clinical diagnosis, where applicable, or else indicate clearly that no direct benefit exists for the subject.</w:t>
      </w:r>
    </w:p>
    <w:p w14:paraId="7AA2A734" w14:textId="77777777" w:rsidR="00FC174E" w:rsidRPr="00AA4677" w:rsidRDefault="00FC174E" w:rsidP="006B6EAF">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When subjects are not yet known to have the disorder for which biological testing is </w:t>
      </w:r>
      <w:proofErr w:type="gramStart"/>
      <w:r w:rsidRPr="00AA4677">
        <w:rPr>
          <w:rFonts w:eastAsia="Times New Roman" w:cs="Times New Roman"/>
          <w:b/>
          <w:bCs/>
          <w:szCs w:val="24"/>
        </w:rPr>
        <w:t>done:</w:t>
      </w:r>
      <w:proofErr w:type="gramEnd"/>
      <w:r w:rsidRPr="00AA4677">
        <w:rPr>
          <w:rFonts w:eastAsia="Times New Roman" w:cs="Times New Roman"/>
          <w:szCs w:val="24"/>
        </w:rPr>
        <w:t xml:space="preserve"> Risks include those above, as well as (where applicable) psychological risks, determination of the possible presence of a heritable disorder (in themselves or their current/future offspring, accordingly). This research activity could also be of direct benefit, e.g. giving the subject the ability </w:t>
      </w:r>
      <w:r w:rsidRPr="00AA4677">
        <w:rPr>
          <w:rFonts w:eastAsia="Times New Roman" w:cs="Times New Roman"/>
          <w:szCs w:val="24"/>
        </w:rPr>
        <w:lastRenderedPageBreak/>
        <w:t>to inform family and to make appropriate lifestyle and reproductive choices; offering the potential for more effective intervention).</w:t>
      </w:r>
    </w:p>
    <w:p w14:paraId="4CF57232" w14:textId="77777777" w:rsidR="00FC174E" w:rsidRPr="00AA4677" w:rsidRDefault="00FC174E" w:rsidP="006B6EAF">
      <w:pPr>
        <w:shd w:val="clear" w:color="auto" w:fill="FFFFFF"/>
        <w:spacing w:after="0" w:line="240" w:lineRule="auto"/>
        <w:rPr>
          <w:rFonts w:eastAsia="Times New Roman" w:cs="Times New Roman"/>
          <w:szCs w:val="24"/>
        </w:rPr>
      </w:pPr>
      <w:r w:rsidRPr="00AA4677">
        <w:rPr>
          <w:rFonts w:eastAsia="Times New Roman" w:cs="Times New Roman"/>
          <w:b/>
          <w:bCs/>
          <w:szCs w:val="24"/>
        </w:rPr>
        <w:t>Further:</w:t>
      </w:r>
    </w:p>
    <w:p w14:paraId="7F2ACF30" w14:textId="77777777" w:rsidR="00FC174E" w:rsidRPr="00AA4677" w:rsidRDefault="00FC174E">
      <w:pPr>
        <w:numPr>
          <w:ilvl w:val="0"/>
          <w:numId w:val="239"/>
        </w:numPr>
        <w:shd w:val="clear" w:color="auto" w:fill="FFFFFF"/>
        <w:spacing w:after="0" w:line="240" w:lineRule="auto"/>
        <w:rPr>
          <w:rFonts w:eastAsia="Times New Roman" w:cs="Times New Roman"/>
          <w:szCs w:val="24"/>
        </w:rPr>
      </w:pPr>
      <w:r w:rsidRPr="00AA4677">
        <w:rPr>
          <w:rFonts w:eastAsia="Times New Roman" w:cs="Times New Roman"/>
          <w:szCs w:val="24"/>
        </w:rPr>
        <w:t>If there are hereditary implications, genetic counseling by a genetic counselor or other qualified health care provider is required </w:t>
      </w:r>
      <w:r w:rsidRPr="00AA4677">
        <w:rPr>
          <w:rFonts w:eastAsia="Times New Roman" w:cs="Times New Roman"/>
          <w:b/>
          <w:szCs w:val="24"/>
        </w:rPr>
        <w:t xml:space="preserve">prior </w:t>
      </w:r>
      <w:r w:rsidRPr="00AA4677">
        <w:rPr>
          <w:rFonts w:eastAsia="Times New Roman" w:cs="Times New Roman"/>
          <w:szCs w:val="24"/>
        </w:rPr>
        <w:t>to participation in the study.  Consent should indicate who will cover the cost of the counseling. </w:t>
      </w:r>
    </w:p>
    <w:p w14:paraId="285B5B47" w14:textId="77777777" w:rsidR="00FC174E" w:rsidRPr="00AA4677" w:rsidRDefault="00FC174E">
      <w:pPr>
        <w:numPr>
          <w:ilvl w:val="0"/>
          <w:numId w:val="239"/>
        </w:numPr>
        <w:shd w:val="clear" w:color="auto" w:fill="FFFFFF"/>
        <w:spacing w:after="0" w:line="240" w:lineRule="auto"/>
        <w:rPr>
          <w:rFonts w:eastAsia="Times New Roman" w:cs="Times New Roman"/>
          <w:szCs w:val="24"/>
        </w:rPr>
      </w:pPr>
      <w:r w:rsidRPr="00AA4677">
        <w:rPr>
          <w:rFonts w:eastAsia="Times New Roman" w:cs="Times New Roman"/>
          <w:szCs w:val="24"/>
        </w:rPr>
        <w:t>There is an obligation to inform the subject of the test results in a timely manner after they are known. However, the subject should be offered an opt-out option (</w:t>
      </w:r>
      <w:proofErr w:type="gramStart"/>
      <w:r w:rsidRPr="00AA4677">
        <w:rPr>
          <w:rFonts w:eastAsia="Times New Roman" w:cs="Times New Roman"/>
          <w:szCs w:val="24"/>
        </w:rPr>
        <w:t>to not</w:t>
      </w:r>
      <w:proofErr w:type="gramEnd"/>
      <w:r w:rsidRPr="00AA4677">
        <w:rPr>
          <w:rFonts w:eastAsia="Times New Roman" w:cs="Times New Roman"/>
          <w:szCs w:val="24"/>
        </w:rPr>
        <w:t xml:space="preserve"> be told).</w:t>
      </w:r>
    </w:p>
    <w:p w14:paraId="53C96991" w14:textId="0E32A0C7" w:rsidR="00FC174E" w:rsidRPr="00AA4677" w:rsidRDefault="00FC174E">
      <w:pPr>
        <w:numPr>
          <w:ilvl w:val="0"/>
          <w:numId w:val="239"/>
        </w:numPr>
        <w:shd w:val="clear" w:color="auto" w:fill="FFFFFF"/>
        <w:spacing w:after="0" w:line="240" w:lineRule="auto"/>
        <w:rPr>
          <w:rFonts w:eastAsia="Times New Roman" w:cs="Times New Roman"/>
          <w:szCs w:val="24"/>
        </w:rPr>
      </w:pPr>
      <w:r w:rsidRPr="00AA4677">
        <w:rPr>
          <w:rFonts w:eastAsia="Times New Roman" w:cs="Times New Roman"/>
          <w:szCs w:val="24"/>
        </w:rPr>
        <w:t>Consent document</w:t>
      </w:r>
      <w:r w:rsidR="00606526" w:rsidRPr="00AA4677">
        <w:rPr>
          <w:rFonts w:eastAsia="Times New Roman" w:cs="Times New Roman"/>
          <w:szCs w:val="24"/>
        </w:rPr>
        <w:t>s</w:t>
      </w:r>
      <w:r w:rsidRPr="00AA4677">
        <w:rPr>
          <w:rFonts w:eastAsia="Times New Roman" w:cs="Times New Roman"/>
          <w:szCs w:val="24"/>
        </w:rPr>
        <w:t xml:space="preserve"> must indicate that the results of the research testing must not be used as the basis for clinical decision making, and the subject should seek confirmation of research test results in a certified clinical laboratory. </w:t>
      </w:r>
    </w:p>
    <w:p w14:paraId="70E3B10C" w14:textId="3683446F" w:rsidR="00FC174E" w:rsidRPr="00AA4677" w:rsidRDefault="00606526" w:rsidP="00FC174E">
      <w:pPr>
        <w:shd w:val="clear" w:color="auto" w:fill="FFFFFF"/>
        <w:spacing w:before="100" w:beforeAutospacing="1" w:after="100" w:afterAutospacing="1" w:line="240" w:lineRule="auto"/>
        <w:rPr>
          <w:rFonts w:eastAsia="Times New Roman" w:cs="Times New Roman"/>
          <w:b/>
          <w:szCs w:val="24"/>
        </w:rPr>
      </w:pPr>
      <w:r w:rsidRPr="00AA4677">
        <w:rPr>
          <w:rFonts w:eastAsia="Times New Roman" w:cs="Times New Roman"/>
          <w:b/>
          <w:szCs w:val="24"/>
        </w:rPr>
        <w:t>I</w:t>
      </w:r>
      <w:r w:rsidR="00FC174E" w:rsidRPr="00AA4677">
        <w:rPr>
          <w:rFonts w:eastAsia="Times New Roman" w:cs="Times New Roman"/>
          <w:b/>
          <w:szCs w:val="24"/>
        </w:rPr>
        <w:t>nformation generated from specimen analy</w:t>
      </w:r>
      <w:r w:rsidRPr="00AA4677">
        <w:rPr>
          <w:rFonts w:eastAsia="Times New Roman" w:cs="Times New Roman"/>
          <w:b/>
          <w:szCs w:val="24"/>
        </w:rPr>
        <w:t>sis</w:t>
      </w:r>
    </w:p>
    <w:p w14:paraId="6A0BFD3D" w14:textId="5012B007" w:rsidR="00FC174E" w:rsidRPr="00AA4677" w:rsidRDefault="00FC174E" w:rsidP="00606526">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Another important aspect of specimen research to consider is that fact that the information that will be generated from analysis of the tissue will likely constitute ‘health information’, therefore requiring that the study </w:t>
      </w:r>
      <w:proofErr w:type="gramStart"/>
      <w:r w:rsidRPr="00AA4677">
        <w:rPr>
          <w:rFonts w:eastAsia="Times New Roman" w:cs="Times New Roman"/>
          <w:szCs w:val="24"/>
        </w:rPr>
        <w:t xml:space="preserve">be in compliance </w:t>
      </w:r>
      <w:r w:rsidR="000B4A22" w:rsidRPr="00AA4677">
        <w:rPr>
          <w:rFonts w:eastAsia="Times New Roman" w:cs="Times New Roman"/>
          <w:szCs w:val="24"/>
        </w:rPr>
        <w:t>with</w:t>
      </w:r>
      <w:proofErr w:type="gramEnd"/>
      <w:r w:rsidR="000B4A22" w:rsidRPr="00AA4677">
        <w:rPr>
          <w:rFonts w:eastAsia="Times New Roman" w:cs="Times New Roman"/>
          <w:szCs w:val="24"/>
        </w:rPr>
        <w:t xml:space="preserve"> privacy regulations, i.e. </w:t>
      </w:r>
      <w:r w:rsidRPr="00AA4677">
        <w:rPr>
          <w:rFonts w:eastAsia="Times New Roman" w:cs="Times New Roman"/>
          <w:szCs w:val="24"/>
        </w:rPr>
        <w:t>HIPAA. Section 16 must be reviewed to ensure that either:</w:t>
      </w:r>
    </w:p>
    <w:p w14:paraId="16AE7424" w14:textId="506FE631" w:rsidR="00FC174E" w:rsidRPr="00AA4677" w:rsidRDefault="00FC174E">
      <w:pPr>
        <w:numPr>
          <w:ilvl w:val="0"/>
          <w:numId w:val="238"/>
        </w:numPr>
        <w:shd w:val="clear" w:color="auto" w:fill="FFFFFF"/>
        <w:spacing w:after="0" w:line="240" w:lineRule="auto"/>
        <w:ind w:left="360"/>
        <w:rPr>
          <w:rFonts w:eastAsia="Times New Roman" w:cs="Times New Roman"/>
          <w:szCs w:val="24"/>
        </w:rPr>
      </w:pPr>
      <w:r w:rsidRPr="00AA4677">
        <w:rPr>
          <w:rFonts w:eastAsia="Times New Roman" w:cs="Times New Roman"/>
          <w:szCs w:val="24"/>
        </w:rPr>
        <w:t>HIPAA authorization language is included in the Confidentiality</w:t>
      </w:r>
      <w:r w:rsidR="00606526" w:rsidRPr="00AA4677">
        <w:rPr>
          <w:rFonts w:eastAsia="Times New Roman" w:cs="Times New Roman"/>
          <w:szCs w:val="24"/>
        </w:rPr>
        <w:t xml:space="preserve">/Privacy section of the subject consent </w:t>
      </w:r>
      <w:proofErr w:type="gramStart"/>
      <w:r w:rsidR="00606526" w:rsidRPr="00AA4677">
        <w:rPr>
          <w:rFonts w:eastAsia="Times New Roman" w:cs="Times New Roman"/>
          <w:szCs w:val="24"/>
        </w:rPr>
        <w:t>document</w:t>
      </w:r>
      <w:r w:rsidR="000B4A22" w:rsidRPr="00AA4677">
        <w:rPr>
          <w:rFonts w:eastAsia="Times New Roman" w:cs="Times New Roman"/>
          <w:szCs w:val="24"/>
        </w:rPr>
        <w:t>;</w:t>
      </w:r>
      <w:proofErr w:type="gramEnd"/>
      <w:r w:rsidR="000B4A22" w:rsidRPr="00AA4677">
        <w:rPr>
          <w:rFonts w:eastAsia="Times New Roman" w:cs="Times New Roman"/>
          <w:szCs w:val="24"/>
        </w:rPr>
        <w:t xml:space="preserve"> OR </w:t>
      </w:r>
    </w:p>
    <w:p w14:paraId="3DAA38A8" w14:textId="315C30BD" w:rsidR="00FC174E" w:rsidRPr="00AA4677" w:rsidRDefault="00FC174E">
      <w:pPr>
        <w:numPr>
          <w:ilvl w:val="0"/>
          <w:numId w:val="238"/>
        </w:numPr>
        <w:shd w:val="clear" w:color="auto" w:fill="FFFFFF"/>
        <w:spacing w:after="0" w:line="240" w:lineRule="auto"/>
        <w:ind w:left="360"/>
        <w:rPr>
          <w:rFonts w:eastAsia="Times New Roman" w:cs="Times New Roman"/>
          <w:szCs w:val="24"/>
        </w:rPr>
      </w:pPr>
      <w:r w:rsidRPr="00AA4677">
        <w:rPr>
          <w:rFonts w:eastAsia="Times New Roman" w:cs="Times New Roman"/>
          <w:szCs w:val="24"/>
        </w:rPr>
        <w:t xml:space="preserve">One of three HIPAA forms is provided with the </w:t>
      </w:r>
      <w:r w:rsidR="00EE7207" w:rsidRPr="00AA4677">
        <w:rPr>
          <w:rFonts w:eastAsia="Times New Roman" w:cs="Times New Roman"/>
          <w:szCs w:val="24"/>
        </w:rPr>
        <w:t>IRB</w:t>
      </w:r>
      <w:r w:rsidR="00FD7339" w:rsidRPr="00AA4677">
        <w:rPr>
          <w:rFonts w:eastAsia="Times New Roman" w:cs="Times New Roman"/>
          <w:szCs w:val="24"/>
        </w:rPr>
        <w:t xml:space="preserve"> </w:t>
      </w:r>
      <w:r w:rsidRPr="00AA4677">
        <w:rPr>
          <w:rFonts w:eastAsia="Times New Roman" w:cs="Times New Roman"/>
          <w:szCs w:val="24"/>
        </w:rPr>
        <w:t>submission so that the Investigator can attest to the fact that authorization from the subject is not required. Either:</w:t>
      </w:r>
    </w:p>
    <w:p w14:paraId="5845C406" w14:textId="77777777" w:rsidR="000B4A22" w:rsidRPr="00AA4677" w:rsidRDefault="00FC174E">
      <w:pPr>
        <w:numPr>
          <w:ilvl w:val="0"/>
          <w:numId w:val="122"/>
        </w:numPr>
        <w:shd w:val="clear" w:color="auto" w:fill="FFFFFF"/>
        <w:spacing w:after="0" w:line="240" w:lineRule="auto"/>
        <w:rPr>
          <w:rFonts w:eastAsia="Times New Roman" w:cs="Times New Roman"/>
          <w:szCs w:val="24"/>
        </w:rPr>
      </w:pPr>
      <w:r w:rsidRPr="00AA4677">
        <w:rPr>
          <w:rFonts w:eastAsia="Times New Roman" w:cs="Times New Roman"/>
          <w:szCs w:val="24"/>
        </w:rPr>
        <w:t>A HIPAA De-identification Form</w:t>
      </w:r>
      <w:r w:rsidR="000B4A22" w:rsidRPr="00AA4677">
        <w:rPr>
          <w:rFonts w:eastAsia="Times New Roman" w:cs="Times New Roman"/>
          <w:szCs w:val="24"/>
        </w:rPr>
        <w:t>, OR</w:t>
      </w:r>
    </w:p>
    <w:p w14:paraId="6F8E7E5C" w14:textId="77777777" w:rsidR="000B4A22" w:rsidRPr="00AA4677" w:rsidRDefault="00FC174E">
      <w:pPr>
        <w:numPr>
          <w:ilvl w:val="0"/>
          <w:numId w:val="122"/>
        </w:numPr>
        <w:shd w:val="clear" w:color="auto" w:fill="FFFFFF"/>
        <w:spacing w:after="0" w:line="240" w:lineRule="auto"/>
        <w:rPr>
          <w:rFonts w:eastAsia="Times New Roman" w:cs="Times New Roman"/>
          <w:szCs w:val="24"/>
        </w:rPr>
      </w:pPr>
      <w:r w:rsidRPr="00AA4677">
        <w:rPr>
          <w:rFonts w:eastAsia="Times New Roman" w:cs="Times New Roman"/>
          <w:szCs w:val="24"/>
        </w:rPr>
        <w:t>A Limited Data Set Form</w:t>
      </w:r>
      <w:r w:rsidR="000B4A22" w:rsidRPr="00AA4677">
        <w:rPr>
          <w:rFonts w:eastAsia="Times New Roman" w:cs="Times New Roman"/>
          <w:szCs w:val="24"/>
        </w:rPr>
        <w:t xml:space="preserve">, OR </w:t>
      </w:r>
    </w:p>
    <w:p w14:paraId="7A2CB567" w14:textId="48929265" w:rsidR="00FC174E" w:rsidRPr="00AA4677" w:rsidRDefault="00FC174E">
      <w:pPr>
        <w:numPr>
          <w:ilvl w:val="0"/>
          <w:numId w:val="122"/>
        </w:numPr>
        <w:shd w:val="clear" w:color="auto" w:fill="FFFFFF"/>
        <w:spacing w:after="0" w:line="240" w:lineRule="auto"/>
        <w:rPr>
          <w:rFonts w:eastAsia="Times New Roman" w:cs="Times New Roman"/>
          <w:szCs w:val="24"/>
        </w:rPr>
      </w:pPr>
      <w:r w:rsidRPr="00AA4677">
        <w:rPr>
          <w:rFonts w:eastAsia="Times New Roman" w:cs="Times New Roman"/>
          <w:szCs w:val="24"/>
        </w:rPr>
        <w:t>A HIPAA Waiver of Authorization Form</w:t>
      </w:r>
    </w:p>
    <w:p w14:paraId="25AE4118" w14:textId="60B0EF65" w:rsidR="00FC174E" w:rsidRPr="00AA4677" w:rsidRDefault="00FC174E" w:rsidP="000B4A22">
      <w:pPr>
        <w:shd w:val="clear" w:color="auto" w:fill="FFFFFF"/>
        <w:spacing w:before="100" w:beforeAutospacing="1" w:after="100" w:afterAutospacing="1" w:line="240" w:lineRule="auto"/>
      </w:pPr>
      <w:r w:rsidRPr="00AA4677">
        <w:rPr>
          <w:rFonts w:ascii="Times New Roman" w:eastAsia="Times New Roman" w:hAnsi="Times New Roman" w:cs="Times New Roman"/>
          <w:sz w:val="27"/>
          <w:szCs w:val="27"/>
        </w:rPr>
        <w:t>​</w:t>
      </w:r>
      <w:r w:rsidRPr="00AA4677">
        <w:rPr>
          <w:rStyle w:val="Heading3Char"/>
          <w:rFonts w:eastAsiaTheme="minorHAnsi"/>
          <w:color w:val="auto"/>
        </w:rPr>
        <w:t>17.5.1 General Issues to Consider in Biological Specimens Research</w:t>
      </w:r>
    </w:p>
    <w:p w14:paraId="29040C30" w14:textId="23E2B15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the banking of biological specimens is proposed within the context of a larger </w:t>
      </w:r>
      <w:r w:rsidR="0098272B" w:rsidRPr="00AA4677">
        <w:rPr>
          <w:rFonts w:eastAsia="Times New Roman" w:cs="Times New Roman"/>
          <w:szCs w:val="24"/>
        </w:rPr>
        <w:t xml:space="preserve">(multi-center) </w:t>
      </w:r>
      <w:r w:rsidRPr="00AA4677">
        <w:rPr>
          <w:rFonts w:eastAsia="Times New Roman" w:cs="Times New Roman"/>
          <w:szCs w:val="24"/>
        </w:rPr>
        <w:t xml:space="preserve">research study, the following issues </w:t>
      </w:r>
      <w:r w:rsidR="0098272B" w:rsidRPr="00AA4677">
        <w:rPr>
          <w:rFonts w:eastAsia="Times New Roman" w:cs="Times New Roman"/>
          <w:szCs w:val="24"/>
        </w:rPr>
        <w:t>can</w:t>
      </w:r>
      <w:r w:rsidRPr="00AA4677">
        <w:rPr>
          <w:rFonts w:eastAsia="Times New Roman" w:cs="Times New Roman"/>
          <w:szCs w:val="24"/>
        </w:rPr>
        <w:t xml:space="preserve"> be addressed within the main research consent form, but the actual request for consent to bank the tis</w:t>
      </w:r>
      <w:r w:rsidR="0098272B" w:rsidRPr="00AA4677">
        <w:rPr>
          <w:rFonts w:eastAsia="Times New Roman" w:cs="Times New Roman"/>
          <w:szCs w:val="24"/>
        </w:rPr>
        <w:t>sue</w:t>
      </w:r>
      <w:r w:rsidRPr="00AA4677">
        <w:rPr>
          <w:rFonts w:eastAsia="Times New Roman" w:cs="Times New Roman"/>
          <w:szCs w:val="24"/>
        </w:rPr>
        <w:t xml:space="preserve"> </w:t>
      </w:r>
      <w:r w:rsidR="0098272B" w:rsidRPr="00AA4677">
        <w:rPr>
          <w:rFonts w:eastAsia="Times New Roman" w:cs="Times New Roman"/>
          <w:szCs w:val="24"/>
        </w:rPr>
        <w:t>must</w:t>
      </w:r>
      <w:r w:rsidRPr="00AA4677">
        <w:rPr>
          <w:rFonts w:eastAsia="Times New Roman" w:cs="Times New Roman"/>
          <w:szCs w:val="24"/>
        </w:rPr>
        <w:t xml:space="preserve"> be separated out from the request to consent for the main study. This can be achieved by adding yes/no statements (with a signature or initial lines) right before the signature lines of the main consent.</w:t>
      </w:r>
    </w:p>
    <w:p w14:paraId="1B545871"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For example: </w:t>
      </w:r>
    </w:p>
    <w:p w14:paraId="0DD1BA13" w14:textId="77777777" w:rsidR="00FC174E" w:rsidRPr="00AA4677" w:rsidRDefault="00FC174E">
      <w:pPr>
        <w:numPr>
          <w:ilvl w:val="0"/>
          <w:numId w:val="5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Do you agree to allow use of extra blood obtained from this study/extra tumor from your surgery for use in future research, the purposes of which are unknown at this time? If you agree, any future studies using your sample will be subject to further regulatory review.</w:t>
      </w:r>
    </w:p>
    <w:p w14:paraId="41DC2845" w14:textId="77777777" w:rsidR="00FC174E" w:rsidRPr="00AA4677" w:rsidRDefault="00FC174E">
      <w:pPr>
        <w:numPr>
          <w:ilvl w:val="0"/>
          <w:numId w:val="5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Do you agree to allow someone to contact you in the future to ask you questions about your health or to ask you to participate in more research?</w:t>
      </w:r>
    </w:p>
    <w:p w14:paraId="3601AFD7" w14:textId="77777777" w:rsidR="00FC174E" w:rsidRPr="00AA4677" w:rsidRDefault="00FC174E">
      <w:pPr>
        <w:numPr>
          <w:ilvl w:val="0"/>
          <w:numId w:val="5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At the time of the proposed activity, is it the intent of the investigator or the company collaborator/sponsor to produce a commercially valuable product? If yes, disclose in the consent form </w:t>
      </w:r>
      <w:proofErr w:type="gramStart"/>
      <w:r w:rsidRPr="00AA4677">
        <w:rPr>
          <w:rFonts w:eastAsia="Times New Roman" w:cs="Times New Roman"/>
          <w:szCs w:val="24"/>
        </w:rPr>
        <w:t>whether or not</w:t>
      </w:r>
      <w:proofErr w:type="gramEnd"/>
      <w:r w:rsidRPr="00AA4677">
        <w:rPr>
          <w:rFonts w:eastAsia="Times New Roman" w:cs="Times New Roman"/>
          <w:szCs w:val="24"/>
        </w:rPr>
        <w:t xml:space="preserve"> the subject or his/her heirs will receive a portion of the profits. Note that consent forms cannot contain language through which the subject is made to waive, or appear to waive, any of his/her legal rights. An acceptable </w:t>
      </w:r>
      <w:r w:rsidRPr="00AA4677">
        <w:rPr>
          <w:rFonts w:eastAsia="Times New Roman" w:cs="Times New Roman"/>
          <w:b/>
          <w:bCs/>
          <w:szCs w:val="24"/>
        </w:rPr>
        <w:t>example of consent language is:</w:t>
      </w:r>
    </w:p>
    <w:p w14:paraId="79C39D99" w14:textId="77777777" w:rsidR="00FC174E" w:rsidRPr="00AA4677" w:rsidRDefault="00FC174E" w:rsidP="007E3362">
      <w:pPr>
        <w:shd w:val="clear" w:color="auto" w:fill="FFFFFF"/>
        <w:spacing w:before="100" w:beforeAutospacing="1" w:after="100" w:afterAutospacing="1" w:line="240" w:lineRule="auto"/>
        <w:ind w:left="720"/>
        <w:rPr>
          <w:rFonts w:eastAsia="Times New Roman" w:cs="Times New Roman"/>
          <w:szCs w:val="24"/>
        </w:rPr>
      </w:pPr>
      <w:r w:rsidRPr="00AA4677">
        <w:rPr>
          <w:rFonts w:eastAsia="Times New Roman" w:cs="Times New Roman"/>
          <w:b/>
          <w:bCs/>
          <w:szCs w:val="24"/>
        </w:rPr>
        <w:t>“We may, in the future, be able to produce a commercially valuable product from the work done on samples collected from subjects in this study. It is not our intention to pay you or your heirs, for profits derived from such a product."</w:t>
      </w:r>
    </w:p>
    <w:p w14:paraId="6081F642" w14:textId="77777777" w:rsidR="00FC174E" w:rsidRPr="00AA4677" w:rsidRDefault="00FC174E">
      <w:pPr>
        <w:numPr>
          <w:ilvl w:val="0"/>
          <w:numId w:val="5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What happens to the </w:t>
      </w:r>
      <w:proofErr w:type="gramStart"/>
      <w:r w:rsidRPr="00AA4677">
        <w:rPr>
          <w:rFonts w:eastAsia="Times New Roman" w:cs="Times New Roman"/>
          <w:szCs w:val="24"/>
        </w:rPr>
        <w:t>specimen</w:t>
      </w:r>
      <w:proofErr w:type="gramEnd"/>
      <w:r w:rsidRPr="00AA4677">
        <w:rPr>
          <w:rFonts w:eastAsia="Times New Roman" w:cs="Times New Roman"/>
          <w:szCs w:val="24"/>
        </w:rPr>
        <w:t xml:space="preserve">(s), and the data derived thereof, if the subject decides to withdraw from the study? Is the tissue removed from the study analysis or from the tissue bank? If so, state so </w:t>
      </w:r>
      <w:proofErr w:type="gramStart"/>
      <w:r w:rsidRPr="00AA4677">
        <w:rPr>
          <w:rFonts w:eastAsia="Times New Roman" w:cs="Times New Roman"/>
          <w:szCs w:val="24"/>
        </w:rPr>
        <w:t>in</w:t>
      </w:r>
      <w:proofErr w:type="gramEnd"/>
      <w:r w:rsidRPr="00AA4677">
        <w:rPr>
          <w:rFonts w:eastAsia="Times New Roman" w:cs="Times New Roman"/>
          <w:szCs w:val="24"/>
        </w:rPr>
        <w:t xml:space="preserve"> </w:t>
      </w:r>
      <w:proofErr w:type="gramStart"/>
      <w:r w:rsidRPr="00AA4677">
        <w:rPr>
          <w:rFonts w:eastAsia="Times New Roman" w:cs="Times New Roman"/>
          <w:szCs w:val="24"/>
        </w:rPr>
        <w:t>the</w:t>
      </w:r>
      <w:proofErr w:type="gramEnd"/>
      <w:r w:rsidRPr="00AA4677">
        <w:rPr>
          <w:rFonts w:eastAsia="Times New Roman" w:cs="Times New Roman"/>
          <w:szCs w:val="24"/>
        </w:rPr>
        <w:t xml:space="preserve"> consent.  If it is not the intention to remove the sample or any data derived from it, state so </w:t>
      </w:r>
      <w:proofErr w:type="gramStart"/>
      <w:r w:rsidRPr="00AA4677">
        <w:rPr>
          <w:rFonts w:eastAsia="Times New Roman" w:cs="Times New Roman"/>
          <w:szCs w:val="24"/>
        </w:rPr>
        <w:t>in</w:t>
      </w:r>
      <w:proofErr w:type="gramEnd"/>
      <w:r w:rsidRPr="00AA4677">
        <w:rPr>
          <w:rFonts w:eastAsia="Times New Roman" w:cs="Times New Roman"/>
          <w:szCs w:val="24"/>
        </w:rPr>
        <w:t xml:space="preserve"> </w:t>
      </w:r>
      <w:proofErr w:type="gramStart"/>
      <w:r w:rsidRPr="00AA4677">
        <w:rPr>
          <w:rFonts w:eastAsia="Times New Roman" w:cs="Times New Roman"/>
          <w:szCs w:val="24"/>
        </w:rPr>
        <w:t>the</w:t>
      </w:r>
      <w:proofErr w:type="gramEnd"/>
      <w:r w:rsidRPr="00AA4677">
        <w:rPr>
          <w:rFonts w:eastAsia="Times New Roman" w:cs="Times New Roman"/>
          <w:szCs w:val="24"/>
        </w:rPr>
        <w:t xml:space="preserve"> consent.  What about cell lines that have been generated?</w:t>
      </w:r>
    </w:p>
    <w:p w14:paraId="74D12F98" w14:textId="77777777" w:rsidR="00FC174E" w:rsidRPr="00AA4677" w:rsidRDefault="00FC174E">
      <w:pPr>
        <w:numPr>
          <w:ilvl w:val="0"/>
          <w:numId w:val="5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How long will the biological specimen be kept? (It is acceptable to indicate, in the consent form, that the specimen will be kept for an indefinite amount of time).</w:t>
      </w:r>
    </w:p>
    <w:p w14:paraId="181BD075" w14:textId="3455245B" w:rsidR="00FC174E" w:rsidRPr="00AA4677" w:rsidRDefault="00FC174E">
      <w:pPr>
        <w:numPr>
          <w:ilvl w:val="0"/>
          <w:numId w:val="5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If a new study proposes secondary use of biological specimens, i.e., use of samples collected for a previously conducted study, an assessment will be made </w:t>
      </w:r>
      <w:r w:rsidR="000B4A22" w:rsidRPr="00AA4677">
        <w:rPr>
          <w:rFonts w:eastAsia="Times New Roman" w:cs="Times New Roman"/>
          <w:szCs w:val="24"/>
        </w:rPr>
        <w:t xml:space="preserve">by the </w:t>
      </w:r>
      <w:r w:rsidR="00EE7207" w:rsidRPr="00AA4677">
        <w:rPr>
          <w:rFonts w:eastAsia="Times New Roman" w:cs="Times New Roman"/>
          <w:szCs w:val="24"/>
        </w:rPr>
        <w:t>IRB</w:t>
      </w:r>
      <w:r w:rsidRPr="00AA4677">
        <w:rPr>
          <w:rFonts w:eastAsia="Times New Roman" w:cs="Times New Roman"/>
          <w:szCs w:val="24"/>
        </w:rPr>
        <w:t xml:space="preserve"> regarding </w:t>
      </w:r>
      <w:proofErr w:type="gramStart"/>
      <w:r w:rsidRPr="00AA4677">
        <w:rPr>
          <w:rFonts w:eastAsia="Times New Roman" w:cs="Times New Roman"/>
          <w:szCs w:val="24"/>
        </w:rPr>
        <w:t>whether or not</w:t>
      </w:r>
      <w:proofErr w:type="gramEnd"/>
      <w:r w:rsidRPr="00AA4677">
        <w:rPr>
          <w:rFonts w:eastAsia="Times New Roman" w:cs="Times New Roman"/>
          <w:szCs w:val="24"/>
        </w:rPr>
        <w:t xml:space="preserve"> the consent that was obtained for the first study is applicable to the second. If the purpose of the new study differs significantly from the purposes stated in the original study, and the specimens are identifiable, obtaining new consent will be required, unless the consent waiver criteria are met. </w:t>
      </w:r>
      <w:r w:rsidR="000B4A22"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xml:space="preserve"> therefore recommends obtaining the initial consent for research with as broad a stated pu</w:t>
      </w:r>
      <w:r w:rsidR="000B4A22" w:rsidRPr="00AA4677">
        <w:rPr>
          <w:rFonts w:eastAsia="Times New Roman" w:cs="Times New Roman"/>
          <w:szCs w:val="24"/>
        </w:rPr>
        <w:t>rpose as possible such as, e.g.</w:t>
      </w:r>
      <w:r w:rsidRPr="00AA4677">
        <w:rPr>
          <w:rFonts w:eastAsia="Times New Roman" w:cs="Times New Roman"/>
          <w:szCs w:val="24"/>
        </w:rPr>
        <w:t xml:space="preserve">  “</w:t>
      </w:r>
      <w:proofErr w:type="gramStart"/>
      <w:r w:rsidRPr="00AA4677">
        <w:rPr>
          <w:rFonts w:eastAsia="Times New Roman" w:cs="Times New Roman"/>
          <w:szCs w:val="24"/>
        </w:rPr>
        <w:t>the</w:t>
      </w:r>
      <w:proofErr w:type="gramEnd"/>
      <w:r w:rsidRPr="00AA4677">
        <w:rPr>
          <w:rFonts w:eastAsia="Times New Roman" w:cs="Times New Roman"/>
          <w:szCs w:val="24"/>
        </w:rPr>
        <w:t xml:space="preserve"> causes and treatments of  lung cancer” </w:t>
      </w:r>
      <w:proofErr w:type="gramStart"/>
      <w:r w:rsidRPr="00AA4677">
        <w:rPr>
          <w:rFonts w:eastAsia="Times New Roman" w:cs="Times New Roman"/>
          <w:szCs w:val="24"/>
        </w:rPr>
        <w:t>etc..</w:t>
      </w:r>
      <w:proofErr w:type="gramEnd"/>
    </w:p>
    <w:p w14:paraId="7E18E441" w14:textId="012EF973" w:rsidR="00FC174E" w:rsidRPr="00AA4677" w:rsidRDefault="00FC174E">
      <w:pPr>
        <w:numPr>
          <w:ilvl w:val="0"/>
          <w:numId w:val="59"/>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Given the study aims and risks, should the investigator obtain a study-specific Certificate of Confidentiality from the NIH to protect against disclosure required by issuance of a subpoena. This is an extra protection for confidentiality if the study can potentially generate information that is particularly sensitive (</w:t>
      </w:r>
      <w:r w:rsidR="000B4A22" w:rsidRPr="00AA4677">
        <w:rPr>
          <w:rFonts w:eastAsia="Times New Roman" w:cs="Times New Roman"/>
          <w:szCs w:val="24"/>
        </w:rPr>
        <w:t>e.g.</w:t>
      </w:r>
      <w:r w:rsidRPr="00AA4677">
        <w:rPr>
          <w:rFonts w:eastAsia="Times New Roman" w:cs="Times New Roman"/>
          <w:szCs w:val="24"/>
        </w:rPr>
        <w:t xml:space="preserve"> HIV status, history of alcoholism</w:t>
      </w:r>
      <w:r w:rsidR="000B4A22" w:rsidRPr="00AA4677">
        <w:rPr>
          <w:rFonts w:eastAsia="Times New Roman" w:cs="Times New Roman"/>
          <w:szCs w:val="24"/>
        </w:rPr>
        <w:t xml:space="preserve">, possible mental illness, etc.) </w:t>
      </w:r>
      <w:r w:rsidRPr="00AA4677">
        <w:rPr>
          <w:rFonts w:eastAsia="Times New Roman" w:cs="Times New Roman"/>
          <w:szCs w:val="24"/>
        </w:rPr>
        <w:t xml:space="preserve">For more information, visit: </w:t>
      </w:r>
      <w:hyperlink r:id="rId133" w:history="1">
        <w:r w:rsidR="003E6165" w:rsidRPr="00696B35">
          <w:rPr>
            <w:rStyle w:val="Hyperlink"/>
            <w:rFonts w:eastAsia="Times New Roman" w:cs="Times New Roman"/>
            <w:szCs w:val="24"/>
          </w:rPr>
          <w:t>https://humansubjects.nih.gov/coc/index</w:t>
        </w:r>
      </w:hyperlink>
      <w:r w:rsidR="003E6165" w:rsidRPr="00AA4677" w:rsidDel="0098272B">
        <w:rPr>
          <w:rFonts w:eastAsia="Times New Roman" w:cs="Times New Roman"/>
          <w:szCs w:val="24"/>
        </w:rPr>
        <w:t xml:space="preserve"> </w:t>
      </w:r>
    </w:p>
    <w:p w14:paraId="1BF983F5" w14:textId="77777777" w:rsidR="00FC174E" w:rsidRPr="00AA4677" w:rsidRDefault="00FC174E" w:rsidP="00696B35">
      <w:pPr>
        <w:pStyle w:val="Heading2"/>
      </w:pPr>
      <w:bookmarkStart w:id="350" w:name="_Toc192678280"/>
      <w:r w:rsidRPr="00AA4677">
        <w:lastRenderedPageBreak/>
        <w:t>17.6 Policy on Payment of Research Related Injury Costs Due in Industry-funded and initiated Clinical Trials</w:t>
      </w:r>
      <w:bookmarkEnd w:id="350"/>
    </w:p>
    <w:p w14:paraId="3C8190F1" w14:textId="646448CA" w:rsidR="00FC174E" w:rsidRPr="00AA4677" w:rsidRDefault="00FD7339"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supports </w:t>
      </w:r>
      <w:r w:rsidR="00606526" w:rsidRPr="00AA4677">
        <w:rPr>
          <w:rFonts w:eastAsia="Times New Roman" w:cs="Times New Roman"/>
          <w:szCs w:val="24"/>
        </w:rPr>
        <w:t xml:space="preserve">the </w:t>
      </w:r>
      <w:r w:rsidRPr="00AA4677">
        <w:rPr>
          <w:rFonts w:eastAsia="Times New Roman" w:cs="Times New Roman"/>
          <w:szCs w:val="24"/>
        </w:rPr>
        <w:t>University’</w:t>
      </w:r>
      <w:r w:rsidR="00FC174E" w:rsidRPr="00AA4677">
        <w:rPr>
          <w:rFonts w:eastAsia="Times New Roman" w:cs="Times New Roman"/>
          <w:szCs w:val="24"/>
        </w:rPr>
        <w:t xml:space="preserve">s role as a participating site in clinical trials that are funded and initiated by </w:t>
      </w:r>
      <w:proofErr w:type="gramStart"/>
      <w:r w:rsidR="00FC174E" w:rsidRPr="00AA4677">
        <w:rPr>
          <w:rFonts w:eastAsia="Times New Roman" w:cs="Times New Roman"/>
          <w:szCs w:val="24"/>
        </w:rPr>
        <w:t>industry (‘</w:t>
      </w:r>
      <w:proofErr w:type="gramEnd"/>
      <w:r w:rsidR="00FC174E" w:rsidRPr="00AA4677">
        <w:rPr>
          <w:rFonts w:eastAsia="Times New Roman" w:cs="Times New Roman"/>
          <w:szCs w:val="24"/>
        </w:rPr>
        <w:t>Industry Clinical Trials’ e.g. pharmaceutical companies, device companies etc.). Such participation is critical in facilitating the evaluation and marketing of promising investigational (and new indications for approved) drugs, devices and biologics.</w:t>
      </w:r>
    </w:p>
    <w:p w14:paraId="51A23AF3" w14:textId="20E4844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Given our subjects’ important contribution in assisting industry companies in their quest to market such test products for public good and financial gain, it is expected that costs associated with research-related injuries</w:t>
      </w:r>
      <w:r w:rsidR="005B6D09" w:rsidRPr="00AA4677">
        <w:rPr>
          <w:rFonts w:eastAsia="Times New Roman" w:cs="Times New Roman"/>
          <w:szCs w:val="24"/>
        </w:rPr>
        <w:t>*</w:t>
      </w:r>
      <w:r w:rsidR="00FD7339" w:rsidRPr="00AA4677">
        <w:rPr>
          <w:rFonts w:eastAsia="Times New Roman" w:cs="Times New Roman"/>
          <w:szCs w:val="24"/>
        </w:rPr>
        <w:t xml:space="preserve"> occurring in </w:t>
      </w:r>
      <w:proofErr w:type="gramStart"/>
      <w:r w:rsidR="00FD7339" w:rsidRPr="00AA4677">
        <w:rPr>
          <w:rFonts w:eastAsia="Times New Roman" w:cs="Times New Roman"/>
          <w:szCs w:val="24"/>
        </w:rPr>
        <w:t>University</w:t>
      </w:r>
      <w:proofErr w:type="gramEnd"/>
      <w:r w:rsidR="00FD7339" w:rsidRPr="00AA4677">
        <w:rPr>
          <w:rFonts w:eastAsia="Times New Roman" w:cs="Times New Roman"/>
          <w:szCs w:val="24"/>
        </w:rPr>
        <w:t xml:space="preserve"> </w:t>
      </w:r>
      <w:r w:rsidRPr="00AA4677">
        <w:rPr>
          <w:rFonts w:eastAsia="Times New Roman" w:cs="Times New Roman"/>
          <w:szCs w:val="24"/>
        </w:rPr>
        <w:t>subjects volunteering in such trials must be borne by those companies. Subjects shall not be responsible, either directly or through their insurance, for payment of research-related injury costs in industry clinical trials.</w:t>
      </w:r>
      <w:r w:rsidR="003E6165" w:rsidRPr="00AA4677">
        <w:rPr>
          <w:rFonts w:eastAsia="Times New Roman" w:cs="Times New Roman"/>
          <w:szCs w:val="24"/>
        </w:rPr>
        <w:t xml:space="preserve"> Waivers of this policy will be considered on a </w:t>
      </w:r>
      <w:proofErr w:type="gramStart"/>
      <w:r w:rsidR="003E6165" w:rsidRPr="00AA4677">
        <w:rPr>
          <w:rFonts w:eastAsia="Times New Roman" w:cs="Times New Roman"/>
          <w:szCs w:val="24"/>
        </w:rPr>
        <w:t>case by case</w:t>
      </w:r>
      <w:proofErr w:type="gramEnd"/>
      <w:r w:rsidR="003E6165" w:rsidRPr="00AA4677">
        <w:rPr>
          <w:rFonts w:eastAsia="Times New Roman" w:cs="Times New Roman"/>
          <w:szCs w:val="24"/>
        </w:rPr>
        <w:t xml:space="preserve"> basis through consultation with the </w:t>
      </w:r>
      <w:proofErr w:type="gramStart"/>
      <w:r w:rsidR="003E6165" w:rsidRPr="00AA4677">
        <w:rPr>
          <w:rFonts w:eastAsia="Times New Roman" w:cs="Times New Roman"/>
          <w:szCs w:val="24"/>
        </w:rPr>
        <w:t>IO,</w:t>
      </w:r>
      <w:proofErr w:type="gramEnd"/>
      <w:r w:rsidR="003E6165" w:rsidRPr="00AA4677">
        <w:rPr>
          <w:rFonts w:eastAsia="Times New Roman" w:cs="Times New Roman"/>
          <w:szCs w:val="24"/>
        </w:rPr>
        <w:t xml:space="preserve"> Office of Sponsored Program (Clinical Trials Contracts division), and the </w:t>
      </w:r>
      <w:r w:rsidR="00C66572" w:rsidRPr="00AA4677">
        <w:rPr>
          <w:rFonts w:eastAsia="Times New Roman" w:cs="Times New Roman"/>
          <w:szCs w:val="24"/>
        </w:rPr>
        <w:t>AVP-RC</w:t>
      </w:r>
      <w:r w:rsidR="00D169B3" w:rsidRPr="00AA4677">
        <w:rPr>
          <w:rFonts w:eastAsia="Times New Roman" w:cs="Times New Roman"/>
          <w:szCs w:val="24"/>
        </w:rPr>
        <w:t xml:space="preserve"> </w:t>
      </w:r>
      <w:r w:rsidR="003E6165" w:rsidRPr="00AA4677">
        <w:rPr>
          <w:rFonts w:eastAsia="Times New Roman" w:cs="Times New Roman"/>
          <w:szCs w:val="24"/>
        </w:rPr>
        <w:t xml:space="preserve">as required. </w:t>
      </w:r>
    </w:p>
    <w:p w14:paraId="57BC6E78" w14:textId="4C355E4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This policy formalizes a long-standing procedural requirement of the</w:t>
      </w:r>
      <w:r w:rsidR="00FD7339"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and is not intended to waive any of a research subject’s legal rights; or release the investigator, the sponsor, the University or its agents from liability for negligence. </w:t>
      </w:r>
    </w:p>
    <w:p w14:paraId="72E6C489" w14:textId="4E86992E" w:rsidR="00FC174E" w:rsidRPr="00AA4677" w:rsidRDefault="005B6D09"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w:t>
      </w:r>
      <w:r w:rsidR="00FC174E" w:rsidRPr="00AA4677">
        <w:rPr>
          <w:rFonts w:eastAsia="Times New Roman" w:cs="Times New Roman"/>
          <w:b/>
          <w:bCs/>
          <w:szCs w:val="24"/>
        </w:rPr>
        <w:t>Research-related injuries</w:t>
      </w:r>
      <w:r w:rsidR="00FC174E" w:rsidRPr="00AA4677">
        <w:rPr>
          <w:rFonts w:eastAsia="Times New Roman" w:cs="Times New Roman"/>
          <w:szCs w:val="24"/>
        </w:rPr>
        <w:t xml:space="preserve"> are those directly resulting from the test product or directly from properly performed study procedures. Such injury does not include normal progression of a subject’s underlying disease, or injury resulting from interventions that would have been conducted </w:t>
      </w:r>
      <w:proofErr w:type="gramStart"/>
      <w:r w:rsidR="00FC174E" w:rsidRPr="00AA4677">
        <w:rPr>
          <w:rFonts w:eastAsia="Times New Roman" w:cs="Times New Roman"/>
          <w:szCs w:val="24"/>
        </w:rPr>
        <w:t>whether or not</w:t>
      </w:r>
      <w:proofErr w:type="gramEnd"/>
      <w:r w:rsidR="00FC174E" w:rsidRPr="00AA4677">
        <w:rPr>
          <w:rFonts w:eastAsia="Times New Roman" w:cs="Times New Roman"/>
          <w:szCs w:val="24"/>
        </w:rPr>
        <w:t xml:space="preserve"> the subject participated in the industry clinical trial.</w:t>
      </w:r>
    </w:p>
    <w:p w14:paraId="1A0EBEE6" w14:textId="77777777" w:rsidR="00FC174E" w:rsidRPr="00AA4677" w:rsidRDefault="00FC174E" w:rsidP="00696B35">
      <w:pPr>
        <w:pStyle w:val="Heading2"/>
      </w:pPr>
      <w:bookmarkStart w:id="351" w:name="_Toc192678281"/>
      <w:r w:rsidRPr="00AA4677">
        <w:t>17.7 Application of ICH-Good Clinical Practice (GCP)</w:t>
      </w:r>
      <w:bookmarkEnd w:id="351"/>
    </w:p>
    <w:p w14:paraId="056EC8B1" w14:textId="77777777" w:rsidR="00A9552A" w:rsidRPr="00AA4677" w:rsidRDefault="00FD7339"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reviews research, and investigators conduct research in accordance with </w:t>
      </w:r>
      <w:hyperlink r:id="rId134" w:tgtFrame="_blank" w:history="1">
        <w:r w:rsidR="00FC174E" w:rsidRPr="00AA4677">
          <w:rPr>
            <w:rFonts w:eastAsia="Times New Roman" w:cs="Times New Roman"/>
            <w:szCs w:val="24"/>
          </w:rPr>
          <w:t>“Guidance for Industry E6 Good Clinical Practice:  Consolidated Guidance”</w:t>
        </w:r>
      </w:hyperlink>
      <w:r w:rsidR="00FC174E" w:rsidRPr="00AA4677">
        <w:rPr>
          <w:rFonts w:eastAsia="Times New Roman" w:cs="Times New Roman"/>
          <w:szCs w:val="24"/>
        </w:rPr>
        <w:t xml:space="preserve"> when the sponsor funding the research requires such compliance, per citation in the study protocol. </w:t>
      </w:r>
      <w:r w:rsidR="00A9552A" w:rsidRPr="00AA4677">
        <w:rPr>
          <w:rFonts w:eastAsia="Times New Roman" w:cs="Times New Roman"/>
          <w:szCs w:val="24"/>
        </w:rPr>
        <w:t>When this is the case:</w:t>
      </w:r>
    </w:p>
    <w:p w14:paraId="33AA1FA5" w14:textId="77777777" w:rsidR="00606526" w:rsidRPr="00AA4677" w:rsidRDefault="00A9552A" w:rsidP="00CB1025">
      <w:pPr>
        <w:shd w:val="clear" w:color="auto" w:fill="FFFFFF"/>
        <w:spacing w:before="100" w:beforeAutospacing="1" w:after="0" w:line="240" w:lineRule="auto"/>
        <w:rPr>
          <w:rFonts w:eastAsia="Times New Roman" w:cs="Times New Roman"/>
          <w:szCs w:val="24"/>
        </w:rPr>
      </w:pPr>
      <w:r w:rsidRPr="00AA4677">
        <w:rPr>
          <w:rFonts w:eastAsia="Times New Roman" w:cs="Times New Roman"/>
          <w:szCs w:val="24"/>
        </w:rPr>
        <w:t>The investigator will</w:t>
      </w:r>
      <w:r w:rsidR="00606526" w:rsidRPr="00AA4677">
        <w:rPr>
          <w:rFonts w:eastAsia="Times New Roman" w:cs="Times New Roman"/>
          <w:szCs w:val="24"/>
        </w:rPr>
        <w:t>:</w:t>
      </w:r>
      <w:r w:rsidRPr="00AA4677">
        <w:rPr>
          <w:rFonts w:eastAsia="Times New Roman" w:cs="Times New Roman"/>
          <w:szCs w:val="24"/>
        </w:rPr>
        <w:t xml:space="preserve"> </w:t>
      </w:r>
    </w:p>
    <w:p w14:paraId="195C2C78" w14:textId="1F289FBD" w:rsidR="00A9552A" w:rsidRPr="00AA4677" w:rsidRDefault="00606526">
      <w:pPr>
        <w:pStyle w:val="ListParagraph"/>
        <w:numPr>
          <w:ilvl w:val="0"/>
          <w:numId w:val="194"/>
        </w:numPr>
        <w:shd w:val="clear" w:color="auto" w:fill="FFFFFF"/>
        <w:spacing w:before="100" w:beforeAutospacing="1" w:after="0" w:line="240" w:lineRule="auto"/>
        <w:ind w:left="360"/>
        <w:rPr>
          <w:rFonts w:eastAsia="Times New Roman" w:cs="Times New Roman"/>
          <w:szCs w:val="24"/>
        </w:rPr>
      </w:pPr>
      <w:r w:rsidRPr="00AA4677">
        <w:rPr>
          <w:rFonts w:eastAsia="Times New Roman" w:cs="Times New Roman"/>
          <w:szCs w:val="24"/>
        </w:rPr>
        <w:t>C</w:t>
      </w:r>
      <w:r w:rsidR="00A9552A" w:rsidRPr="00AA4677">
        <w:rPr>
          <w:rFonts w:eastAsia="Times New Roman" w:cs="Times New Roman"/>
          <w:szCs w:val="24"/>
        </w:rPr>
        <w:t xml:space="preserve">onfirm compliance with these requirements, via review, completion, and uploading of the Supplemental Form D: ICH-GCP into the applicable </w:t>
      </w:r>
      <w:r w:rsidR="00DC5138" w:rsidRPr="00AA4677">
        <w:rPr>
          <w:rFonts w:eastAsia="Times New Roman" w:cs="Times New Roman"/>
          <w:szCs w:val="24"/>
        </w:rPr>
        <w:t>electronic management system</w:t>
      </w:r>
      <w:r w:rsidR="00A9552A" w:rsidRPr="00AA4677">
        <w:rPr>
          <w:rFonts w:eastAsia="Times New Roman" w:cs="Times New Roman"/>
          <w:szCs w:val="24"/>
        </w:rPr>
        <w:t xml:space="preserve"> package.</w:t>
      </w:r>
    </w:p>
    <w:p w14:paraId="491AEFE3" w14:textId="77777777" w:rsidR="00A9552A" w:rsidRPr="00AA4677" w:rsidRDefault="00A9552A" w:rsidP="00067941">
      <w:pPr>
        <w:shd w:val="clear" w:color="auto" w:fill="FFFFFF"/>
        <w:spacing w:before="100" w:beforeAutospacing="1" w:after="100" w:afterAutospacing="1" w:line="240" w:lineRule="auto"/>
        <w:ind w:left="360" w:hanging="360"/>
        <w:rPr>
          <w:rFonts w:eastAsia="Times New Roman" w:cs="Times New Roman"/>
          <w:szCs w:val="24"/>
        </w:rPr>
      </w:pPr>
      <w:r w:rsidRPr="00AA4677">
        <w:rPr>
          <w:rFonts w:eastAsia="Times New Roman" w:cs="Times New Roman"/>
          <w:szCs w:val="24"/>
        </w:rPr>
        <w:t>The IRB will:</w:t>
      </w:r>
    </w:p>
    <w:p w14:paraId="22D74ED3" w14:textId="63D5985A" w:rsidR="00A9552A" w:rsidRPr="00AA4677" w:rsidRDefault="00A9552A">
      <w:pPr>
        <w:pStyle w:val="ListParagraph"/>
        <w:numPr>
          <w:ilvl w:val="0"/>
          <w:numId w:val="135"/>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szCs w:val="24"/>
        </w:rPr>
        <w:t xml:space="preserve">Follow these standard operating procedures that </w:t>
      </w:r>
      <w:proofErr w:type="gramStart"/>
      <w:r w:rsidRPr="00AA4677">
        <w:rPr>
          <w:rFonts w:eastAsia="Times New Roman" w:cs="Times New Roman"/>
          <w:szCs w:val="24"/>
        </w:rPr>
        <w:t>are in compliance with</w:t>
      </w:r>
      <w:proofErr w:type="gramEnd"/>
      <w:r w:rsidRPr="00AA4677">
        <w:rPr>
          <w:rFonts w:eastAsia="Times New Roman" w:cs="Times New Roman"/>
          <w:szCs w:val="24"/>
        </w:rPr>
        <w:t xml:space="preserve"> sections 3.1-3.4 of the above document</w:t>
      </w:r>
      <w:r w:rsidR="00C95575" w:rsidRPr="00AA4677">
        <w:rPr>
          <w:rFonts w:eastAsia="Times New Roman" w:cs="Times New Roman"/>
          <w:szCs w:val="24"/>
        </w:rPr>
        <w:t xml:space="preserve"> and additionally confirm, for the study in question:</w:t>
      </w:r>
      <w:r w:rsidRPr="00AA4677">
        <w:rPr>
          <w:rFonts w:eastAsia="Times New Roman" w:cs="Times New Roman"/>
          <w:szCs w:val="24"/>
        </w:rPr>
        <w:t xml:space="preserve"> </w:t>
      </w:r>
    </w:p>
    <w:p w14:paraId="587EF9DD" w14:textId="445730D0" w:rsidR="00C95575" w:rsidRPr="00AA4677" w:rsidRDefault="00C95575">
      <w:pPr>
        <w:pStyle w:val="ListParagraph"/>
        <w:numPr>
          <w:ilvl w:val="1"/>
          <w:numId w:val="135"/>
        </w:numPr>
        <w:shd w:val="clear" w:color="auto" w:fill="FFFFFF"/>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lastRenderedPageBreak/>
        <w:t>All payments are prorated</w:t>
      </w:r>
    </w:p>
    <w:p w14:paraId="504E9CF3" w14:textId="65BC4AAC" w:rsidR="00C95575" w:rsidRPr="00AA4677" w:rsidRDefault="00C95575">
      <w:pPr>
        <w:pStyle w:val="ListParagraph"/>
        <w:numPr>
          <w:ilvl w:val="1"/>
          <w:numId w:val="135"/>
        </w:numPr>
        <w:shd w:val="clear" w:color="auto" w:fill="FFFFFF"/>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Alternatives are provided with risks/benefits assessment</w:t>
      </w:r>
    </w:p>
    <w:p w14:paraId="78BB5D77" w14:textId="77777777" w:rsidR="00C95575" w:rsidRPr="00AA4677" w:rsidRDefault="00C95575">
      <w:pPr>
        <w:pStyle w:val="ListParagraph"/>
        <w:numPr>
          <w:ilvl w:val="1"/>
          <w:numId w:val="135"/>
        </w:numPr>
        <w:shd w:val="clear" w:color="auto" w:fill="FFFFFF"/>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 xml:space="preserve">Costs and treatment in case of injury are clearly addressed </w:t>
      </w:r>
    </w:p>
    <w:p w14:paraId="01AC05F4" w14:textId="77777777" w:rsidR="00C95575" w:rsidRPr="00AA4677" w:rsidRDefault="00C95575">
      <w:pPr>
        <w:pStyle w:val="ListParagraph"/>
        <w:numPr>
          <w:ilvl w:val="1"/>
          <w:numId w:val="135"/>
        </w:numPr>
        <w:shd w:val="clear" w:color="auto" w:fill="FFFFFF"/>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Subject responsibilities are addressed (distinct section)</w:t>
      </w:r>
    </w:p>
    <w:p w14:paraId="42AECEA5" w14:textId="3F6D1677" w:rsidR="00C95575" w:rsidRPr="00AA4677" w:rsidRDefault="00C95575">
      <w:pPr>
        <w:pStyle w:val="ListParagraph"/>
        <w:numPr>
          <w:ilvl w:val="1"/>
          <w:numId w:val="135"/>
        </w:numPr>
        <w:shd w:val="clear" w:color="auto" w:fill="FFFFFF"/>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Subjects will be given a SIGNED and DATED copy of the ICF</w:t>
      </w:r>
    </w:p>
    <w:p w14:paraId="0CC06FFD" w14:textId="77777777" w:rsidR="00FC174E" w:rsidRPr="00AA4677" w:rsidRDefault="00FC174E" w:rsidP="00696B35">
      <w:pPr>
        <w:pStyle w:val="Heading2"/>
      </w:pPr>
      <w:bookmarkStart w:id="352" w:name="_Toc192678282"/>
      <w:r w:rsidRPr="00AA4677">
        <w:t>17.8 Policy on Non-English Speakers as Research Subjects</w:t>
      </w:r>
      <w:bookmarkEnd w:id="352"/>
    </w:p>
    <w:p w14:paraId="4D94E765" w14:textId="70A094F1" w:rsidR="00FC174E" w:rsidRPr="00AA4677" w:rsidRDefault="00FC174E" w:rsidP="00C57C98">
      <w:pPr>
        <w:pStyle w:val="Heading3"/>
      </w:pPr>
      <w:r w:rsidRPr="00AA4677">
        <w:t>17.8.1 Inclusion of Non-English Speakers</w:t>
      </w:r>
    </w:p>
    <w:p w14:paraId="7AD9A61A" w14:textId="0589BC5F" w:rsidR="00C95575" w:rsidRPr="00AA4677" w:rsidRDefault="00606526" w:rsidP="00FC174E">
      <w:pPr>
        <w:shd w:val="clear" w:color="auto" w:fill="FFFFFF"/>
        <w:spacing w:before="100" w:beforeAutospacing="1" w:after="100" w:afterAutospacing="1" w:line="240" w:lineRule="auto"/>
        <w:rPr>
          <w:rFonts w:eastAsia="Times New Roman" w:cs="Times New Roman"/>
          <w:b/>
          <w:bCs/>
          <w:szCs w:val="24"/>
        </w:rPr>
      </w:pPr>
      <w:r w:rsidRPr="00AA4677">
        <w:rPr>
          <w:rFonts w:eastAsia="Times New Roman" w:cs="Times New Roman"/>
          <w:b/>
          <w:bCs/>
          <w:szCs w:val="24"/>
        </w:rPr>
        <w:t>N</w:t>
      </w:r>
      <w:r w:rsidR="00FC174E" w:rsidRPr="00AA4677">
        <w:rPr>
          <w:rFonts w:eastAsia="Times New Roman" w:cs="Times New Roman"/>
          <w:b/>
          <w:bCs/>
          <w:szCs w:val="24"/>
        </w:rPr>
        <w:t>on-English speakers must be offered inclusion in studies where there is a potential for therapeutic benefit</w:t>
      </w:r>
      <w:r w:rsidR="00C95575" w:rsidRPr="00AA4677">
        <w:rPr>
          <w:rFonts w:eastAsia="Times New Roman" w:cs="Times New Roman"/>
          <w:b/>
          <w:bCs/>
          <w:szCs w:val="24"/>
        </w:rPr>
        <w:t xml:space="preserve"> and no </w:t>
      </w:r>
      <w:r w:rsidR="00C95575" w:rsidRPr="00AA4677">
        <w:rPr>
          <w:rFonts w:eastAsia="Times New Roman" w:cs="Times New Roman"/>
          <w:b/>
          <w:bCs/>
          <w:i/>
          <w:szCs w:val="24"/>
        </w:rPr>
        <w:t>reasonable</w:t>
      </w:r>
      <w:r w:rsidR="00C95575" w:rsidRPr="00AA4677">
        <w:rPr>
          <w:rFonts w:eastAsia="Times New Roman" w:cs="Times New Roman"/>
          <w:b/>
          <w:bCs/>
          <w:szCs w:val="24"/>
        </w:rPr>
        <w:t xml:space="preserve"> alternative or option is available outside of the research (i.e., in clinical care).  For example:</w:t>
      </w:r>
    </w:p>
    <w:p w14:paraId="6533AA45" w14:textId="6739441D" w:rsidR="00C95575" w:rsidRPr="00AA4677" w:rsidRDefault="00FC174E">
      <w:pPr>
        <w:pStyle w:val="ListParagraph"/>
        <w:numPr>
          <w:ilvl w:val="0"/>
          <w:numId w:val="135"/>
        </w:numPr>
        <w:shd w:val="clear" w:color="auto" w:fill="FFFFFF"/>
        <w:spacing w:before="100" w:beforeAutospacing="1" w:after="100" w:afterAutospacing="1" w:line="240" w:lineRule="auto"/>
        <w:ind w:left="360"/>
        <w:rPr>
          <w:rFonts w:eastAsia="Times New Roman" w:cs="Times New Roman"/>
          <w:b/>
          <w:bCs/>
          <w:szCs w:val="24"/>
        </w:rPr>
      </w:pPr>
      <w:r w:rsidRPr="00AA4677">
        <w:rPr>
          <w:rFonts w:eastAsia="Times New Roman" w:cs="Times New Roman"/>
          <w:szCs w:val="24"/>
        </w:rPr>
        <w:t xml:space="preserve">Many of the cooperative oncology group protocols would qualify in this category, i.e. testing experimental drugs that do not have a reasonable alternative in clinical care.  </w:t>
      </w:r>
    </w:p>
    <w:p w14:paraId="2713E157" w14:textId="77777777" w:rsidR="00C95575" w:rsidRPr="00AA4677" w:rsidRDefault="00FC174E">
      <w:pPr>
        <w:pStyle w:val="ListParagraph"/>
        <w:numPr>
          <w:ilvl w:val="0"/>
          <w:numId w:val="135"/>
        </w:numPr>
        <w:shd w:val="clear" w:color="auto" w:fill="FFFFFF"/>
        <w:spacing w:before="100" w:beforeAutospacing="1" w:after="100" w:afterAutospacing="1" w:line="240" w:lineRule="auto"/>
        <w:ind w:left="360"/>
        <w:rPr>
          <w:rFonts w:eastAsia="Times New Roman" w:cs="Times New Roman"/>
          <w:b/>
          <w:bCs/>
          <w:szCs w:val="24"/>
        </w:rPr>
      </w:pPr>
      <w:r w:rsidRPr="00AA4677">
        <w:rPr>
          <w:rFonts w:eastAsia="Times New Roman" w:cs="Times New Roman"/>
          <w:szCs w:val="24"/>
        </w:rPr>
        <w:t xml:space="preserve">Certain studies involving potentially therapeutic benefit via non- or less- invasive procedures where the only </w:t>
      </w:r>
      <w:r w:rsidR="00C95575" w:rsidRPr="00AA4677">
        <w:rPr>
          <w:rFonts w:eastAsia="Times New Roman" w:cs="Times New Roman"/>
          <w:szCs w:val="24"/>
        </w:rPr>
        <w:t xml:space="preserve">clinical </w:t>
      </w:r>
      <w:r w:rsidRPr="00AA4677">
        <w:rPr>
          <w:rFonts w:eastAsia="Times New Roman" w:cs="Times New Roman"/>
          <w:szCs w:val="24"/>
        </w:rPr>
        <w:t>alternative would be invasiv</w:t>
      </w:r>
      <w:r w:rsidR="00C95575" w:rsidRPr="00AA4677">
        <w:rPr>
          <w:rFonts w:eastAsia="Times New Roman" w:cs="Times New Roman"/>
          <w:szCs w:val="24"/>
        </w:rPr>
        <w:t>e</w:t>
      </w:r>
    </w:p>
    <w:p w14:paraId="04A40607" w14:textId="77777777" w:rsidR="00C95575" w:rsidRPr="00AA4677" w:rsidRDefault="00C95575" w:rsidP="00CB1025">
      <w:pPr>
        <w:pStyle w:val="ListParagraph"/>
        <w:shd w:val="clear" w:color="auto" w:fill="FFFFFF"/>
        <w:spacing w:before="100" w:beforeAutospacing="1" w:after="100" w:afterAutospacing="1" w:line="240" w:lineRule="auto"/>
        <w:rPr>
          <w:rFonts w:eastAsia="Times New Roman" w:cs="Times New Roman"/>
          <w:szCs w:val="24"/>
        </w:rPr>
      </w:pPr>
    </w:p>
    <w:p w14:paraId="647DE727" w14:textId="23AE1529" w:rsidR="00FC174E" w:rsidRPr="00AA4677" w:rsidRDefault="00FC174E" w:rsidP="00CB1025">
      <w:pPr>
        <w:pStyle w:val="ListParagraph"/>
        <w:shd w:val="clear" w:color="auto" w:fill="FFFFFF"/>
        <w:spacing w:before="100" w:beforeAutospacing="1" w:after="100" w:afterAutospacing="1" w:line="240" w:lineRule="auto"/>
        <w:ind w:left="0"/>
        <w:rPr>
          <w:rFonts w:eastAsia="Times New Roman" w:cs="Times New Roman"/>
          <w:b/>
          <w:bCs/>
          <w:szCs w:val="24"/>
        </w:rPr>
      </w:pPr>
      <w:r w:rsidRPr="00AA4677">
        <w:rPr>
          <w:rFonts w:eastAsia="Times New Roman" w:cs="Times New Roman"/>
          <w:szCs w:val="24"/>
        </w:rPr>
        <w:t>For these types of studies, the special protections addressed in</w:t>
      </w:r>
      <w:r w:rsidR="00606526" w:rsidRPr="00AA4677">
        <w:rPr>
          <w:rFonts w:eastAsia="Times New Roman" w:cs="Times New Roman"/>
          <w:szCs w:val="24"/>
        </w:rPr>
        <w:t xml:space="preserve"> sections</w:t>
      </w:r>
      <w:r w:rsidRPr="00AA4677">
        <w:rPr>
          <w:rFonts w:eastAsia="Times New Roman" w:cs="Times New Roman"/>
          <w:szCs w:val="24"/>
        </w:rPr>
        <w:t xml:space="preserve"> 17.8.2 and 17.8.3 below would need to be adequately addressed as a condition of IRB approval.</w:t>
      </w:r>
    </w:p>
    <w:p w14:paraId="4D19BEB9" w14:textId="4430BD5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For stud</w:t>
      </w:r>
      <w:r w:rsidR="00606526" w:rsidRPr="00AA4677">
        <w:rPr>
          <w:rFonts w:eastAsia="Times New Roman" w:cs="Times New Roman"/>
          <w:szCs w:val="24"/>
        </w:rPr>
        <w:t>ies that do not qualify as cited above</w:t>
      </w:r>
      <w:r w:rsidRPr="00AA4677">
        <w:rPr>
          <w:rFonts w:eastAsia="Times New Roman" w:cs="Times New Roman"/>
          <w:szCs w:val="24"/>
        </w:rPr>
        <w:t xml:space="preserve">, </w:t>
      </w:r>
      <w:r w:rsidR="00FC5598" w:rsidRPr="00AA4677">
        <w:rPr>
          <w:rFonts w:eastAsia="Times New Roman" w:cs="Times New Roman"/>
          <w:szCs w:val="24"/>
        </w:rPr>
        <w:t>i</w:t>
      </w:r>
      <w:r w:rsidRPr="00AA4677">
        <w:rPr>
          <w:rFonts w:eastAsia="Times New Roman" w:cs="Times New Roman"/>
          <w:szCs w:val="24"/>
        </w:rPr>
        <w:t>nvestigators should remember that they must always develop eligibility criteria for their studies that consider safety, protection of vulnerable populations, and of course, the purpose of the research.  Although not required as a condition of IRB approval (as it is above), all individuals meeting study eligibility criteria should be offered enrollment, regardless of the language they speak. Protections addressed below in</w:t>
      </w:r>
      <w:r w:rsidR="00606526" w:rsidRPr="00AA4677">
        <w:rPr>
          <w:rFonts w:eastAsia="Times New Roman" w:cs="Times New Roman"/>
          <w:szCs w:val="24"/>
        </w:rPr>
        <w:t xml:space="preserve"> sections</w:t>
      </w:r>
      <w:r w:rsidRPr="00AA4677">
        <w:rPr>
          <w:rFonts w:eastAsia="Times New Roman" w:cs="Times New Roman"/>
          <w:szCs w:val="24"/>
        </w:rPr>
        <w:t xml:space="preserve"> 17.8.2 and 17.8.3 can be addressed on an expedited, ‘as needed’, basis, </w:t>
      </w:r>
      <w:proofErr w:type="gramStart"/>
      <w:r w:rsidRPr="00AA4677">
        <w:rPr>
          <w:rFonts w:eastAsia="Times New Roman" w:cs="Times New Roman"/>
          <w:szCs w:val="24"/>
        </w:rPr>
        <w:t>if and when</w:t>
      </w:r>
      <w:proofErr w:type="gramEnd"/>
      <w:r w:rsidRPr="00AA4677">
        <w:rPr>
          <w:rFonts w:eastAsia="Times New Roman" w:cs="Times New Roman"/>
          <w:szCs w:val="24"/>
        </w:rPr>
        <w:t xml:space="preserve"> the opportunity presents itself to discuss </w:t>
      </w:r>
      <w:r w:rsidR="00C95575" w:rsidRPr="00AA4677">
        <w:rPr>
          <w:rFonts w:eastAsia="Times New Roman" w:cs="Times New Roman"/>
          <w:szCs w:val="24"/>
        </w:rPr>
        <w:t>a</w:t>
      </w:r>
      <w:r w:rsidRPr="00AA4677">
        <w:rPr>
          <w:rFonts w:eastAsia="Times New Roman" w:cs="Times New Roman"/>
          <w:szCs w:val="24"/>
        </w:rPr>
        <w:t xml:space="preserve"> study with a non-English speaker.</w:t>
      </w:r>
    </w:p>
    <w:p w14:paraId="6FB6AD33" w14:textId="2A3FC82A" w:rsidR="00FC174E" w:rsidRPr="00AA4677" w:rsidRDefault="00FC174E" w:rsidP="00C57C98">
      <w:pPr>
        <w:pStyle w:val="Heading3"/>
      </w:pPr>
      <w:r w:rsidRPr="00AA4677">
        <w:t>17.8.2 Consenting a Non-</w:t>
      </w:r>
      <w:proofErr w:type="gramStart"/>
      <w:r w:rsidRPr="00AA4677">
        <w:t>English Speaking</w:t>
      </w:r>
      <w:proofErr w:type="gramEnd"/>
      <w:r w:rsidRPr="00AA4677">
        <w:t xml:space="preserve"> Subject</w:t>
      </w:r>
    </w:p>
    <w:p w14:paraId="4E1F703E" w14:textId="345C294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Except as provided in </w:t>
      </w:r>
      <w:r w:rsidR="002E37B2" w:rsidRPr="00AA4677">
        <w:rPr>
          <w:rFonts w:eastAsia="Times New Roman" w:cs="Times New Roman"/>
          <w:szCs w:val="24"/>
        </w:rPr>
        <w:t>s</w:t>
      </w:r>
      <w:r w:rsidRPr="00AA4677">
        <w:rPr>
          <w:rFonts w:eastAsia="Times New Roman" w:cs="Times New Roman"/>
          <w:szCs w:val="24"/>
        </w:rPr>
        <w:t>ection 5.</w:t>
      </w:r>
      <w:r w:rsidR="00205AE9" w:rsidRPr="00AA4677">
        <w:rPr>
          <w:rFonts w:eastAsia="Times New Roman" w:cs="Times New Roman"/>
          <w:szCs w:val="24"/>
        </w:rPr>
        <w:t>8</w:t>
      </w:r>
      <w:r w:rsidRPr="00AA4677">
        <w:rPr>
          <w:rFonts w:eastAsia="Times New Roman" w:cs="Times New Roman"/>
          <w:szCs w:val="24"/>
        </w:rPr>
        <w:t xml:space="preserve"> of these SOPs, informed consent must be obtained, and it must be documented </w:t>
      </w:r>
      <w:proofErr w:type="gramStart"/>
      <w:r w:rsidRPr="00AA4677">
        <w:rPr>
          <w:rFonts w:eastAsia="Times New Roman" w:cs="Times New Roman"/>
          <w:szCs w:val="24"/>
        </w:rPr>
        <w:t>by the use of</w:t>
      </w:r>
      <w:proofErr w:type="gramEnd"/>
      <w:r w:rsidRPr="00AA4677">
        <w:rPr>
          <w:rFonts w:eastAsia="Times New Roman" w:cs="Times New Roman"/>
          <w:szCs w:val="24"/>
        </w:rPr>
        <w:t xml:space="preserve"> a written consent form approved by </w:t>
      </w:r>
      <w:r w:rsidR="00FC5598"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w:t>
      </w:r>
    </w:p>
    <w:p w14:paraId="2721D7F6" w14:textId="2C2E4F62"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person obtaining consent from a non-English speaking subject's consent should either be a study investigator who is fluent in English and the language of the subject, or a study </w:t>
      </w:r>
      <w:r w:rsidR="009C382E" w:rsidRPr="00AA4677">
        <w:rPr>
          <w:rFonts w:eastAsia="Times New Roman" w:cs="Times New Roman"/>
          <w:szCs w:val="24"/>
        </w:rPr>
        <w:t>i</w:t>
      </w:r>
      <w:r w:rsidRPr="00AA4677">
        <w:rPr>
          <w:rFonts w:eastAsia="Times New Roman" w:cs="Times New Roman"/>
          <w:szCs w:val="24"/>
        </w:rPr>
        <w:t>nvestigator</w:t>
      </w:r>
      <w:r w:rsidR="000D7050" w:rsidRPr="00AA4677">
        <w:rPr>
          <w:rFonts w:eastAsia="Times New Roman" w:cs="Times New Roman"/>
          <w:szCs w:val="24"/>
        </w:rPr>
        <w:t xml:space="preserve"> or team member (for minimal risk research)</w:t>
      </w:r>
      <w:r w:rsidRPr="00AA4677">
        <w:rPr>
          <w:rFonts w:eastAsia="Times New Roman" w:cs="Times New Roman"/>
          <w:szCs w:val="24"/>
        </w:rPr>
        <w:t xml:space="preserve"> who is assisted </w:t>
      </w:r>
      <w:r w:rsidR="00606526" w:rsidRPr="00AA4677">
        <w:rPr>
          <w:rFonts w:eastAsia="Times New Roman" w:cs="Times New Roman"/>
          <w:szCs w:val="24"/>
        </w:rPr>
        <w:t>by either a qualified interpreter</w:t>
      </w:r>
      <w:r w:rsidRPr="00AA4677">
        <w:rPr>
          <w:rFonts w:eastAsia="Times New Roman" w:cs="Times New Roman"/>
          <w:szCs w:val="24"/>
        </w:rPr>
        <w:t xml:space="preserve"> (non-family member) or a recognized</w:t>
      </w:r>
      <w:r w:rsidR="00606526" w:rsidRPr="00AA4677">
        <w:rPr>
          <w:rFonts w:eastAsia="Times New Roman" w:cs="Times New Roman"/>
          <w:szCs w:val="24"/>
        </w:rPr>
        <w:t xml:space="preserve"> interpreter</w:t>
      </w:r>
      <w:r w:rsidRPr="00AA4677">
        <w:rPr>
          <w:rFonts w:eastAsia="Times New Roman" w:cs="Times New Roman"/>
          <w:szCs w:val="24"/>
        </w:rPr>
        <w:t xml:space="preserve"> service.</w:t>
      </w:r>
    </w:p>
    <w:p w14:paraId="5866BF40"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lastRenderedPageBreak/>
        <w:t xml:space="preserve">Informed consent should be documented </w:t>
      </w:r>
      <w:proofErr w:type="gramStart"/>
      <w:r w:rsidRPr="00AA4677">
        <w:rPr>
          <w:rFonts w:eastAsia="Times New Roman" w:cs="Times New Roman"/>
          <w:szCs w:val="24"/>
        </w:rPr>
        <w:t>by the use of</w:t>
      </w:r>
      <w:proofErr w:type="gramEnd"/>
      <w:r w:rsidRPr="00AA4677">
        <w:rPr>
          <w:rFonts w:eastAsia="Times New Roman" w:cs="Times New Roman"/>
          <w:szCs w:val="24"/>
        </w:rPr>
        <w:t xml:space="preserve"> either:</w:t>
      </w:r>
    </w:p>
    <w:p w14:paraId="78C3CDA4" w14:textId="77F00F56" w:rsidR="00FC174E" w:rsidRPr="00AA4677" w:rsidRDefault="00FC174E" w:rsidP="007E3362">
      <w:pPr>
        <w:shd w:val="clear" w:color="auto" w:fill="FFFFFF"/>
        <w:spacing w:after="0" w:line="240" w:lineRule="auto"/>
        <w:rPr>
          <w:rFonts w:eastAsia="Times New Roman" w:cs="Times New Roman"/>
          <w:szCs w:val="24"/>
        </w:rPr>
      </w:pPr>
      <w:r w:rsidRPr="00AA4677">
        <w:rPr>
          <w:rFonts w:eastAsia="Times New Roman" w:cs="Times New Roman"/>
          <w:szCs w:val="24"/>
        </w:rPr>
        <w:t xml:space="preserve">A translated version of the </w:t>
      </w:r>
      <w:r w:rsidR="00EE7207" w:rsidRPr="00AA4677">
        <w:rPr>
          <w:rFonts w:eastAsia="Times New Roman" w:cs="Times New Roman"/>
          <w:szCs w:val="24"/>
        </w:rPr>
        <w:t>IRB</w:t>
      </w:r>
      <w:r w:rsidR="00FC5598" w:rsidRPr="00AA4677">
        <w:rPr>
          <w:rFonts w:eastAsia="Times New Roman" w:cs="Times New Roman"/>
          <w:szCs w:val="24"/>
        </w:rPr>
        <w:t xml:space="preserve"> </w:t>
      </w:r>
      <w:r w:rsidRPr="00AA4677">
        <w:rPr>
          <w:rFonts w:eastAsia="Times New Roman" w:cs="Times New Roman"/>
          <w:szCs w:val="24"/>
        </w:rPr>
        <w:t xml:space="preserve">approved ‘full’ English consent form that embodies the basic and required additional elements of informed consent. An affidavit of accurate translation from the </w:t>
      </w:r>
      <w:r w:rsidR="00EE7207" w:rsidRPr="00AA4677">
        <w:rPr>
          <w:rFonts w:eastAsia="Times New Roman" w:cs="Times New Roman"/>
          <w:szCs w:val="24"/>
        </w:rPr>
        <w:t>IRB</w:t>
      </w:r>
      <w:r w:rsidR="00FC5598" w:rsidRPr="00AA4677">
        <w:rPr>
          <w:rFonts w:eastAsia="Times New Roman" w:cs="Times New Roman"/>
          <w:szCs w:val="24"/>
        </w:rPr>
        <w:t xml:space="preserve"> </w:t>
      </w:r>
      <w:r w:rsidRPr="00AA4677">
        <w:rPr>
          <w:rFonts w:eastAsia="Times New Roman" w:cs="Times New Roman"/>
          <w:szCs w:val="24"/>
        </w:rPr>
        <w:t xml:space="preserve">approved English version must be provided from a qualified translator who is unaffiliated with the study. The translated consent form and affidavit must be submitted and approved by </w:t>
      </w:r>
      <w:r w:rsidR="00EE7207" w:rsidRPr="00AA4677">
        <w:rPr>
          <w:rFonts w:eastAsia="Times New Roman" w:cs="Times New Roman"/>
          <w:szCs w:val="24"/>
        </w:rPr>
        <w:t>IRB</w:t>
      </w:r>
      <w:r w:rsidRPr="00AA4677">
        <w:rPr>
          <w:rFonts w:eastAsia="Times New Roman" w:cs="Times New Roman"/>
          <w:szCs w:val="24"/>
        </w:rPr>
        <w:t xml:space="preserve"> before its use.  </w:t>
      </w:r>
      <w:bookmarkStart w:id="353" w:name="_Hlk192161801"/>
      <w:r w:rsidRPr="00AA4677">
        <w:rPr>
          <w:rFonts w:eastAsia="Times New Roman" w:cs="Times New Roman"/>
          <w:szCs w:val="24"/>
        </w:rPr>
        <w:t xml:space="preserve">The </w:t>
      </w:r>
      <w:r w:rsidR="00E5431C" w:rsidRPr="00AA4677">
        <w:rPr>
          <w:rFonts w:eastAsia="Times New Roman" w:cs="Times New Roman"/>
          <w:szCs w:val="24"/>
        </w:rPr>
        <w:t xml:space="preserve">translated </w:t>
      </w:r>
      <w:r w:rsidRPr="00AA4677">
        <w:rPr>
          <w:rFonts w:eastAsia="Times New Roman" w:cs="Times New Roman"/>
          <w:szCs w:val="24"/>
        </w:rPr>
        <w:t xml:space="preserve">document is signed and dated by the subject or the subject's legally authorized representative at the time of consent. </w:t>
      </w:r>
      <w:r w:rsidR="00EB1FD4" w:rsidRPr="00AA4677">
        <w:rPr>
          <w:rFonts w:eastAsia="Times New Roman" w:cs="Times New Roman"/>
          <w:szCs w:val="24"/>
        </w:rPr>
        <w:t xml:space="preserve">The individual obtaining consent must sign and date the translated form. </w:t>
      </w:r>
      <w:bookmarkEnd w:id="353"/>
      <w:r w:rsidRPr="00AA4677">
        <w:rPr>
          <w:rFonts w:eastAsia="Times New Roman" w:cs="Times New Roman"/>
          <w:szCs w:val="24"/>
        </w:rPr>
        <w:t>A copy of the signed and dated consent form must be given to the person signing the form.</w:t>
      </w:r>
    </w:p>
    <w:p w14:paraId="0AB51327" w14:textId="2F146935" w:rsidR="00FC174E" w:rsidRPr="00AA4677" w:rsidRDefault="00FE66CB" w:rsidP="007E3362">
      <w:pPr>
        <w:shd w:val="clear" w:color="auto" w:fill="FFFFFF"/>
        <w:spacing w:after="0" w:line="240" w:lineRule="auto"/>
        <w:rPr>
          <w:rFonts w:eastAsia="Times New Roman" w:cs="Times New Roman"/>
          <w:szCs w:val="24"/>
        </w:rPr>
      </w:pPr>
      <w:r w:rsidRPr="00AA4677">
        <w:rPr>
          <w:rFonts w:eastAsia="Times New Roman" w:cs="Times New Roman"/>
          <w:b/>
          <w:bCs/>
          <w:szCs w:val="24"/>
        </w:rPr>
        <w:t>O</w:t>
      </w:r>
      <w:r w:rsidR="00FC174E" w:rsidRPr="00AA4677">
        <w:rPr>
          <w:rFonts w:eastAsia="Times New Roman" w:cs="Times New Roman"/>
          <w:b/>
          <w:bCs/>
          <w:szCs w:val="24"/>
        </w:rPr>
        <w:t>r</w:t>
      </w:r>
    </w:p>
    <w:p w14:paraId="5FAC7B55" w14:textId="5187DD1E" w:rsidR="00FC174E" w:rsidRPr="00AA4677" w:rsidRDefault="00FC174E" w:rsidP="007E3362">
      <w:pPr>
        <w:shd w:val="clear" w:color="auto" w:fill="FFFFFF"/>
        <w:spacing w:after="0" w:line="240" w:lineRule="auto"/>
        <w:rPr>
          <w:rFonts w:eastAsia="Times New Roman" w:cs="Times New Roman"/>
          <w:szCs w:val="24"/>
        </w:rPr>
      </w:pPr>
      <w:r w:rsidRPr="00AA4677">
        <w:rPr>
          <w:rFonts w:eastAsia="Times New Roman" w:cs="Times New Roman"/>
          <w:szCs w:val="24"/>
        </w:rPr>
        <w:t xml:space="preserve">A “short form” written consent document which states that the elements of informed consent have been presented orally to the subject or the subject's legally authorized representative. </w:t>
      </w:r>
      <w:r w:rsidR="00B3381C" w:rsidRPr="00AA4677">
        <w:rPr>
          <w:rFonts w:eastAsia="Times New Roman" w:cs="Times New Roman"/>
          <w:szCs w:val="24"/>
        </w:rPr>
        <w:t>Researchers and research staff must follow regulatory and IR</w:t>
      </w:r>
      <w:r w:rsidR="00AE682E" w:rsidRPr="00AA4677">
        <w:rPr>
          <w:rFonts w:eastAsia="Times New Roman" w:cs="Times New Roman"/>
          <w:szCs w:val="24"/>
        </w:rPr>
        <w:t>B</w:t>
      </w:r>
      <w:r w:rsidR="00B3381C" w:rsidRPr="00AA4677">
        <w:rPr>
          <w:rFonts w:eastAsia="Times New Roman" w:cs="Times New Roman"/>
          <w:szCs w:val="24"/>
        </w:rPr>
        <w:t xml:space="preserve"> requirements when using this method. </w:t>
      </w:r>
      <w:r w:rsidRPr="00AA4677">
        <w:rPr>
          <w:rFonts w:eastAsia="Times New Roman" w:cs="Times New Roman"/>
          <w:szCs w:val="24"/>
        </w:rPr>
        <w:t>Both the short form and the oral presentation must be presented in the language of the subject. </w:t>
      </w:r>
      <w:r w:rsidR="00FC5598" w:rsidRPr="00AA4677">
        <w:rPr>
          <w:rFonts w:eastAsia="Times New Roman" w:cs="Times New Roman"/>
          <w:szCs w:val="24"/>
        </w:rPr>
        <w:t xml:space="preserve"> The</w:t>
      </w:r>
      <w:r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must receive and approve all foreign language versions of the short form document (along with translator affidavit) prior to use. Note that English and Spanish versions of a</w:t>
      </w:r>
      <w:r w:rsidR="00794F0D" w:rsidRPr="00AA4677">
        <w:rPr>
          <w:rFonts w:eastAsia="Times New Roman" w:cs="Times New Roman"/>
          <w:szCs w:val="24"/>
        </w:rPr>
        <w:t>n</w:t>
      </w:r>
      <w:r w:rsidRPr="00AA4677">
        <w:rPr>
          <w:rFonts w:eastAsia="Times New Roman" w:cs="Times New Roman"/>
          <w:szCs w:val="24"/>
        </w:rPr>
        <w:t xml:space="preserve"> </w:t>
      </w:r>
      <w:r w:rsidR="00EE7207" w:rsidRPr="00AA4677">
        <w:rPr>
          <w:rFonts w:eastAsia="Times New Roman" w:cs="Times New Roman"/>
          <w:szCs w:val="24"/>
        </w:rPr>
        <w:t>IRB</w:t>
      </w:r>
      <w:r w:rsidR="00FC5598" w:rsidRPr="00AA4677">
        <w:rPr>
          <w:rFonts w:eastAsia="Times New Roman" w:cs="Times New Roman"/>
          <w:szCs w:val="24"/>
        </w:rPr>
        <w:t xml:space="preserve"> </w:t>
      </w:r>
      <w:r w:rsidRPr="00AA4677">
        <w:rPr>
          <w:rFonts w:eastAsia="Times New Roman" w:cs="Times New Roman"/>
          <w:szCs w:val="24"/>
        </w:rPr>
        <w:t xml:space="preserve">acceptable 'short form' document are available in the </w:t>
      </w:r>
      <w:r w:rsidR="00DC5138" w:rsidRPr="00AA4677">
        <w:rPr>
          <w:rFonts w:eastAsia="Times New Roman" w:cs="Times New Roman"/>
          <w:szCs w:val="24"/>
        </w:rPr>
        <w:t>f</w:t>
      </w:r>
      <w:r w:rsidRPr="00AA4677">
        <w:rPr>
          <w:rFonts w:eastAsia="Times New Roman" w:cs="Times New Roman"/>
          <w:szCs w:val="24"/>
        </w:rPr>
        <w:t xml:space="preserve">orms </w:t>
      </w:r>
      <w:r w:rsidR="00DC5138" w:rsidRPr="00AA4677">
        <w:rPr>
          <w:rFonts w:eastAsia="Times New Roman" w:cs="Times New Roman"/>
          <w:szCs w:val="24"/>
        </w:rPr>
        <w:t>library of the</w:t>
      </w:r>
      <w:r w:rsidR="00EE78F0" w:rsidRPr="00AA4677">
        <w:rPr>
          <w:rFonts w:eastAsia="Times New Roman" w:cs="Times New Roman"/>
          <w:szCs w:val="24"/>
        </w:rPr>
        <w:t xml:space="preserve"> </w:t>
      </w:r>
      <w:r w:rsidR="00DC5138" w:rsidRPr="00AA4677">
        <w:rPr>
          <w:rFonts w:eastAsia="Times New Roman" w:cs="Times New Roman"/>
          <w:szCs w:val="24"/>
        </w:rPr>
        <w:t>electronic management system</w:t>
      </w:r>
      <w:r w:rsidRPr="00AA4677">
        <w:rPr>
          <w:rFonts w:eastAsia="Times New Roman" w:cs="Times New Roman"/>
          <w:szCs w:val="24"/>
        </w:rPr>
        <w:t>.  </w:t>
      </w:r>
    </w:p>
    <w:p w14:paraId="7704669C" w14:textId="77777777" w:rsidR="00FC174E" w:rsidRPr="00AA4677" w:rsidRDefault="00FC174E" w:rsidP="00F71156">
      <w:pPr>
        <w:shd w:val="clear" w:color="auto" w:fill="FFFFFF"/>
        <w:spacing w:after="0" w:line="240" w:lineRule="auto"/>
        <w:rPr>
          <w:rFonts w:eastAsia="Times New Roman" w:cs="Times New Roman"/>
          <w:szCs w:val="24"/>
        </w:rPr>
      </w:pPr>
      <w:r w:rsidRPr="00AA4677">
        <w:rPr>
          <w:rFonts w:eastAsia="Times New Roman" w:cs="Times New Roman"/>
          <w:szCs w:val="24"/>
        </w:rPr>
        <w:t>When this ‘short form’ method is used:</w:t>
      </w:r>
    </w:p>
    <w:p w14:paraId="7EE15CBD" w14:textId="72E809E9" w:rsidR="00FC174E" w:rsidRPr="00AA4677" w:rsidRDefault="00FC5598">
      <w:pPr>
        <w:numPr>
          <w:ilvl w:val="0"/>
          <w:numId w:val="60"/>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oral presentation should be conducted by either a study investigator who certifies to </w:t>
      </w: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that s</w:t>
      </w:r>
      <w:r w:rsidRPr="00AA4677">
        <w:rPr>
          <w:rFonts w:eastAsia="Times New Roman" w:cs="Times New Roman"/>
          <w:szCs w:val="24"/>
        </w:rPr>
        <w:t>he</w:t>
      </w:r>
      <w:r w:rsidR="00FC174E" w:rsidRPr="00AA4677">
        <w:rPr>
          <w:rFonts w:eastAsia="Times New Roman" w:cs="Times New Roman"/>
          <w:szCs w:val="24"/>
        </w:rPr>
        <w:t xml:space="preserve">/he is fluent in English and the language of the subject, or a study investigator who is assisted by either a qualified </w:t>
      </w:r>
      <w:r w:rsidR="00EE269B" w:rsidRPr="00AA4677">
        <w:rPr>
          <w:rFonts w:eastAsia="Times New Roman" w:cs="Times New Roman"/>
          <w:szCs w:val="24"/>
        </w:rPr>
        <w:t>interpreter</w:t>
      </w:r>
      <w:r w:rsidR="00606526" w:rsidRPr="00AA4677">
        <w:rPr>
          <w:rFonts w:eastAsia="Times New Roman" w:cs="Times New Roman"/>
          <w:szCs w:val="24"/>
        </w:rPr>
        <w:t xml:space="preserve"> or a recognized interpreter</w:t>
      </w:r>
      <w:r w:rsidR="00FC174E" w:rsidRPr="00AA4677">
        <w:rPr>
          <w:rFonts w:eastAsia="Times New Roman" w:cs="Times New Roman"/>
          <w:szCs w:val="24"/>
        </w:rPr>
        <w:t xml:space="preserve"> service, and</w:t>
      </w:r>
    </w:p>
    <w:p w14:paraId="26AFB86C" w14:textId="00E02318" w:rsidR="00FC174E" w:rsidRPr="00AA4677" w:rsidRDefault="00FC5598">
      <w:pPr>
        <w:numPr>
          <w:ilvl w:val="0"/>
          <w:numId w:val="60"/>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here must be a witness to the oral presentation who is fluent in both English and the language of the subject. Note:</w:t>
      </w:r>
    </w:p>
    <w:p w14:paraId="3E42C128" w14:textId="3CA53C43" w:rsidR="00FC174E" w:rsidRPr="00AA4677" w:rsidRDefault="00FC174E">
      <w:pPr>
        <w:numPr>
          <w:ilvl w:val="1"/>
          <w:numId w:val="237"/>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 xml:space="preserve">If a qualified </w:t>
      </w:r>
      <w:r w:rsidR="00606526" w:rsidRPr="00AA4677">
        <w:rPr>
          <w:rFonts w:eastAsia="Times New Roman" w:cs="Times New Roman"/>
          <w:szCs w:val="24"/>
        </w:rPr>
        <w:t>interpreter</w:t>
      </w:r>
      <w:r w:rsidRPr="00AA4677">
        <w:rPr>
          <w:rFonts w:eastAsia="Times New Roman" w:cs="Times New Roman"/>
          <w:szCs w:val="24"/>
        </w:rPr>
        <w:t xml:space="preserve"> or service is used in the oral presentation as above, that individual may serve as the witness,</w:t>
      </w:r>
    </w:p>
    <w:p w14:paraId="21F8DEAB" w14:textId="77777777" w:rsidR="00FC174E" w:rsidRPr="00AA4677" w:rsidRDefault="00FC174E">
      <w:pPr>
        <w:numPr>
          <w:ilvl w:val="1"/>
          <w:numId w:val="237"/>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a family member may not serve as the witness, and</w:t>
      </w:r>
    </w:p>
    <w:p w14:paraId="6383165E" w14:textId="250D776B" w:rsidR="00FC174E" w:rsidRPr="00AA4677" w:rsidRDefault="00FC5598">
      <w:pPr>
        <w:numPr>
          <w:ilvl w:val="0"/>
          <w:numId w:val="60"/>
        </w:numPr>
        <w:shd w:val="clear" w:color="auto" w:fill="FFFFFF"/>
        <w:spacing w:after="0" w:line="240" w:lineRule="auto"/>
        <w:rPr>
          <w:rFonts w:eastAsia="Times New Roman" w:cs="Times New Roman"/>
          <w:szCs w:val="24"/>
        </w:rPr>
      </w:pPr>
      <w:r w:rsidRPr="00AA4677">
        <w:rPr>
          <w:rFonts w:eastAsia="Times New Roman" w:cs="Times New Roman"/>
          <w:szCs w:val="24"/>
        </w:rPr>
        <w:t xml:space="preserve">The </w:t>
      </w:r>
      <w:r w:rsidR="00EE7207" w:rsidRPr="00AA4677">
        <w:rPr>
          <w:rFonts w:eastAsia="Times New Roman" w:cs="Times New Roman"/>
          <w:szCs w:val="24"/>
        </w:rPr>
        <w:t>IRB</w:t>
      </w:r>
      <w:r w:rsidR="00FC174E" w:rsidRPr="00AA4677">
        <w:rPr>
          <w:rFonts w:eastAsia="Times New Roman" w:cs="Times New Roman"/>
          <w:szCs w:val="24"/>
        </w:rPr>
        <w:t xml:space="preserve"> must approve a written summary of what is to be read </w:t>
      </w:r>
      <w:proofErr w:type="gramStart"/>
      <w:r w:rsidR="00FC174E" w:rsidRPr="00AA4677">
        <w:rPr>
          <w:rFonts w:eastAsia="Times New Roman" w:cs="Times New Roman"/>
          <w:szCs w:val="24"/>
        </w:rPr>
        <w:t>to</w:t>
      </w:r>
      <w:proofErr w:type="gramEnd"/>
      <w:r w:rsidR="00FC174E" w:rsidRPr="00AA4677">
        <w:rPr>
          <w:rFonts w:eastAsia="Times New Roman" w:cs="Times New Roman"/>
          <w:szCs w:val="24"/>
        </w:rPr>
        <w:t xml:space="preserve"> the subject. Note: the </w:t>
      </w:r>
      <w:r w:rsidR="00EE7207" w:rsidRPr="00AA4677">
        <w:rPr>
          <w:rFonts w:eastAsia="Times New Roman" w:cs="Times New Roman"/>
          <w:szCs w:val="24"/>
        </w:rPr>
        <w:t>IRB</w:t>
      </w:r>
      <w:r w:rsidRPr="00AA4677">
        <w:rPr>
          <w:rFonts w:eastAsia="Times New Roman" w:cs="Times New Roman"/>
          <w:szCs w:val="24"/>
        </w:rPr>
        <w:t xml:space="preserve"> </w:t>
      </w:r>
      <w:r w:rsidR="00FC174E" w:rsidRPr="00AA4677">
        <w:rPr>
          <w:rFonts w:eastAsia="Times New Roman" w:cs="Times New Roman"/>
          <w:szCs w:val="24"/>
        </w:rPr>
        <w:t>approved English consent form may serve as the summary, and</w:t>
      </w:r>
    </w:p>
    <w:p w14:paraId="36FE0298" w14:textId="11A35F39" w:rsidR="00FC174E" w:rsidRPr="00AA4677" w:rsidRDefault="00FC5598">
      <w:pPr>
        <w:numPr>
          <w:ilvl w:val="0"/>
          <w:numId w:val="60"/>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he witness must sign both the short form and a copy of the summary; and</w:t>
      </w:r>
    </w:p>
    <w:p w14:paraId="49B65104" w14:textId="70F4D368" w:rsidR="00FC174E" w:rsidRPr="00AA4677" w:rsidRDefault="00FC5598">
      <w:pPr>
        <w:numPr>
          <w:ilvl w:val="0"/>
          <w:numId w:val="60"/>
        </w:numPr>
        <w:shd w:val="clear" w:color="auto" w:fill="FFFFFF"/>
        <w:spacing w:after="0" w:line="240" w:lineRule="auto"/>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person </w:t>
      </w:r>
      <w:proofErr w:type="gramStart"/>
      <w:r w:rsidR="00FC174E" w:rsidRPr="00AA4677">
        <w:rPr>
          <w:rFonts w:eastAsia="Times New Roman" w:cs="Times New Roman"/>
          <w:szCs w:val="24"/>
        </w:rPr>
        <w:t>actually obtaining</w:t>
      </w:r>
      <w:proofErr w:type="gramEnd"/>
      <w:r w:rsidR="00FC174E" w:rsidRPr="00AA4677">
        <w:rPr>
          <w:rFonts w:eastAsia="Times New Roman" w:cs="Times New Roman"/>
          <w:szCs w:val="24"/>
        </w:rPr>
        <w:t xml:space="preserve"> consent must sign a copy of the summary; and</w:t>
      </w:r>
    </w:p>
    <w:p w14:paraId="724EF173" w14:textId="0A2487F1" w:rsidR="00FC174E" w:rsidRPr="00AA4677" w:rsidRDefault="00FC5598">
      <w:pPr>
        <w:numPr>
          <w:ilvl w:val="0"/>
          <w:numId w:val="60"/>
        </w:numPr>
        <w:shd w:val="clear" w:color="auto" w:fill="FFFFFF"/>
        <w:spacing w:after="0" w:line="240" w:lineRule="auto"/>
        <w:rPr>
          <w:rFonts w:eastAsia="Times New Roman" w:cs="Times New Roman"/>
          <w:szCs w:val="24"/>
        </w:rPr>
      </w:pPr>
      <w:r w:rsidRPr="00AA4677">
        <w:rPr>
          <w:rFonts w:eastAsia="Times New Roman" w:cs="Times New Roman"/>
          <w:szCs w:val="24"/>
        </w:rPr>
        <w:t>A</w:t>
      </w:r>
      <w:r w:rsidR="00FC174E" w:rsidRPr="00AA4677">
        <w:rPr>
          <w:rFonts w:eastAsia="Times New Roman" w:cs="Times New Roman"/>
          <w:szCs w:val="24"/>
        </w:rPr>
        <w:t xml:space="preserve"> copy of the summary must be given to the subject or representative, in addition to a copy of the short form.</w:t>
      </w:r>
    </w:p>
    <w:p w14:paraId="367FE4F2" w14:textId="29937DEE" w:rsidR="00205AE9" w:rsidRPr="00AA4677" w:rsidRDefault="00205AE9">
      <w:pPr>
        <w:pStyle w:val="ListParagraph"/>
        <w:numPr>
          <w:ilvl w:val="0"/>
          <w:numId w:val="60"/>
        </w:numPr>
        <w:shd w:val="clear" w:color="auto" w:fill="FFFFFF"/>
        <w:spacing w:after="0" w:line="240" w:lineRule="auto"/>
        <w:rPr>
          <w:rFonts w:eastAsia="Times New Roman" w:cs="Times New Roman"/>
          <w:szCs w:val="24"/>
        </w:rPr>
      </w:pPr>
      <w:r w:rsidRPr="00AA4677">
        <w:rPr>
          <w:rFonts w:eastAsia="Times New Roman" w:cs="Times New Roman"/>
          <w:szCs w:val="24"/>
        </w:rPr>
        <w:t>In addition to receiving a copy of the (English) summary and a copy of the short form at the time of consenting, the subject must receive a copy of the summary, translated into their native language, as soon as possible after their enrollment into the study.</w:t>
      </w:r>
      <w:r w:rsidR="0022352A" w:rsidRPr="00AA4677">
        <w:rPr>
          <w:rFonts w:eastAsia="Times New Roman" w:cs="Times New Roman"/>
          <w:szCs w:val="24"/>
        </w:rPr>
        <w:t xml:space="preserve"> The translated version of the consent form and the translation affidavit must be approved by the IRB prior to use.</w:t>
      </w:r>
    </w:p>
    <w:p w14:paraId="52CC6E61" w14:textId="67B997CE" w:rsidR="00201251" w:rsidRPr="00AA4677" w:rsidRDefault="00201251">
      <w:pPr>
        <w:pStyle w:val="ListParagraph"/>
        <w:numPr>
          <w:ilvl w:val="0"/>
          <w:numId w:val="60"/>
        </w:numPr>
        <w:shd w:val="clear" w:color="auto" w:fill="FFFFFF"/>
        <w:spacing w:after="0" w:line="240" w:lineRule="auto"/>
        <w:rPr>
          <w:rFonts w:eastAsia="Times New Roman" w:cs="Times New Roman"/>
          <w:szCs w:val="24"/>
        </w:rPr>
      </w:pPr>
      <w:r w:rsidRPr="00AA4677">
        <w:rPr>
          <w:rFonts w:eastAsia="Times New Roman" w:cs="Times New Roman"/>
          <w:szCs w:val="24"/>
        </w:rPr>
        <w:lastRenderedPageBreak/>
        <w:t xml:space="preserve">The short form can only be used when </w:t>
      </w:r>
      <w:proofErr w:type="gramStart"/>
      <w:r w:rsidRPr="00AA4677">
        <w:rPr>
          <w:rFonts w:eastAsia="Times New Roman" w:cs="Times New Roman"/>
          <w:szCs w:val="24"/>
        </w:rPr>
        <w:t>all of</w:t>
      </w:r>
      <w:proofErr w:type="gramEnd"/>
      <w:r w:rsidRPr="00AA4677">
        <w:rPr>
          <w:rFonts w:eastAsia="Times New Roman" w:cs="Times New Roman"/>
          <w:szCs w:val="24"/>
        </w:rPr>
        <w:t xml:space="preserve"> the following conditions are met:</w:t>
      </w:r>
    </w:p>
    <w:p w14:paraId="5601A4AF" w14:textId="31811850" w:rsidR="00201251" w:rsidRPr="00AA4677" w:rsidRDefault="00201251">
      <w:pPr>
        <w:pStyle w:val="ListParagraph"/>
        <w:numPr>
          <w:ilvl w:val="1"/>
          <w:numId w:val="236"/>
        </w:numPr>
        <w:shd w:val="clear" w:color="auto" w:fill="FFFFFF"/>
        <w:tabs>
          <w:tab w:val="clear" w:pos="1080"/>
          <w:tab w:val="num" w:pos="360"/>
          <w:tab w:val="left" w:pos="720"/>
        </w:tabs>
        <w:spacing w:after="0" w:line="240" w:lineRule="auto"/>
        <w:ind w:left="360"/>
        <w:rPr>
          <w:rFonts w:eastAsia="Times New Roman" w:cs="Times New Roman"/>
          <w:szCs w:val="24"/>
        </w:rPr>
      </w:pPr>
      <w:r w:rsidRPr="00AA4677">
        <w:rPr>
          <w:rFonts w:eastAsia="Times New Roman" w:cs="Times New Roman"/>
          <w:szCs w:val="24"/>
        </w:rPr>
        <w:t>There are possible benefits to the subject</w:t>
      </w:r>
    </w:p>
    <w:p w14:paraId="408E7461" w14:textId="39B9D596" w:rsidR="00201251" w:rsidRPr="00AA4677" w:rsidRDefault="00201251">
      <w:pPr>
        <w:pStyle w:val="ListParagraph"/>
        <w:numPr>
          <w:ilvl w:val="1"/>
          <w:numId w:val="236"/>
        </w:numPr>
        <w:shd w:val="clear" w:color="auto" w:fill="FFFFFF"/>
        <w:tabs>
          <w:tab w:val="clear" w:pos="1080"/>
          <w:tab w:val="num" w:pos="360"/>
          <w:tab w:val="left" w:pos="720"/>
        </w:tabs>
        <w:spacing w:after="0" w:line="240" w:lineRule="auto"/>
        <w:ind w:left="360"/>
        <w:rPr>
          <w:rFonts w:eastAsia="Times New Roman" w:cs="Times New Roman"/>
          <w:szCs w:val="24"/>
        </w:rPr>
      </w:pPr>
      <w:r w:rsidRPr="00AA4677">
        <w:rPr>
          <w:rFonts w:eastAsia="Times New Roman" w:cs="Times New Roman"/>
          <w:szCs w:val="24"/>
        </w:rPr>
        <w:t>The study is a clinical trial</w:t>
      </w:r>
    </w:p>
    <w:p w14:paraId="2943BDBA" w14:textId="1D085009" w:rsidR="00201251" w:rsidRPr="00AA4677" w:rsidRDefault="00201251">
      <w:pPr>
        <w:pStyle w:val="ListParagraph"/>
        <w:numPr>
          <w:ilvl w:val="1"/>
          <w:numId w:val="236"/>
        </w:numPr>
        <w:shd w:val="clear" w:color="auto" w:fill="FFFFFF"/>
        <w:tabs>
          <w:tab w:val="clear" w:pos="1080"/>
          <w:tab w:val="num" w:pos="360"/>
          <w:tab w:val="left" w:pos="720"/>
        </w:tabs>
        <w:spacing w:after="0" w:line="240" w:lineRule="auto"/>
        <w:ind w:left="360"/>
        <w:rPr>
          <w:rFonts w:eastAsia="Times New Roman" w:cs="Times New Roman"/>
          <w:szCs w:val="24"/>
        </w:rPr>
      </w:pPr>
      <w:r w:rsidRPr="00AA4677">
        <w:rPr>
          <w:rFonts w:eastAsia="Times New Roman" w:cs="Times New Roman"/>
          <w:szCs w:val="24"/>
        </w:rPr>
        <w:t>There is FDA oversight for the study</w:t>
      </w:r>
    </w:p>
    <w:p w14:paraId="62F31926" w14:textId="00BA042C" w:rsidR="00201251" w:rsidRPr="00AA4677" w:rsidRDefault="00201251">
      <w:pPr>
        <w:pStyle w:val="ListParagraph"/>
        <w:numPr>
          <w:ilvl w:val="1"/>
          <w:numId w:val="236"/>
        </w:numPr>
        <w:shd w:val="clear" w:color="auto" w:fill="FFFFFF"/>
        <w:tabs>
          <w:tab w:val="clear" w:pos="1080"/>
          <w:tab w:val="num" w:pos="360"/>
        </w:tabs>
        <w:spacing w:after="0" w:line="240" w:lineRule="auto"/>
        <w:ind w:left="360"/>
        <w:rPr>
          <w:rFonts w:eastAsia="Times New Roman" w:cs="Times New Roman"/>
          <w:szCs w:val="24"/>
        </w:rPr>
      </w:pPr>
      <w:r w:rsidRPr="00AA4677">
        <w:rPr>
          <w:rFonts w:eastAsia="Times New Roman" w:cs="Times New Roman"/>
          <w:szCs w:val="24"/>
        </w:rPr>
        <w:t>The study includes more than one visit</w:t>
      </w:r>
      <w:r w:rsidR="003C0AB0" w:rsidRPr="00AA4677">
        <w:rPr>
          <w:rFonts w:eastAsia="Times New Roman" w:cs="Times New Roman"/>
          <w:szCs w:val="24"/>
        </w:rPr>
        <w:t xml:space="preserve"> so that the subject can be provided with the translated summary “consent form” at the upcoming visit.</w:t>
      </w:r>
    </w:p>
    <w:p w14:paraId="5991B14D" w14:textId="540A84AE" w:rsidR="00FC174E" w:rsidRPr="00AA4677" w:rsidRDefault="00FC174E" w:rsidP="00C57C98">
      <w:pPr>
        <w:pStyle w:val="Heading3"/>
      </w:pPr>
      <w:r w:rsidRPr="00AA4677">
        <w:t>17.8.3 Handling Visits and Procedures with a Non-</w:t>
      </w:r>
      <w:proofErr w:type="gramStart"/>
      <w:r w:rsidRPr="00AA4677">
        <w:t>English Speaking</w:t>
      </w:r>
      <w:proofErr w:type="gramEnd"/>
      <w:r w:rsidRPr="00AA4677">
        <w:t xml:space="preserve"> Subject </w:t>
      </w:r>
    </w:p>
    <w:p w14:paraId="454BBFCC" w14:textId="0DC14F1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Investigators who are not fluent in the language spoken by the subject are expected to have a qualified </w:t>
      </w:r>
      <w:r w:rsidR="00606526" w:rsidRPr="00AA4677">
        <w:rPr>
          <w:rFonts w:eastAsia="Times New Roman" w:cs="Times New Roman"/>
          <w:szCs w:val="24"/>
        </w:rPr>
        <w:t>interpreter</w:t>
      </w:r>
      <w:r w:rsidRPr="00AA4677">
        <w:rPr>
          <w:rFonts w:eastAsia="Times New Roman" w:cs="Times New Roman"/>
          <w:szCs w:val="24"/>
        </w:rPr>
        <w:t xml:space="preserve"> present (or </w:t>
      </w:r>
      <w:r w:rsidR="00E83B20" w:rsidRPr="00AA4677">
        <w:rPr>
          <w:rFonts w:eastAsia="Times New Roman" w:cs="Times New Roman"/>
          <w:szCs w:val="24"/>
        </w:rPr>
        <w:t>interpreter</w:t>
      </w:r>
      <w:r w:rsidRPr="00AA4677">
        <w:rPr>
          <w:rFonts w:eastAsia="Times New Roman" w:cs="Times New Roman"/>
          <w:szCs w:val="24"/>
        </w:rPr>
        <w:t xml:space="preserve"> service used) for visits/procedures.  This person cannot be a family member if the study is deemed greater than minimal risk to the subject.</w:t>
      </w:r>
    </w:p>
    <w:p w14:paraId="0609D35F" w14:textId="77777777" w:rsidR="00FC174E" w:rsidRPr="00AA4677" w:rsidRDefault="00FC174E" w:rsidP="00696B35">
      <w:pPr>
        <w:pStyle w:val="Heading2"/>
      </w:pPr>
      <w:bookmarkStart w:id="354" w:name="_Toc192678283"/>
      <w:r w:rsidRPr="00AA4677">
        <w:t>17.9 SBU Guidance on the Management of Incidental Findings in Human Research</w:t>
      </w:r>
      <w:bookmarkEnd w:id="354"/>
    </w:p>
    <w:p w14:paraId="61D8D837" w14:textId="16530C8F" w:rsidR="00FC174E" w:rsidRPr="00AA4677" w:rsidRDefault="00FC174E" w:rsidP="00FC174E">
      <w:pPr>
        <w:shd w:val="clear" w:color="auto" w:fill="FFFFFF"/>
        <w:spacing w:before="100" w:beforeAutospacing="1" w:after="100" w:afterAutospacing="1" w:line="240" w:lineRule="auto"/>
        <w:rPr>
          <w:rFonts w:eastAsia="Times New Roman" w:cs="Times New Roman"/>
          <w:i/>
          <w:szCs w:val="24"/>
        </w:rPr>
      </w:pPr>
      <w:r w:rsidRPr="00AA4677">
        <w:rPr>
          <w:rFonts w:eastAsia="Times New Roman" w:cs="Times New Roman"/>
          <w:i/>
          <w:szCs w:val="24"/>
        </w:rPr>
        <w:t>Note: This guidance borrows concepts (with permission) from Yale IRB Policy 720 (</w:t>
      </w:r>
      <w:r w:rsidR="00794F0D" w:rsidRPr="00AA4677">
        <w:rPr>
          <w:rFonts w:eastAsia="Times New Roman" w:cs="Times New Roman"/>
          <w:i/>
          <w:szCs w:val="24"/>
        </w:rPr>
        <w:t xml:space="preserve">Incidental </w:t>
      </w:r>
      <w:r w:rsidRPr="00AA4677">
        <w:rPr>
          <w:rFonts w:eastAsia="Times New Roman" w:cs="Times New Roman"/>
          <w:i/>
          <w:szCs w:val="24"/>
        </w:rPr>
        <w:t>Findings with Possible Health and Safety Significance for Research Participants</w:t>
      </w:r>
      <w:r w:rsidR="00C95575" w:rsidRPr="00AA4677">
        <w:rPr>
          <w:rFonts w:eastAsia="Times New Roman" w:cs="Times New Roman"/>
          <w:i/>
          <w:szCs w:val="24"/>
        </w:rPr>
        <w:t xml:space="preserve">; </w:t>
      </w:r>
      <w:hyperlink r:id="rId135" w:history="1">
        <w:r w:rsidR="00C95575" w:rsidRPr="00696B35">
          <w:rPr>
            <w:rStyle w:val="Hyperlink"/>
            <w:rFonts w:eastAsia="Times New Roman" w:cs="Times New Roman"/>
            <w:i/>
            <w:szCs w:val="24"/>
          </w:rPr>
          <w:t>https://your.yale.edu/policies-procedures/policies/720-irb-policy-720-incidental-findings-possible-health-and-safety</w:t>
        </w:r>
      </w:hyperlink>
      <w:r w:rsidRPr="00AA4677">
        <w:rPr>
          <w:rFonts w:eastAsia="Times New Roman" w:cs="Times New Roman"/>
          <w:i/>
          <w:szCs w:val="24"/>
        </w:rPr>
        <w:t>) and the article ‘Managing Incidental Findings in Human Subjects Research: Analysis and Recommendations’, Wolf et. al. Journal of Law, Medicine and Ethics, </w:t>
      </w:r>
      <w:hyperlink r:id="rId136" w:history="1">
        <w:r w:rsidRPr="00AA4677">
          <w:rPr>
            <w:rFonts w:eastAsia="Times New Roman" w:cs="Times New Roman"/>
            <w:i/>
            <w:szCs w:val="24"/>
          </w:rPr>
          <w:t>Volume 36, Issue 2, </w:t>
        </w:r>
      </w:hyperlink>
      <w:r w:rsidRPr="00AA4677">
        <w:rPr>
          <w:rFonts w:eastAsia="Times New Roman" w:cs="Times New Roman"/>
          <w:i/>
          <w:szCs w:val="24"/>
        </w:rPr>
        <w:t>pages 219–248, Summer 2008.</w:t>
      </w:r>
    </w:p>
    <w:p w14:paraId="56EB9A4F" w14:textId="125F911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Unless specifically addressed otherwise, where the word subject is used in this document, it is meant to encompass adult subjects, minor subjects who assent for research, parents who give permission for those minor subjects, and legally authorized representatives of adult subjects who cannot consent for themselves</w:t>
      </w:r>
      <w:r w:rsidR="009C382E" w:rsidRPr="00AA4677">
        <w:rPr>
          <w:rFonts w:eastAsia="Times New Roman" w:cs="Times New Roman"/>
          <w:szCs w:val="24"/>
        </w:rPr>
        <w:t>.</w:t>
      </w:r>
    </w:p>
    <w:p w14:paraId="278BAADB" w14:textId="6F81B353" w:rsidR="00FC174E" w:rsidRPr="00AA4677" w:rsidRDefault="009C382E" w:rsidP="00C57C98">
      <w:pPr>
        <w:pStyle w:val="Heading3"/>
      </w:pPr>
      <w:r w:rsidRPr="00AA4677">
        <w:t>17.9.1 </w:t>
      </w:r>
      <w:r w:rsidR="00FC174E" w:rsidRPr="00AA4677">
        <w:t>Definition</w:t>
      </w:r>
    </w:p>
    <w:p w14:paraId="4ECC7D81" w14:textId="77777777" w:rsidR="00606526" w:rsidRPr="00AA4677" w:rsidRDefault="00FC174E" w:rsidP="00FC5598">
      <w:pPr>
        <w:shd w:val="clear" w:color="auto" w:fill="FFFFFF"/>
        <w:spacing w:after="0" w:line="240" w:lineRule="auto"/>
        <w:rPr>
          <w:rFonts w:eastAsia="Times New Roman" w:cs="Times New Roman"/>
          <w:b/>
          <w:szCs w:val="24"/>
        </w:rPr>
      </w:pPr>
      <w:r w:rsidRPr="00AA4677">
        <w:rPr>
          <w:rFonts w:eastAsia="Times New Roman" w:cs="Times New Roman"/>
          <w:b/>
          <w:szCs w:val="24"/>
        </w:rPr>
        <w:t>Incidental Finding (IF)</w:t>
      </w:r>
      <w:r w:rsidR="00B97A0A" w:rsidRPr="00AA4677">
        <w:rPr>
          <w:rFonts w:eastAsia="Times New Roman" w:cs="Times New Roman"/>
          <w:b/>
          <w:szCs w:val="24"/>
        </w:rPr>
        <w:t>:</w:t>
      </w:r>
      <w:r w:rsidR="00FC5598" w:rsidRPr="00AA4677">
        <w:rPr>
          <w:rFonts w:eastAsia="Times New Roman" w:cs="Times New Roman"/>
          <w:b/>
          <w:szCs w:val="24"/>
        </w:rPr>
        <w:t xml:space="preserve">  </w:t>
      </w:r>
    </w:p>
    <w:p w14:paraId="0244659E" w14:textId="77777777" w:rsidR="00606526" w:rsidRPr="00AA4677" w:rsidRDefault="00606526" w:rsidP="00FC5598">
      <w:pPr>
        <w:shd w:val="clear" w:color="auto" w:fill="FFFFFF"/>
        <w:spacing w:after="0" w:line="240" w:lineRule="auto"/>
        <w:rPr>
          <w:rFonts w:eastAsia="Times New Roman" w:cs="Times New Roman"/>
          <w:b/>
          <w:szCs w:val="24"/>
        </w:rPr>
      </w:pPr>
    </w:p>
    <w:p w14:paraId="34266B73" w14:textId="520E1B91" w:rsidR="00FC174E" w:rsidRPr="00AA4677" w:rsidRDefault="00FC5598" w:rsidP="00FC5598">
      <w:pPr>
        <w:shd w:val="clear" w:color="auto" w:fill="FFFFFF"/>
        <w:spacing w:after="0" w:line="240" w:lineRule="auto"/>
        <w:rPr>
          <w:rFonts w:eastAsia="Times New Roman" w:cs="Times New Roman"/>
          <w:szCs w:val="24"/>
        </w:rPr>
      </w:pPr>
      <w:r w:rsidRPr="00AA4677">
        <w:rPr>
          <w:rFonts w:eastAsia="Times New Roman" w:cs="Times New Roman"/>
          <w:szCs w:val="24"/>
        </w:rPr>
        <w:t>A finding that</w:t>
      </w:r>
      <w:r w:rsidR="00AD1C1F" w:rsidRPr="00AA4677">
        <w:rPr>
          <w:rFonts w:eastAsia="Times New Roman" w:cs="Times New Roman"/>
          <w:szCs w:val="24"/>
        </w:rPr>
        <w:t>:</w:t>
      </w:r>
    </w:p>
    <w:p w14:paraId="40F4F717" w14:textId="78B235C9" w:rsidR="00FC174E" w:rsidRPr="00AA4677" w:rsidRDefault="00FC174E">
      <w:pPr>
        <w:numPr>
          <w:ilvl w:val="0"/>
          <w:numId w:val="235"/>
        </w:numPr>
        <w:shd w:val="clear" w:color="auto" w:fill="FFFFFF"/>
        <w:spacing w:after="0" w:line="240" w:lineRule="auto"/>
        <w:rPr>
          <w:rFonts w:eastAsia="Times New Roman" w:cs="Times New Roman"/>
          <w:szCs w:val="24"/>
        </w:rPr>
      </w:pPr>
      <w:r w:rsidRPr="00AA4677">
        <w:rPr>
          <w:rFonts w:eastAsia="Times New Roman" w:cs="Times New Roman"/>
          <w:szCs w:val="24"/>
        </w:rPr>
        <w:t>Concerns an individual research subject that has potential health or reproductive importance</w:t>
      </w:r>
      <w:r w:rsidR="00FC5598" w:rsidRPr="00AA4677">
        <w:rPr>
          <w:rFonts w:eastAsia="Times New Roman" w:cs="Times New Roman"/>
          <w:szCs w:val="24"/>
        </w:rPr>
        <w:t>;</w:t>
      </w:r>
      <w:r w:rsidRPr="00AA4677">
        <w:rPr>
          <w:rFonts w:eastAsia="Times New Roman" w:cs="Times New Roman"/>
          <w:szCs w:val="24"/>
        </w:rPr>
        <w:t xml:space="preserve"> and</w:t>
      </w:r>
    </w:p>
    <w:p w14:paraId="10B7FECE" w14:textId="4146725E" w:rsidR="00FC174E" w:rsidRPr="00AA4677" w:rsidRDefault="00FC174E">
      <w:pPr>
        <w:numPr>
          <w:ilvl w:val="0"/>
          <w:numId w:val="235"/>
        </w:numPr>
        <w:shd w:val="clear" w:color="auto" w:fill="FFFFFF"/>
        <w:spacing w:after="0" w:line="240" w:lineRule="auto"/>
        <w:rPr>
          <w:rFonts w:eastAsia="Times New Roman" w:cs="Times New Roman"/>
          <w:szCs w:val="24"/>
        </w:rPr>
      </w:pPr>
      <w:proofErr w:type="gramStart"/>
      <w:r w:rsidRPr="00AA4677">
        <w:rPr>
          <w:rFonts w:eastAsia="Times New Roman" w:cs="Times New Roman"/>
          <w:szCs w:val="24"/>
        </w:rPr>
        <w:t>Is</w:t>
      </w:r>
      <w:proofErr w:type="gramEnd"/>
      <w:r w:rsidRPr="00AA4677">
        <w:rPr>
          <w:rFonts w:eastAsia="Times New Roman" w:cs="Times New Roman"/>
          <w:szCs w:val="24"/>
        </w:rPr>
        <w:t xml:space="preserve"> discovered </w:t>
      </w:r>
      <w:proofErr w:type="gramStart"/>
      <w:r w:rsidRPr="00AA4677">
        <w:rPr>
          <w:rFonts w:eastAsia="Times New Roman" w:cs="Times New Roman"/>
          <w:szCs w:val="24"/>
        </w:rPr>
        <w:t>in the course of</w:t>
      </w:r>
      <w:proofErr w:type="gramEnd"/>
      <w:r w:rsidRPr="00AA4677">
        <w:rPr>
          <w:rFonts w:eastAsia="Times New Roman" w:cs="Times New Roman"/>
          <w:szCs w:val="24"/>
        </w:rPr>
        <w:t xml:space="preserve"> screening for, conducting, or a</w:t>
      </w:r>
      <w:r w:rsidR="00FC5598" w:rsidRPr="00AA4677">
        <w:rPr>
          <w:rFonts w:eastAsia="Times New Roman" w:cs="Times New Roman"/>
          <w:szCs w:val="24"/>
        </w:rPr>
        <w:t xml:space="preserve">nalyzing results from research; </w:t>
      </w:r>
      <w:r w:rsidRPr="00AA4677">
        <w:rPr>
          <w:rFonts w:eastAsia="Times New Roman" w:cs="Times New Roman"/>
          <w:szCs w:val="24"/>
        </w:rPr>
        <w:t>and</w:t>
      </w:r>
    </w:p>
    <w:p w14:paraId="5A39DE43" w14:textId="63061327" w:rsidR="00697894" w:rsidRPr="00AA4677" w:rsidRDefault="00FC174E">
      <w:pPr>
        <w:numPr>
          <w:ilvl w:val="0"/>
          <w:numId w:val="235"/>
        </w:numPr>
        <w:shd w:val="clear" w:color="auto" w:fill="FFFFFF"/>
        <w:spacing w:after="0" w:line="240" w:lineRule="auto"/>
        <w:rPr>
          <w:rFonts w:eastAsia="Times New Roman" w:cs="Times New Roman"/>
          <w:szCs w:val="24"/>
        </w:rPr>
      </w:pPr>
      <w:proofErr w:type="gramStart"/>
      <w:r w:rsidRPr="00AA4677">
        <w:rPr>
          <w:rFonts w:eastAsia="Times New Roman" w:cs="Times New Roman"/>
          <w:szCs w:val="24"/>
        </w:rPr>
        <w:t>Is</w:t>
      </w:r>
      <w:proofErr w:type="gramEnd"/>
      <w:r w:rsidRPr="00AA4677">
        <w:rPr>
          <w:rFonts w:eastAsia="Times New Roman" w:cs="Times New Roman"/>
          <w:szCs w:val="24"/>
        </w:rPr>
        <w:t xml:space="preserve"> beyond the aims of the study, i.e., occurring from variables not directly under study</w:t>
      </w:r>
      <w:r w:rsidR="00FC5598" w:rsidRPr="00AA4677">
        <w:rPr>
          <w:rFonts w:eastAsia="Times New Roman" w:cs="Times New Roman"/>
          <w:szCs w:val="24"/>
        </w:rPr>
        <w:t>.</w:t>
      </w:r>
    </w:p>
    <w:p w14:paraId="6D21C960" w14:textId="5DC964EC" w:rsidR="00FC174E" w:rsidRPr="00AA4677" w:rsidRDefault="00FC174E" w:rsidP="00C57C98">
      <w:pPr>
        <w:pStyle w:val="Heading3"/>
      </w:pPr>
      <w:r w:rsidRPr="00AA4677">
        <w:lastRenderedPageBreak/>
        <w:t>17.9.2 Background </w:t>
      </w:r>
    </w:p>
    <w:p w14:paraId="443758F1" w14:textId="73C8EE99"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Federal regulations [45 CFR 46.111(a)(6)] require that studies have adequate provisions for enrollment screening and data monitoring to ensure the safety of subjects. </w:t>
      </w:r>
      <w:proofErr w:type="gramStart"/>
      <w:r w:rsidRPr="00AA4677">
        <w:rPr>
          <w:rFonts w:eastAsia="Times New Roman" w:cs="Times New Roman"/>
          <w:szCs w:val="24"/>
        </w:rPr>
        <w:t>In the course of</w:t>
      </w:r>
      <w:proofErr w:type="gramEnd"/>
      <w:r w:rsidRPr="00AA4677">
        <w:rPr>
          <w:rFonts w:eastAsia="Times New Roman" w:cs="Times New Roman"/>
          <w:szCs w:val="24"/>
        </w:rPr>
        <w:t xml:space="preserve"> carrying out these provisions, information that is secondary to the goals of the research may be identified which may </w:t>
      </w:r>
      <w:proofErr w:type="gramStart"/>
      <w:r w:rsidRPr="00AA4677">
        <w:rPr>
          <w:rFonts w:eastAsia="Times New Roman" w:cs="Times New Roman"/>
          <w:szCs w:val="24"/>
        </w:rPr>
        <w:t>impact</w:t>
      </w:r>
      <w:proofErr w:type="gramEnd"/>
      <w:r w:rsidRPr="00AA4677">
        <w:rPr>
          <w:rFonts w:eastAsia="Times New Roman" w:cs="Times New Roman"/>
          <w:szCs w:val="24"/>
        </w:rPr>
        <w:t xml:space="preserve"> the safety and/or wellbeing of the </w:t>
      </w:r>
      <w:r w:rsidR="00BF7470" w:rsidRPr="00AA4677">
        <w:rPr>
          <w:rFonts w:eastAsia="Times New Roman" w:cs="Times New Roman"/>
          <w:szCs w:val="24"/>
        </w:rPr>
        <w:t>subject</w:t>
      </w:r>
      <w:r w:rsidRPr="00AA4677">
        <w:rPr>
          <w:rFonts w:eastAsia="Times New Roman" w:cs="Times New Roman"/>
          <w:szCs w:val="24"/>
        </w:rPr>
        <w:t>s.</w:t>
      </w:r>
    </w:p>
    <w:p w14:paraId="1A5BF324" w14:textId="46DB1E5F"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These IF’s have risks and benefits associated with them. For example, discovery of a possible abnormality </w:t>
      </w:r>
      <w:proofErr w:type="gramStart"/>
      <w:r w:rsidRPr="00AA4677">
        <w:rPr>
          <w:rFonts w:eastAsia="Times New Roman" w:cs="Times New Roman"/>
          <w:szCs w:val="24"/>
        </w:rPr>
        <w:t>during the course of</w:t>
      </w:r>
      <w:proofErr w:type="gramEnd"/>
      <w:r w:rsidRPr="00AA4677">
        <w:rPr>
          <w:rFonts w:eastAsia="Times New Roman" w:cs="Times New Roman"/>
          <w:szCs w:val="24"/>
        </w:rPr>
        <w:t xml:space="preserve"> a research-related fMRI study may lead to anxiety, as well as costs of further evaluation to determine clinical relevance (</w:t>
      </w:r>
      <w:proofErr w:type="gramStart"/>
      <w:r w:rsidRPr="00AA4677">
        <w:rPr>
          <w:rFonts w:eastAsia="Times New Roman" w:cs="Times New Roman"/>
          <w:szCs w:val="24"/>
        </w:rPr>
        <w:t>whether or not</w:t>
      </w:r>
      <w:proofErr w:type="gramEnd"/>
      <w:r w:rsidRPr="00AA4677">
        <w:rPr>
          <w:rFonts w:eastAsia="Times New Roman" w:cs="Times New Roman"/>
          <w:szCs w:val="24"/>
        </w:rPr>
        <w:t xml:space="preserve"> it ultimately turns out to be clinically relevant). However, an IF may also save a subject’s life, </w:t>
      </w:r>
      <w:proofErr w:type="gramStart"/>
      <w:r w:rsidRPr="00AA4677">
        <w:rPr>
          <w:rFonts w:eastAsia="Times New Roman" w:cs="Times New Roman"/>
          <w:szCs w:val="24"/>
        </w:rPr>
        <w:t>if,</w:t>
      </w:r>
      <w:proofErr w:type="gramEnd"/>
      <w:r w:rsidRPr="00AA4677">
        <w:rPr>
          <w:rFonts w:eastAsia="Times New Roman" w:cs="Times New Roman"/>
          <w:szCs w:val="24"/>
        </w:rPr>
        <w:t xml:space="preserve"> e.g. that abnormality turns out to be an operable brain tumor. It is important, and res</w:t>
      </w:r>
      <w:r w:rsidR="00606526" w:rsidRPr="00AA4677">
        <w:rPr>
          <w:rFonts w:eastAsia="Times New Roman" w:cs="Times New Roman"/>
          <w:szCs w:val="24"/>
        </w:rPr>
        <w:t xml:space="preserve">pectful </w:t>
      </w:r>
      <w:proofErr w:type="gramStart"/>
      <w:r w:rsidR="00606526" w:rsidRPr="00AA4677">
        <w:rPr>
          <w:rFonts w:eastAsia="Times New Roman" w:cs="Times New Roman"/>
          <w:szCs w:val="24"/>
        </w:rPr>
        <w:t>to</w:t>
      </w:r>
      <w:proofErr w:type="gramEnd"/>
      <w:r w:rsidR="00606526" w:rsidRPr="00AA4677">
        <w:rPr>
          <w:rFonts w:eastAsia="Times New Roman" w:cs="Times New Roman"/>
          <w:szCs w:val="24"/>
        </w:rPr>
        <w:t xml:space="preserve"> the potential subjec</w:t>
      </w:r>
      <w:r w:rsidRPr="00AA4677">
        <w:rPr>
          <w:rFonts w:eastAsia="Times New Roman" w:cs="Times New Roman"/>
          <w:szCs w:val="24"/>
        </w:rPr>
        <w:t xml:space="preserve">s, to be clear in the consent process regarding the possibility of IFs, and procedures to be followed if they are uncovered. This information may impact a subject’s willingness to participate </w:t>
      </w:r>
      <w:proofErr w:type="gramStart"/>
      <w:r w:rsidRPr="00AA4677">
        <w:rPr>
          <w:rFonts w:eastAsia="Times New Roman" w:cs="Times New Roman"/>
          <w:szCs w:val="24"/>
        </w:rPr>
        <w:t>in a given</w:t>
      </w:r>
      <w:proofErr w:type="gramEnd"/>
      <w:r w:rsidRPr="00AA4677">
        <w:rPr>
          <w:rFonts w:eastAsia="Times New Roman" w:cs="Times New Roman"/>
          <w:szCs w:val="24"/>
        </w:rPr>
        <w:t xml:space="preserve"> research study.</w:t>
      </w:r>
    </w:p>
    <w:p w14:paraId="548B5A88" w14:textId="5363B1E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It is not the intent of this guidance to imply that </w:t>
      </w:r>
      <w:r w:rsidR="007E68D3" w:rsidRPr="00AA4677">
        <w:rPr>
          <w:rFonts w:eastAsia="Times New Roman" w:cs="Times New Roman"/>
          <w:szCs w:val="24"/>
        </w:rPr>
        <w:t>investigator</w:t>
      </w:r>
      <w:r w:rsidRPr="00AA4677">
        <w:rPr>
          <w:rFonts w:eastAsia="Times New Roman" w:cs="Times New Roman"/>
          <w:szCs w:val="24"/>
        </w:rPr>
        <w:t xml:space="preserve">s have an obligation to proactively search for IFs in research data/scans. It is important during the consent process to ensure that the subject understands that the goal of research is to collect data to answer the study aims, not to provide health information to individuals. It is also important not to foster a ‘therapeutic misconception’, i.e., that participation in a research activity will yield clinical benefit, or that the absence of </w:t>
      </w:r>
      <w:r w:rsidR="00606526" w:rsidRPr="00AA4677">
        <w:rPr>
          <w:rFonts w:eastAsia="Times New Roman" w:cs="Times New Roman"/>
          <w:szCs w:val="24"/>
        </w:rPr>
        <w:t>an IF</w:t>
      </w:r>
      <w:r w:rsidRPr="00AA4677">
        <w:rPr>
          <w:rFonts w:eastAsia="Times New Roman" w:cs="Times New Roman"/>
          <w:szCs w:val="24"/>
        </w:rPr>
        <w:t xml:space="preserve"> implies a ‘clean bill of health’.</w:t>
      </w:r>
    </w:p>
    <w:p w14:paraId="011D04ED" w14:textId="12318F9F" w:rsidR="00FC174E" w:rsidRPr="00AA4677" w:rsidRDefault="00FC174E" w:rsidP="00C57C98">
      <w:pPr>
        <w:pStyle w:val="Heading3"/>
      </w:pPr>
      <w:r w:rsidRPr="00AA4677">
        <w:t>17.9.3 Procedures for IFs that are Reasonably Foreseeable</w:t>
      </w:r>
    </w:p>
    <w:p w14:paraId="5152B2B1" w14:textId="11A4CE95"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Certain types of research, e.g., research involving certain genetic/genomic analyses, or experimental scanning (MRI, CT, PET etc</w:t>
      </w:r>
      <w:r w:rsidR="00FC5598" w:rsidRPr="00AA4677">
        <w:rPr>
          <w:rFonts w:eastAsia="Times New Roman" w:cs="Times New Roman"/>
          <w:szCs w:val="24"/>
        </w:rPr>
        <w:t>.</w:t>
      </w:r>
      <w:r w:rsidRPr="00AA4677">
        <w:rPr>
          <w:rFonts w:eastAsia="Times New Roman" w:cs="Times New Roman"/>
          <w:szCs w:val="24"/>
        </w:rPr>
        <w:t xml:space="preserve">), have a high potential for discovery of IF’s. In developing these, and other types of research studies, Principal Investigators have an ethical obligation to subjects to assess the ‘reasonably foreseeable’ potential for IF’s, identify and assess the types of </w:t>
      </w:r>
      <w:proofErr w:type="gramStart"/>
      <w:r w:rsidRPr="00AA4677">
        <w:rPr>
          <w:rFonts w:eastAsia="Times New Roman" w:cs="Times New Roman"/>
          <w:szCs w:val="24"/>
        </w:rPr>
        <w:t>IF’s</w:t>
      </w:r>
      <w:proofErr w:type="gramEnd"/>
      <w:r w:rsidRPr="00AA4677">
        <w:rPr>
          <w:rFonts w:eastAsia="Times New Roman" w:cs="Times New Roman"/>
          <w:szCs w:val="24"/>
        </w:rPr>
        <w:t xml:space="preserve"> possible, and procedures to be followed for disclosure to subject</w:t>
      </w:r>
      <w:r w:rsidR="00B749F0" w:rsidRPr="00AA4677">
        <w:rPr>
          <w:rFonts w:eastAsia="Times New Roman" w:cs="Times New Roman"/>
          <w:szCs w:val="24"/>
        </w:rPr>
        <w:t>s</w:t>
      </w:r>
      <w:r w:rsidRPr="00AA4677">
        <w:rPr>
          <w:rFonts w:eastAsia="Times New Roman" w:cs="Times New Roman"/>
          <w:szCs w:val="24"/>
        </w:rPr>
        <w:t>.</w:t>
      </w:r>
    </w:p>
    <w:p w14:paraId="6C9E0BC9" w14:textId="58F6D89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 </w:t>
      </w:r>
      <w:r w:rsidR="00372F89" w:rsidRPr="00AA4677">
        <w:rPr>
          <w:rFonts w:eastAsia="Times New Roman" w:cs="Times New Roman"/>
          <w:szCs w:val="24"/>
        </w:rPr>
        <w:t>PI</w:t>
      </w:r>
      <w:r w:rsidRPr="00AA4677">
        <w:rPr>
          <w:rFonts w:eastAsia="Times New Roman" w:cs="Times New Roman"/>
          <w:szCs w:val="24"/>
        </w:rPr>
        <w:t xml:space="preserve"> has primary, hands on, responsibility in this process. Members of the study team must be knowledgeable of the plan such that suspected </w:t>
      </w:r>
      <w:proofErr w:type="gramStart"/>
      <w:r w:rsidRPr="00AA4677">
        <w:rPr>
          <w:rFonts w:eastAsia="Times New Roman" w:cs="Times New Roman"/>
          <w:szCs w:val="24"/>
        </w:rPr>
        <w:t>IF’s</w:t>
      </w:r>
      <w:proofErr w:type="gramEnd"/>
      <w:r w:rsidRPr="00AA4677">
        <w:rPr>
          <w:rFonts w:eastAsia="Times New Roman" w:cs="Times New Roman"/>
          <w:szCs w:val="24"/>
        </w:rPr>
        <w:t xml:space="preserve"> are reported to the PI for implementing the plan from that point forward.</w:t>
      </w:r>
    </w:p>
    <w:p w14:paraId="0637215F" w14:textId="10AAFE2B" w:rsidR="00FC174E" w:rsidRPr="00AA4677" w:rsidRDefault="00FC174E" w:rsidP="00C57C98">
      <w:pPr>
        <w:pStyle w:val="Heading3"/>
      </w:pPr>
      <w:r w:rsidRPr="00AA4677">
        <w:t xml:space="preserve">17.9.4 Submission to </w:t>
      </w:r>
      <w:r w:rsidR="00372F89" w:rsidRPr="00AA4677">
        <w:t xml:space="preserve">the </w:t>
      </w:r>
      <w:r w:rsidR="00EE7207" w:rsidRPr="00AA4677">
        <w:t>IRB</w:t>
      </w:r>
    </w:p>
    <w:p w14:paraId="0C07FD07" w14:textId="0AE5773D"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 xml:space="preserve">The submission to </w:t>
      </w:r>
      <w:r w:rsidR="00372F89" w:rsidRPr="00AA4677">
        <w:rPr>
          <w:rFonts w:eastAsia="Times New Roman" w:cs="Times New Roman"/>
          <w:b/>
          <w:bCs/>
          <w:szCs w:val="24"/>
        </w:rPr>
        <w:t xml:space="preserve">the </w:t>
      </w:r>
      <w:r w:rsidR="00EE7207" w:rsidRPr="00AA4677">
        <w:rPr>
          <w:rFonts w:eastAsia="Times New Roman" w:cs="Times New Roman"/>
          <w:b/>
          <w:szCs w:val="24"/>
        </w:rPr>
        <w:t>IRB</w:t>
      </w:r>
      <w:r w:rsidRPr="00AA4677">
        <w:rPr>
          <w:rFonts w:eastAsia="Times New Roman" w:cs="Times New Roman"/>
          <w:b/>
          <w:bCs/>
          <w:szCs w:val="24"/>
        </w:rPr>
        <w:t xml:space="preserve"> should include:</w:t>
      </w:r>
    </w:p>
    <w:p w14:paraId="29829BE8" w14:textId="77777777" w:rsidR="00FC174E" w:rsidRPr="00AA4677" w:rsidRDefault="00FC174E">
      <w:pPr>
        <w:numPr>
          <w:ilvl w:val="0"/>
          <w:numId w:val="23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lastRenderedPageBreak/>
        <w:t>A summary of the assessment referenced above, i.e., a general description of the IF’s that are possible in the activity, </w:t>
      </w:r>
      <w:r w:rsidRPr="00AA4677">
        <w:rPr>
          <w:rFonts w:eastAsia="Times New Roman" w:cs="Times New Roman"/>
          <w:szCs w:val="24"/>
        </w:rPr>
        <w:t xml:space="preserve">along with incidence of occurrence (based on available literature). As examples, </w:t>
      </w:r>
      <w:proofErr w:type="gramStart"/>
      <w:r w:rsidRPr="00AA4677">
        <w:rPr>
          <w:rFonts w:eastAsia="Times New Roman" w:cs="Times New Roman"/>
          <w:szCs w:val="24"/>
        </w:rPr>
        <w:t>MRI’s</w:t>
      </w:r>
      <w:proofErr w:type="gramEnd"/>
      <w:r w:rsidRPr="00AA4677">
        <w:rPr>
          <w:rFonts w:eastAsia="Times New Roman" w:cs="Times New Roman"/>
          <w:szCs w:val="24"/>
        </w:rPr>
        <w:t xml:space="preserve"> could uncover possible tumors or evidence of prior stroke; genetic analyses could uncover questions of paternity. </w:t>
      </w:r>
    </w:p>
    <w:p w14:paraId="12A3ED20" w14:textId="77777777" w:rsidR="00FC174E" w:rsidRPr="00AA4677" w:rsidRDefault="00FC174E">
      <w:pPr>
        <w:numPr>
          <w:ilvl w:val="0"/>
          <w:numId w:val="23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Consideration should also be made regarding the need to re-contact the subject, if future analyses of data may uncover IF’s after participation has ended.</w:t>
      </w:r>
    </w:p>
    <w:p w14:paraId="35CC8FEF" w14:textId="77777777" w:rsidR="00FC174E" w:rsidRPr="00AA4677" w:rsidRDefault="00FC174E">
      <w:pPr>
        <w:numPr>
          <w:ilvl w:val="0"/>
          <w:numId w:val="23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The plan, if any, for assessing the significance of IF’s, including involvement of outside consultants/experts to assist in said assessment</w:t>
      </w:r>
      <w:r w:rsidRPr="00AA4677">
        <w:rPr>
          <w:rFonts w:eastAsia="Times New Roman" w:cs="Times New Roman"/>
          <w:szCs w:val="24"/>
        </w:rPr>
        <w:t>.</w:t>
      </w:r>
    </w:p>
    <w:p w14:paraId="03BA9D38" w14:textId="5970E25F" w:rsidR="00FC174E" w:rsidRPr="00AA4677" w:rsidRDefault="00FC174E">
      <w:pPr>
        <w:numPr>
          <w:ilvl w:val="0"/>
          <w:numId w:val="23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This assessment is not for the purpose of determining whether or not to inform the subject, but for the purpose of gathering information to provide to the subject so that they can weigh for themselves th</w:t>
      </w:r>
      <w:r w:rsidR="00372F89" w:rsidRPr="00AA4677">
        <w:rPr>
          <w:rFonts w:eastAsia="Times New Roman" w:cs="Times New Roman"/>
          <w:szCs w:val="24"/>
        </w:rPr>
        <w:t>e IF’s associated ‘risks’ (e.g.</w:t>
      </w:r>
      <w:r w:rsidRPr="00AA4677">
        <w:rPr>
          <w:rFonts w:eastAsia="Times New Roman" w:cs="Times New Roman"/>
          <w:szCs w:val="24"/>
        </w:rPr>
        <w:t xml:space="preserve"> anxiety, possible costs of follow-up) , ‘benefits’ (e.g. discovery of an operable tumor), and need for follow-up.  </w:t>
      </w:r>
    </w:p>
    <w:p w14:paraId="292E1535" w14:textId="77777777" w:rsidR="00FC174E" w:rsidRPr="00AA4677" w:rsidRDefault="00FC174E">
      <w:pPr>
        <w:numPr>
          <w:ilvl w:val="0"/>
          <w:numId w:val="23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Any involvement with outside individuals or departments should be in place prior to commencement of the activity (and associated costs, if anticipated, should be built into the budget). If applicable, these arrangements should be addressed in the consent process so that the subject can consent to their information being shared in this manner for IF assessment. </w:t>
      </w:r>
    </w:p>
    <w:p w14:paraId="67F05E01" w14:textId="77777777" w:rsidR="00FC174E" w:rsidRPr="00AA4677" w:rsidRDefault="00FC174E" w:rsidP="005B0A8C">
      <w:pPr>
        <w:numPr>
          <w:ilvl w:val="0"/>
          <w:numId w:val="234"/>
        </w:numPr>
        <w:shd w:val="clear" w:color="auto" w:fill="FFFFFF"/>
        <w:spacing w:after="0" w:line="240" w:lineRule="auto"/>
        <w:rPr>
          <w:rFonts w:eastAsia="Times New Roman" w:cs="Times New Roman"/>
          <w:szCs w:val="24"/>
        </w:rPr>
      </w:pPr>
      <w:r w:rsidRPr="00AA4677">
        <w:rPr>
          <w:rFonts w:eastAsia="Times New Roman" w:cs="Times New Roman"/>
          <w:b/>
          <w:bCs/>
          <w:szCs w:val="24"/>
        </w:rPr>
        <w:t>The process to be followed for disclosure to the subject:</w:t>
      </w:r>
    </w:p>
    <w:p w14:paraId="0B533EB5" w14:textId="713D1ACA" w:rsidR="00FC174E" w:rsidRPr="00AA4677" w:rsidRDefault="00FC174E" w:rsidP="005B0A8C">
      <w:pPr>
        <w:numPr>
          <w:ilvl w:val="1"/>
          <w:numId w:val="330"/>
        </w:numPr>
        <w:shd w:val="clear" w:color="auto" w:fill="FFFFFF"/>
        <w:spacing w:after="0" w:line="240" w:lineRule="auto"/>
        <w:ind w:left="720"/>
        <w:rPr>
          <w:rFonts w:eastAsia="Times New Roman" w:cs="Times New Roman"/>
          <w:szCs w:val="24"/>
        </w:rPr>
      </w:pPr>
      <w:r w:rsidRPr="00AA4677">
        <w:rPr>
          <w:rFonts w:eastAsia="Times New Roman" w:cs="Times New Roman"/>
          <w:szCs w:val="24"/>
        </w:rPr>
        <w:t xml:space="preserve">Depending on the types of potential IFs and/or potential clinically meaningful findings, disclosure to the subject may need to be conducted by a licensed physician (or psychologist, genetic counselor, or other professional as appropriate). If nonprofessional study personnel are to be responsible for conveying test results, they may want to consult beforehand with such professionals </w:t>
      </w:r>
      <w:proofErr w:type="gramStart"/>
      <w:r w:rsidRPr="00AA4677">
        <w:rPr>
          <w:rFonts w:eastAsia="Times New Roman" w:cs="Times New Roman"/>
          <w:szCs w:val="24"/>
        </w:rPr>
        <w:t>in order to</w:t>
      </w:r>
      <w:proofErr w:type="gramEnd"/>
      <w:r w:rsidRPr="00AA4677">
        <w:rPr>
          <w:rFonts w:eastAsia="Times New Roman" w:cs="Times New Roman"/>
          <w:szCs w:val="24"/>
        </w:rPr>
        <w:t xml:space="preserve"> be able to conduct an informative discussion with the subject. These details should be included in the plan submitted to</w:t>
      </w:r>
      <w:r w:rsidR="00372F89" w:rsidRPr="00AA4677">
        <w:rPr>
          <w:rFonts w:eastAsia="Times New Roman" w:cs="Times New Roman"/>
          <w:szCs w:val="24"/>
        </w:rPr>
        <w:t xml:space="preserve"> the</w:t>
      </w:r>
      <w:r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w:t>
      </w:r>
    </w:p>
    <w:p w14:paraId="13996047" w14:textId="7D3120D8" w:rsidR="00FC174E" w:rsidRPr="00AA4677" w:rsidRDefault="00FC174E">
      <w:pPr>
        <w:numPr>
          <w:ilvl w:val="1"/>
          <w:numId w:val="330"/>
        </w:numPr>
        <w:shd w:val="clear" w:color="auto" w:fill="FFFFFF"/>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The default for IF disclosure should be that such disclosure is made directly to the subject, consistent with respect for the subject, and the subject’s control of his/her own information. </w:t>
      </w:r>
      <w:r w:rsidRPr="00AA4677">
        <w:rPr>
          <w:rFonts w:eastAsia="Times New Roman" w:cs="Times New Roman"/>
          <w:b/>
          <w:bCs/>
          <w:szCs w:val="24"/>
        </w:rPr>
        <w:t xml:space="preserve">However, when the possibility of finding medically significant IFs in a research study is expected to be high, the subjects should be asked during the consent process if they will agree to disclosure by the </w:t>
      </w:r>
      <w:r w:rsidR="007E68D3" w:rsidRPr="00AA4677">
        <w:rPr>
          <w:rFonts w:eastAsia="Times New Roman" w:cs="Times New Roman"/>
          <w:b/>
          <w:bCs/>
          <w:szCs w:val="24"/>
        </w:rPr>
        <w:t>investigator</w:t>
      </w:r>
      <w:r w:rsidRPr="00AA4677">
        <w:rPr>
          <w:rFonts w:eastAsia="Times New Roman" w:cs="Times New Roman"/>
          <w:b/>
          <w:bCs/>
          <w:szCs w:val="24"/>
        </w:rPr>
        <w:t xml:space="preserve"> to their primary care physician.</w:t>
      </w:r>
      <w:r w:rsidRPr="00AA4677">
        <w:rPr>
          <w:rFonts w:eastAsia="Times New Roman" w:cs="Times New Roman"/>
          <w:szCs w:val="24"/>
        </w:rPr>
        <w:t>  If the subject does not have a physician, the subject may be offered SBU University Hospital’s HealthConnect service, phone # 444-4000, which can provide guidance and appointments wi</w:t>
      </w:r>
      <w:r w:rsidR="00606526" w:rsidRPr="00AA4677">
        <w:rPr>
          <w:rFonts w:eastAsia="Times New Roman" w:cs="Times New Roman"/>
          <w:szCs w:val="24"/>
        </w:rPr>
        <w:t>th a primary care physician. Stony Brook</w:t>
      </w:r>
      <w:r w:rsidRPr="00AA4677">
        <w:rPr>
          <w:rFonts w:eastAsia="Times New Roman" w:cs="Times New Roman"/>
          <w:szCs w:val="24"/>
        </w:rPr>
        <w:t xml:space="preserve"> University Hospital also has a financial assistance/ charity care program which can be reached at 444-4331</w:t>
      </w:r>
    </w:p>
    <w:p w14:paraId="7E0F31F2" w14:textId="7DEA56EF" w:rsidR="00FC174E" w:rsidRPr="00AA4677" w:rsidRDefault="00FC174E">
      <w:pPr>
        <w:numPr>
          <w:ilvl w:val="1"/>
          <w:numId w:val="330"/>
        </w:numPr>
        <w:shd w:val="clear" w:color="auto" w:fill="FFFFFF"/>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 xml:space="preserve">Depending on the specific IF revealed, the </w:t>
      </w:r>
      <w:r w:rsidR="007E68D3" w:rsidRPr="00AA4677">
        <w:rPr>
          <w:rFonts w:eastAsia="Times New Roman" w:cs="Times New Roman"/>
          <w:szCs w:val="24"/>
        </w:rPr>
        <w:t>investigator</w:t>
      </w:r>
      <w:r w:rsidRPr="00AA4677">
        <w:rPr>
          <w:rFonts w:eastAsia="Times New Roman" w:cs="Times New Roman"/>
          <w:szCs w:val="24"/>
        </w:rPr>
        <w:t xml:space="preserve"> may suggest a specialist, such as</w:t>
      </w:r>
      <w:r w:rsidR="00606526" w:rsidRPr="00AA4677">
        <w:rPr>
          <w:rFonts w:eastAsia="Times New Roman" w:cs="Times New Roman"/>
          <w:szCs w:val="24"/>
        </w:rPr>
        <w:t xml:space="preserve"> an</w:t>
      </w:r>
      <w:r w:rsidRPr="00AA4677">
        <w:rPr>
          <w:rFonts w:eastAsia="Times New Roman" w:cs="Times New Roman"/>
          <w:szCs w:val="24"/>
        </w:rPr>
        <w:t xml:space="preserve"> oncologist.  To ease the subject’s anxiety, the more significant the IF, the more rapidly this step should occur, and the more sensitive the </w:t>
      </w:r>
      <w:r w:rsidR="007E68D3" w:rsidRPr="00AA4677">
        <w:rPr>
          <w:rFonts w:eastAsia="Times New Roman" w:cs="Times New Roman"/>
          <w:szCs w:val="24"/>
        </w:rPr>
        <w:t>investigator</w:t>
      </w:r>
      <w:r w:rsidRPr="00AA4677">
        <w:rPr>
          <w:rFonts w:eastAsia="Times New Roman" w:cs="Times New Roman"/>
          <w:szCs w:val="24"/>
        </w:rPr>
        <w:t xml:space="preserve"> must be in communicating the IF to the subject, using assistance as needed (e.g. notice of possible cancer may require the presence of an oncologist who can immediately address questions and concerns etc.).</w:t>
      </w:r>
    </w:p>
    <w:p w14:paraId="27FC0CEC" w14:textId="77777777" w:rsidR="00FC174E" w:rsidRPr="00AA4677" w:rsidRDefault="00FC174E">
      <w:pPr>
        <w:numPr>
          <w:ilvl w:val="1"/>
          <w:numId w:val="331"/>
        </w:numPr>
        <w:shd w:val="clear" w:color="auto" w:fill="FFFFFF"/>
        <w:tabs>
          <w:tab w:val="clear" w:pos="108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lastRenderedPageBreak/>
        <w:t>When future analyses are done on study data that has been de-identified, it may be impossible to let subjects know individual results. However, data should not be de-identified for the sole purpose of avoiding a responsibility to report IFs.</w:t>
      </w:r>
    </w:p>
    <w:p w14:paraId="0B8884E4" w14:textId="77777777" w:rsidR="00FC174E" w:rsidRPr="00AA4677" w:rsidRDefault="00FC174E">
      <w:pPr>
        <w:numPr>
          <w:ilvl w:val="0"/>
          <w:numId w:val="61"/>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szCs w:val="24"/>
        </w:rPr>
        <w:t>The plan for informing subjects in the consent process of the potential for IF’s</w:t>
      </w:r>
      <w:r w:rsidRPr="00AA4677">
        <w:rPr>
          <w:rFonts w:eastAsia="Times New Roman" w:cs="Times New Roman"/>
          <w:szCs w:val="24"/>
        </w:rPr>
        <w:t>, including:</w:t>
      </w:r>
    </w:p>
    <w:p w14:paraId="0F5ED96D" w14:textId="341F936C" w:rsidR="00FC174E" w:rsidRPr="00AA4677" w:rsidRDefault="00372F89">
      <w:pPr>
        <w:numPr>
          <w:ilvl w:val="1"/>
          <w:numId w:val="332"/>
        </w:numPr>
        <w:shd w:val="clear" w:color="auto" w:fill="FFFFFF"/>
        <w:tabs>
          <w:tab w:val="clear" w:pos="108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P</w:t>
      </w:r>
      <w:r w:rsidR="00FC174E" w:rsidRPr="00AA4677">
        <w:rPr>
          <w:rFonts w:eastAsia="Times New Roman" w:cs="Times New Roman"/>
          <w:szCs w:val="24"/>
        </w:rPr>
        <w:t>robabilities of occurrence (based on available literature),</w:t>
      </w:r>
    </w:p>
    <w:p w14:paraId="44C7DFB9" w14:textId="2B1E5347" w:rsidR="00FC174E" w:rsidRPr="00AA4677" w:rsidRDefault="00372F89">
      <w:pPr>
        <w:numPr>
          <w:ilvl w:val="1"/>
          <w:numId w:val="332"/>
        </w:numPr>
        <w:shd w:val="clear" w:color="auto" w:fill="FFFFFF"/>
        <w:tabs>
          <w:tab w:val="clear" w:pos="108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T</w:t>
      </w:r>
      <w:r w:rsidR="00FC174E" w:rsidRPr="00AA4677">
        <w:rPr>
          <w:rFonts w:eastAsia="Times New Roman" w:cs="Times New Roman"/>
          <w:szCs w:val="24"/>
        </w:rPr>
        <w:t xml:space="preserve">he foreseeable risks and benefits associated with the types of </w:t>
      </w:r>
      <w:proofErr w:type="gramStart"/>
      <w:r w:rsidR="00FC174E" w:rsidRPr="00AA4677">
        <w:rPr>
          <w:rFonts w:eastAsia="Times New Roman" w:cs="Times New Roman"/>
          <w:szCs w:val="24"/>
        </w:rPr>
        <w:t>IF’s</w:t>
      </w:r>
      <w:proofErr w:type="gramEnd"/>
      <w:r w:rsidR="00FC174E" w:rsidRPr="00AA4677">
        <w:rPr>
          <w:rFonts w:eastAsia="Times New Roman" w:cs="Times New Roman"/>
          <w:szCs w:val="24"/>
        </w:rPr>
        <w:t xml:space="preserve"> that are possible</w:t>
      </w:r>
    </w:p>
    <w:p w14:paraId="42DE8DBB" w14:textId="177A6D3F" w:rsidR="00FC174E" w:rsidRPr="00AA4677" w:rsidRDefault="00372F89">
      <w:pPr>
        <w:numPr>
          <w:ilvl w:val="1"/>
          <w:numId w:val="332"/>
        </w:numPr>
        <w:shd w:val="clear" w:color="auto" w:fill="FFFFFF"/>
        <w:tabs>
          <w:tab w:val="clear" w:pos="108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H</w:t>
      </w:r>
      <w:r w:rsidR="00FC174E" w:rsidRPr="00AA4677">
        <w:rPr>
          <w:rFonts w:eastAsia="Times New Roman" w:cs="Times New Roman"/>
          <w:szCs w:val="24"/>
        </w:rPr>
        <w:t>ow the IF’s may be uncovered, e.g., during screening, procedures performed for research, future analysis of results, etc.</w:t>
      </w:r>
    </w:p>
    <w:p w14:paraId="6EF00A62" w14:textId="284982A1" w:rsidR="00FC174E" w:rsidRPr="00AA4677" w:rsidRDefault="00372F89">
      <w:pPr>
        <w:numPr>
          <w:ilvl w:val="1"/>
          <w:numId w:val="332"/>
        </w:numPr>
        <w:shd w:val="clear" w:color="auto" w:fill="FFFFFF"/>
        <w:tabs>
          <w:tab w:val="clear" w:pos="108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S</w:t>
      </w:r>
      <w:r w:rsidR="00FC174E" w:rsidRPr="00AA4677">
        <w:rPr>
          <w:rFonts w:eastAsia="Times New Roman" w:cs="Times New Roman"/>
          <w:szCs w:val="24"/>
        </w:rPr>
        <w:t xml:space="preserve">tatement that payment for any clinical follow-up </w:t>
      </w:r>
      <w:proofErr w:type="gramStart"/>
      <w:r w:rsidR="00FC174E" w:rsidRPr="00AA4677">
        <w:rPr>
          <w:rFonts w:eastAsia="Times New Roman" w:cs="Times New Roman"/>
          <w:szCs w:val="24"/>
        </w:rPr>
        <w:t>as a result of</w:t>
      </w:r>
      <w:proofErr w:type="gramEnd"/>
      <w:r w:rsidR="00FC174E" w:rsidRPr="00AA4677">
        <w:rPr>
          <w:rFonts w:eastAsia="Times New Roman" w:cs="Times New Roman"/>
          <w:szCs w:val="24"/>
        </w:rPr>
        <w:t xml:space="preserve"> being informed of an IF will be the subject’s responsibility. If the subject, or subject population, has no health insurance, the </w:t>
      </w:r>
      <w:r w:rsidR="007E68D3" w:rsidRPr="00AA4677">
        <w:rPr>
          <w:rFonts w:eastAsia="Times New Roman" w:cs="Times New Roman"/>
          <w:szCs w:val="24"/>
        </w:rPr>
        <w:t>investigator</w:t>
      </w:r>
      <w:r w:rsidR="00FC174E" w:rsidRPr="00AA4677">
        <w:rPr>
          <w:rFonts w:eastAsia="Times New Roman" w:cs="Times New Roman"/>
          <w:szCs w:val="24"/>
        </w:rPr>
        <w:t xml:space="preserve"> should advise the </w:t>
      </w:r>
      <w:r w:rsidR="00BF7470" w:rsidRPr="00AA4677">
        <w:rPr>
          <w:rFonts w:eastAsia="Times New Roman" w:cs="Times New Roman"/>
          <w:szCs w:val="24"/>
        </w:rPr>
        <w:t>subject</w:t>
      </w:r>
      <w:r w:rsidR="00FC174E" w:rsidRPr="00AA4677">
        <w:rPr>
          <w:rFonts w:eastAsia="Times New Roman" w:cs="Times New Roman"/>
          <w:szCs w:val="24"/>
        </w:rPr>
        <w:t xml:space="preserve"> of available avenues for accessing follow-up or should know to whom to refer the </w:t>
      </w:r>
      <w:r w:rsidR="00BF7470" w:rsidRPr="00AA4677">
        <w:rPr>
          <w:rFonts w:eastAsia="Times New Roman" w:cs="Times New Roman"/>
          <w:szCs w:val="24"/>
        </w:rPr>
        <w:t>subject</w:t>
      </w:r>
      <w:r w:rsidR="00FC174E" w:rsidRPr="00AA4677">
        <w:rPr>
          <w:rFonts w:eastAsia="Times New Roman" w:cs="Times New Roman"/>
          <w:szCs w:val="24"/>
        </w:rPr>
        <w:t xml:space="preserve"> for </w:t>
      </w:r>
      <w:r w:rsidR="00606526" w:rsidRPr="00AA4677">
        <w:rPr>
          <w:rFonts w:eastAsia="Times New Roman" w:cs="Times New Roman"/>
          <w:szCs w:val="24"/>
        </w:rPr>
        <w:t>information and counseling.  Stony Brook</w:t>
      </w:r>
      <w:r w:rsidR="00FC174E" w:rsidRPr="00AA4677">
        <w:rPr>
          <w:rFonts w:eastAsia="Times New Roman" w:cs="Times New Roman"/>
          <w:szCs w:val="24"/>
        </w:rPr>
        <w:t xml:space="preserve"> University Hospital also has a financial assistance/ charity care program which can be reached at 444-4331.</w:t>
      </w:r>
    </w:p>
    <w:p w14:paraId="09CB4E70" w14:textId="77777777" w:rsidR="00FC174E" w:rsidRPr="00AA4677" w:rsidRDefault="00FC174E">
      <w:pPr>
        <w:numPr>
          <w:ilvl w:val="1"/>
          <w:numId w:val="332"/>
        </w:numPr>
        <w:shd w:val="clear" w:color="auto" w:fill="FFFFFF"/>
        <w:tabs>
          <w:tab w:val="clear" w:pos="108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 xml:space="preserve">Statement that any findings, incidental or not, discovered </w:t>
      </w:r>
      <w:proofErr w:type="gramStart"/>
      <w:r w:rsidRPr="00AA4677">
        <w:rPr>
          <w:rFonts w:eastAsia="Times New Roman" w:cs="Times New Roman"/>
          <w:szCs w:val="24"/>
        </w:rPr>
        <w:t>during the course of</w:t>
      </w:r>
      <w:proofErr w:type="gramEnd"/>
      <w:r w:rsidRPr="00AA4677">
        <w:rPr>
          <w:rFonts w:eastAsia="Times New Roman" w:cs="Times New Roman"/>
          <w:szCs w:val="24"/>
        </w:rPr>
        <w:t xml:space="preserve"> the research activity, that indicate that the subject may hurt him/herself or others, or that the safety of a child is at risk, is mandated to be reported to applicable authorities. </w:t>
      </w:r>
    </w:p>
    <w:p w14:paraId="578CC37A" w14:textId="2812C7A1" w:rsidR="00FC174E" w:rsidRPr="00AA4677" w:rsidRDefault="00FC174E" w:rsidP="00C57C98">
      <w:pPr>
        <w:pStyle w:val="Heading3"/>
      </w:pPr>
      <w:r w:rsidRPr="00AA4677">
        <w:t>17.9.5 I</w:t>
      </w:r>
      <w:r w:rsidR="00697894" w:rsidRPr="00AA4677">
        <w:t>ncidental Findings (IF)</w:t>
      </w:r>
      <w:r w:rsidRPr="00AA4677">
        <w:t xml:space="preserve"> Consent Form </w:t>
      </w:r>
      <w:r w:rsidR="00697894" w:rsidRPr="00AA4677">
        <w:t>L</w:t>
      </w:r>
      <w:r w:rsidRPr="00AA4677">
        <w:t>anguage</w:t>
      </w:r>
    </w:p>
    <w:p w14:paraId="52D96B21" w14:textId="58C72675" w:rsidR="007E3362"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 NOTE: Adapt to your specific study, based on the assessment/disclosure plan proposed to </w:t>
      </w:r>
      <w:r w:rsidR="00372F89" w:rsidRPr="00AA4677">
        <w:rPr>
          <w:rFonts w:eastAsia="Times New Roman" w:cs="Times New Roman"/>
          <w:szCs w:val="24"/>
        </w:rPr>
        <w:t xml:space="preserve">the </w:t>
      </w:r>
      <w:r w:rsidR="00EE7207" w:rsidRPr="00AA4677">
        <w:rPr>
          <w:rFonts w:eastAsia="Times New Roman" w:cs="Times New Roman"/>
          <w:szCs w:val="24"/>
        </w:rPr>
        <w:t>IRB</w:t>
      </w:r>
      <w:r w:rsidRPr="00AA4677">
        <w:rPr>
          <w:rFonts w:eastAsia="Times New Roman" w:cs="Times New Roman"/>
          <w:szCs w:val="24"/>
        </w:rPr>
        <w:t>, as above. See below for other suggested insertions, as applicable*):</w:t>
      </w:r>
    </w:p>
    <w:p w14:paraId="3BFB7F48" w14:textId="579038A1"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iCs/>
          <w:szCs w:val="24"/>
        </w:rPr>
        <w:t>Incidental Findings     </w:t>
      </w:r>
    </w:p>
    <w:p w14:paraId="3A4EBEAE"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i/>
          <w:iCs/>
          <w:szCs w:val="24"/>
        </w:rPr>
        <w:t>The procedures in this study are being done, and results reviewed, only for research reasons, as explained in the beginning of this consent form. In other words, this study is neither designed nor intended to detect health problems.</w:t>
      </w:r>
    </w:p>
    <w:p w14:paraId="79F5E4A9"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i/>
          <w:iCs/>
          <w:szCs w:val="24"/>
        </w:rPr>
        <w:t>Nonetheless, it is possible that during review of results from </w:t>
      </w:r>
      <w:r w:rsidRPr="00AA4677">
        <w:rPr>
          <w:rFonts w:eastAsia="Times New Roman" w:cs="Times New Roman"/>
          <w:b/>
          <w:bCs/>
          <w:i/>
          <w:iCs/>
          <w:szCs w:val="24"/>
        </w:rPr>
        <w:t>(list the procedure/s)</w:t>
      </w:r>
      <w:r w:rsidRPr="00AA4677">
        <w:rPr>
          <w:rFonts w:eastAsia="Times New Roman" w:cs="Times New Roman"/>
          <w:i/>
          <w:iCs/>
          <w:szCs w:val="24"/>
        </w:rPr>
        <w:t xml:space="preserve">, we may uncover something that may (potentially) have health or reproductive importance to you. Such findings are called ‘incidental </w:t>
      </w:r>
      <w:proofErr w:type="gramStart"/>
      <w:r w:rsidRPr="00AA4677">
        <w:rPr>
          <w:rFonts w:eastAsia="Times New Roman" w:cs="Times New Roman"/>
          <w:i/>
          <w:iCs/>
          <w:szCs w:val="24"/>
        </w:rPr>
        <w:t>findings’</w:t>
      </w:r>
      <w:proofErr w:type="gramEnd"/>
      <w:r w:rsidRPr="00AA4677">
        <w:rPr>
          <w:rFonts w:eastAsia="Times New Roman" w:cs="Times New Roman"/>
          <w:i/>
          <w:iCs/>
          <w:szCs w:val="24"/>
        </w:rPr>
        <w:t>. In studies like this, the types of incidental findings include </w:t>
      </w:r>
      <w:r w:rsidRPr="00AA4677">
        <w:rPr>
          <w:rFonts w:eastAsia="Times New Roman" w:cs="Times New Roman"/>
          <w:b/>
          <w:bCs/>
          <w:i/>
          <w:iCs/>
          <w:szCs w:val="24"/>
        </w:rPr>
        <w:t>(provide general detail). </w:t>
      </w:r>
      <w:r w:rsidRPr="00AA4677">
        <w:rPr>
          <w:rFonts w:eastAsia="Times New Roman" w:cs="Times New Roman"/>
          <w:i/>
          <w:iCs/>
          <w:szCs w:val="24"/>
        </w:rPr>
        <w:t>The possibility of uncovering these types of incidental findings is </w:t>
      </w:r>
      <w:r w:rsidRPr="00AA4677">
        <w:rPr>
          <w:rFonts w:eastAsia="Times New Roman" w:cs="Times New Roman"/>
          <w:b/>
          <w:bCs/>
          <w:i/>
          <w:iCs/>
          <w:szCs w:val="24"/>
        </w:rPr>
        <w:t>(common/rare).</w:t>
      </w:r>
      <w:r w:rsidRPr="00AA4677">
        <w:rPr>
          <w:rFonts w:eastAsia="Times New Roman" w:cs="Times New Roman"/>
          <w:i/>
          <w:iCs/>
          <w:szCs w:val="24"/>
        </w:rPr>
        <w:t> If this happens, the principal investigator will contact you to discuss what the finding possibly means, if you agree to be told this information.  You will then be referred to your medical doctor for follow-up. We can help you secure a medical doctor if you don’t currently have one.</w:t>
      </w:r>
    </w:p>
    <w:p w14:paraId="69522439"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i/>
          <w:iCs/>
          <w:szCs w:val="24"/>
        </w:rPr>
        <w:lastRenderedPageBreak/>
        <w:t>The discovery of an incidental finding may cause you to feel anxious.  If you have further tests done by your medical doctor, those results will then become part of your medical record, which may affect current and future health or life insurance.  The costs for any care that will be needed to diagnose or treat an incidental finding would not be paid for by this research study.  These costs would be your responsibility (financial assistance programs are available, should you need such help). </w:t>
      </w:r>
    </w:p>
    <w:p w14:paraId="0F44903A"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i/>
          <w:iCs/>
          <w:szCs w:val="24"/>
        </w:rPr>
        <w:t xml:space="preserve">Do you agree to be informed of any incidental findings discovered </w:t>
      </w:r>
      <w:proofErr w:type="gramStart"/>
      <w:r w:rsidRPr="00AA4677">
        <w:rPr>
          <w:rFonts w:eastAsia="Times New Roman" w:cs="Times New Roman"/>
          <w:i/>
          <w:iCs/>
          <w:szCs w:val="24"/>
        </w:rPr>
        <w:t>during the course of</w:t>
      </w:r>
      <w:proofErr w:type="gramEnd"/>
      <w:r w:rsidRPr="00AA4677">
        <w:rPr>
          <w:rFonts w:eastAsia="Times New Roman" w:cs="Times New Roman"/>
          <w:i/>
          <w:iCs/>
          <w:szCs w:val="24"/>
        </w:rPr>
        <w:t xml:space="preserve"> this research study? Choose, and sign below one option:</w:t>
      </w:r>
    </w:p>
    <w:p w14:paraId="545DBBAA" w14:textId="77777777"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b/>
          <w:bCs/>
          <w:i/>
          <w:iCs/>
          <w:szCs w:val="24"/>
          <w:highlight w:val="yellow"/>
        </w:rPr>
        <w:t xml:space="preserve">YES, I want to be informed of incidental findings discovered </w:t>
      </w:r>
      <w:proofErr w:type="gramStart"/>
      <w:r w:rsidRPr="00160475">
        <w:rPr>
          <w:rFonts w:eastAsia="Times New Roman" w:cs="Times New Roman"/>
          <w:b/>
          <w:bCs/>
          <w:i/>
          <w:iCs/>
          <w:szCs w:val="24"/>
          <w:highlight w:val="yellow"/>
        </w:rPr>
        <w:t>during the course of</w:t>
      </w:r>
      <w:proofErr w:type="gramEnd"/>
      <w:r w:rsidRPr="00160475">
        <w:rPr>
          <w:rFonts w:eastAsia="Times New Roman" w:cs="Times New Roman"/>
          <w:b/>
          <w:bCs/>
          <w:i/>
          <w:iCs/>
          <w:szCs w:val="24"/>
          <w:highlight w:val="yellow"/>
        </w:rPr>
        <w:t xml:space="preserve"> this research study</w:t>
      </w:r>
    </w:p>
    <w:p w14:paraId="2AF5443F" w14:textId="014902F9"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b/>
          <w:bCs/>
          <w:i/>
          <w:iCs/>
          <w:szCs w:val="24"/>
          <w:highlight w:val="yellow"/>
        </w:rPr>
        <w:t>_______________________</w:t>
      </w:r>
      <w:r w:rsidR="00067941" w:rsidRPr="00160475">
        <w:rPr>
          <w:rFonts w:eastAsia="Times New Roman" w:cs="Times New Roman"/>
          <w:b/>
          <w:bCs/>
          <w:i/>
          <w:iCs/>
          <w:szCs w:val="24"/>
          <w:highlight w:val="yellow"/>
        </w:rPr>
        <w:t>_____  </w:t>
      </w:r>
      <w:r w:rsidRPr="00160475">
        <w:rPr>
          <w:rFonts w:eastAsia="Times New Roman" w:cs="Times New Roman"/>
          <w:b/>
          <w:bCs/>
          <w:i/>
          <w:iCs/>
          <w:szCs w:val="24"/>
          <w:highlight w:val="yellow"/>
        </w:rPr>
        <w:t>  ___</w:t>
      </w:r>
      <w:r w:rsidR="00067941" w:rsidRPr="00160475">
        <w:rPr>
          <w:rFonts w:eastAsia="Times New Roman" w:cs="Times New Roman"/>
          <w:b/>
          <w:bCs/>
          <w:i/>
          <w:iCs/>
          <w:szCs w:val="24"/>
          <w:highlight w:val="yellow"/>
        </w:rPr>
        <w:t>_</w:t>
      </w:r>
      <w:r w:rsidRPr="00160475">
        <w:rPr>
          <w:rFonts w:eastAsia="Times New Roman" w:cs="Times New Roman"/>
          <w:b/>
          <w:bCs/>
          <w:i/>
          <w:iCs/>
          <w:szCs w:val="24"/>
          <w:highlight w:val="yellow"/>
        </w:rPr>
        <w:t>_</w:t>
      </w:r>
    </w:p>
    <w:p w14:paraId="49C4E599" w14:textId="49F8CF52" w:rsidR="00FC174E" w:rsidRPr="00160475" w:rsidRDefault="00FE66CB"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b/>
          <w:bCs/>
          <w:i/>
          <w:iCs/>
          <w:szCs w:val="24"/>
          <w:highlight w:val="yellow"/>
        </w:rPr>
        <w:t>N</w:t>
      </w:r>
      <w:r w:rsidR="00FC174E" w:rsidRPr="00160475">
        <w:rPr>
          <w:rFonts w:eastAsia="Times New Roman" w:cs="Times New Roman"/>
          <w:b/>
          <w:bCs/>
          <w:i/>
          <w:iCs/>
          <w:szCs w:val="24"/>
          <w:highlight w:val="yellow"/>
        </w:rPr>
        <w:t xml:space="preserve">O, I do not want to be informed of incidental findings discovered </w:t>
      </w:r>
      <w:proofErr w:type="gramStart"/>
      <w:r w:rsidR="00FC174E" w:rsidRPr="00160475">
        <w:rPr>
          <w:rFonts w:eastAsia="Times New Roman" w:cs="Times New Roman"/>
          <w:b/>
          <w:bCs/>
          <w:i/>
          <w:iCs/>
          <w:szCs w:val="24"/>
          <w:highlight w:val="yellow"/>
        </w:rPr>
        <w:t>during the course of</w:t>
      </w:r>
      <w:proofErr w:type="gramEnd"/>
      <w:r w:rsidR="00FC174E" w:rsidRPr="00160475">
        <w:rPr>
          <w:rFonts w:eastAsia="Times New Roman" w:cs="Times New Roman"/>
          <w:b/>
          <w:bCs/>
          <w:i/>
          <w:iCs/>
          <w:szCs w:val="24"/>
          <w:highlight w:val="yellow"/>
        </w:rPr>
        <w:t xml:space="preserve"> this research study</w:t>
      </w:r>
    </w:p>
    <w:p w14:paraId="21A8F50D" w14:textId="77777777"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b/>
          <w:bCs/>
          <w:i/>
          <w:iCs/>
          <w:szCs w:val="24"/>
          <w:highlight w:val="yellow"/>
        </w:rPr>
        <w:t>____________________________    _____</w:t>
      </w:r>
    </w:p>
    <w:p w14:paraId="69CDBEB9"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160475">
        <w:rPr>
          <w:rFonts w:eastAsia="Times New Roman" w:cs="Times New Roman"/>
          <w:i/>
          <w:iCs/>
          <w:szCs w:val="24"/>
          <w:highlight w:val="yellow"/>
        </w:rPr>
        <w:t> </w:t>
      </w:r>
      <w:r w:rsidRPr="00160475">
        <w:rPr>
          <w:rFonts w:eastAsia="Times New Roman" w:cs="Times New Roman"/>
          <w:b/>
          <w:bCs/>
          <w:i/>
          <w:iCs/>
          <w:szCs w:val="24"/>
          <w:highlight w:val="yellow"/>
        </w:rPr>
        <w:t>*Add/amend the above language as applicable. Here are some examples:</w:t>
      </w:r>
    </w:p>
    <w:p w14:paraId="151AB898"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i/>
          <w:iCs/>
          <w:szCs w:val="24"/>
        </w:rPr>
        <w:t>“The </w:t>
      </w:r>
      <w:r w:rsidRPr="00AA4677">
        <w:rPr>
          <w:rFonts w:eastAsia="Times New Roman" w:cs="Times New Roman"/>
          <w:b/>
          <w:bCs/>
          <w:i/>
          <w:iCs/>
          <w:szCs w:val="24"/>
        </w:rPr>
        <w:t>(scans/tests etc)</w:t>
      </w:r>
      <w:r w:rsidRPr="00AA4677">
        <w:rPr>
          <w:rFonts w:eastAsia="Times New Roman" w:cs="Times New Roman"/>
          <w:i/>
          <w:iCs/>
          <w:szCs w:val="24"/>
        </w:rPr>
        <w:t> that </w:t>
      </w:r>
      <w:r w:rsidRPr="00AA4677">
        <w:rPr>
          <w:rFonts w:eastAsia="Times New Roman" w:cs="Times New Roman"/>
          <w:b/>
          <w:bCs/>
          <w:i/>
          <w:iCs/>
          <w:szCs w:val="24"/>
        </w:rPr>
        <w:t>are/is</w:t>
      </w:r>
      <w:r w:rsidRPr="00AA4677">
        <w:rPr>
          <w:rFonts w:eastAsia="Times New Roman" w:cs="Times New Roman"/>
          <w:i/>
          <w:iCs/>
          <w:szCs w:val="24"/>
        </w:rPr>
        <w:t> done in this study are/is not of the same quality as those done by a doctor for medical reasons.”</w:t>
      </w:r>
    </w:p>
    <w:p w14:paraId="3D285C96"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i/>
          <w:iCs/>
          <w:szCs w:val="24"/>
        </w:rPr>
        <w:t>And/or</w:t>
      </w:r>
    </w:p>
    <w:p w14:paraId="5074B744" w14:textId="08EACA00"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i/>
          <w:iCs/>
          <w:szCs w:val="24"/>
        </w:rPr>
        <w:t xml:space="preserve">“The </w:t>
      </w:r>
      <w:r w:rsidR="007E68D3" w:rsidRPr="00AA4677">
        <w:rPr>
          <w:rFonts w:eastAsia="Times New Roman" w:cs="Times New Roman"/>
          <w:i/>
          <w:iCs/>
          <w:szCs w:val="24"/>
        </w:rPr>
        <w:t>investigator</w:t>
      </w:r>
      <w:r w:rsidRPr="00AA4677">
        <w:rPr>
          <w:rFonts w:eastAsia="Times New Roman" w:cs="Times New Roman"/>
          <w:i/>
          <w:iCs/>
          <w:szCs w:val="24"/>
        </w:rPr>
        <w:t xml:space="preserve">s of this study are not medical doctors and are not trained to assess these possible findings. Your consent to be in this study also includes permitting the principal investigator to share your data in a confidential manner with experts outside of the study team so that more information regarding the importance of any uncovered incidental findings can be </w:t>
      </w:r>
      <w:proofErr w:type="gramStart"/>
      <w:r w:rsidRPr="00AA4677">
        <w:rPr>
          <w:rFonts w:eastAsia="Times New Roman" w:cs="Times New Roman"/>
          <w:i/>
          <w:iCs/>
          <w:szCs w:val="24"/>
        </w:rPr>
        <w:t>determined.</w:t>
      </w:r>
      <w:r w:rsidR="00606526" w:rsidRPr="00AA4677">
        <w:rPr>
          <w:rFonts w:eastAsia="Times New Roman" w:cs="Times New Roman"/>
          <w:i/>
          <w:iCs/>
          <w:szCs w:val="24"/>
        </w:rPr>
        <w:t>”</w:t>
      </w:r>
      <w:proofErr w:type="gramEnd"/>
    </w:p>
    <w:p w14:paraId="28A77E33"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i/>
          <w:iCs/>
          <w:szCs w:val="24"/>
        </w:rPr>
        <w:t>And/or</w:t>
      </w:r>
    </w:p>
    <w:p w14:paraId="3CA143D8" w14:textId="28915773"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i/>
          <w:iCs/>
          <w:szCs w:val="24"/>
        </w:rPr>
        <w:t xml:space="preserve"> “Because of the possible significance of the IF’s that may result from these procedures, your consent to be in this study also includes permitting the </w:t>
      </w:r>
      <w:r w:rsidR="007E68D3" w:rsidRPr="00AA4677">
        <w:rPr>
          <w:rFonts w:eastAsia="Times New Roman" w:cs="Times New Roman"/>
          <w:i/>
          <w:iCs/>
          <w:szCs w:val="24"/>
        </w:rPr>
        <w:t>investigator</w:t>
      </w:r>
      <w:r w:rsidRPr="00AA4677">
        <w:rPr>
          <w:rFonts w:eastAsia="Times New Roman" w:cs="Times New Roman"/>
          <w:i/>
          <w:iCs/>
          <w:szCs w:val="24"/>
        </w:rPr>
        <w:t>s to disclose IF’s not only to you, but directly to your primary care physician, as necessary. If you do not have one, assistance will be provided in securing one”</w:t>
      </w:r>
    </w:p>
    <w:p w14:paraId="11B47CBB"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b/>
          <w:szCs w:val="24"/>
        </w:rPr>
      </w:pPr>
      <w:r w:rsidRPr="00AA4677">
        <w:rPr>
          <w:rFonts w:eastAsia="Times New Roman" w:cs="Times New Roman"/>
          <w:b/>
          <w:i/>
          <w:iCs/>
          <w:szCs w:val="24"/>
        </w:rPr>
        <w:t>And/or:</w:t>
      </w:r>
    </w:p>
    <w:p w14:paraId="5421BB71"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
          <w:bCs/>
          <w:i/>
          <w:iCs/>
          <w:szCs w:val="24"/>
        </w:rPr>
        <w:lastRenderedPageBreak/>
        <w:t>(specifically for MRI studies): “</w:t>
      </w:r>
      <w:r w:rsidRPr="00AA4677">
        <w:rPr>
          <w:rFonts w:eastAsia="Times New Roman" w:cs="Times New Roman"/>
          <w:i/>
          <w:iCs/>
          <w:szCs w:val="24"/>
        </w:rPr>
        <w:t>Most incidental findings represent common minor abnormalities that pose no clinical risk and require no medical referral: for example, one study found that 61 out of 151 participants (40%) had such incidental findings that required no referral. Incidental findings that require medical referral are much rarer: for example, a study of children and young adults found that only 1 out of 225 participants required urgent medical referral, and another study found that only 2 out of 2000 people needed a medical referral for an aneurysm and 1 out of 2000 people needed medical referral for a potentially malignant brain tumor.”</w:t>
      </w:r>
    </w:p>
    <w:p w14:paraId="2D20D005" w14:textId="0D0B36A7" w:rsidR="00FC174E" w:rsidRPr="00AA4677" w:rsidRDefault="009C382E" w:rsidP="00C57C98">
      <w:pPr>
        <w:pStyle w:val="Heading3"/>
      </w:pPr>
      <w:r w:rsidRPr="00AA4677">
        <w:t>17.9.6 </w:t>
      </w:r>
      <w:r w:rsidR="00FC174E" w:rsidRPr="00AA4677">
        <w:t>Procedures for IF’s that are Not Anticipated</w:t>
      </w:r>
    </w:p>
    <w:p w14:paraId="5ED90DDB" w14:textId="45748674"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Where an IF occurs that is not anticipated, the event is deemed an unanticipated problem involving risk to </w:t>
      </w:r>
      <w:proofErr w:type="gramStart"/>
      <w:r w:rsidRPr="00AA4677">
        <w:rPr>
          <w:rFonts w:eastAsia="Times New Roman" w:cs="Times New Roman"/>
          <w:szCs w:val="24"/>
        </w:rPr>
        <w:t>subjects, and</w:t>
      </w:r>
      <w:proofErr w:type="gramEnd"/>
      <w:r w:rsidRPr="00AA4677">
        <w:rPr>
          <w:rFonts w:eastAsia="Times New Roman" w:cs="Times New Roman"/>
          <w:szCs w:val="24"/>
        </w:rPr>
        <w:t xml:space="preserve"> should b</w:t>
      </w:r>
      <w:r w:rsidR="00606526" w:rsidRPr="00AA4677">
        <w:rPr>
          <w:rFonts w:eastAsia="Times New Roman" w:cs="Times New Roman"/>
          <w:szCs w:val="24"/>
        </w:rPr>
        <w:t>e reported immediately to the IRB</w:t>
      </w:r>
      <w:r w:rsidRPr="00AA4677">
        <w:rPr>
          <w:rFonts w:eastAsia="Times New Roman" w:cs="Times New Roman"/>
          <w:szCs w:val="24"/>
        </w:rPr>
        <w:t xml:space="preserve"> using the  Unanticipated Problems Reporting Form (in </w:t>
      </w:r>
      <w:r w:rsidR="00DC5138" w:rsidRPr="00AA4677">
        <w:rPr>
          <w:rFonts w:eastAsia="Times New Roman" w:cs="Times New Roman"/>
          <w:szCs w:val="24"/>
        </w:rPr>
        <w:t>electronic management system</w:t>
      </w:r>
      <w:r w:rsidRPr="00AA4677">
        <w:rPr>
          <w:rFonts w:eastAsia="Times New Roman" w:cs="Times New Roman"/>
          <w:szCs w:val="24"/>
        </w:rPr>
        <w:t>) for assessment and determination of course of action. </w:t>
      </w:r>
    </w:p>
    <w:p w14:paraId="3B913C6C" w14:textId="77777777" w:rsidR="00606526"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When the potential need to share study findings with a subject has arisen unexpectedly, the PI should submit to </w:t>
      </w:r>
      <w:r w:rsidR="00372F89" w:rsidRPr="00AA4677">
        <w:rPr>
          <w:rFonts w:eastAsia="Times New Roman" w:cs="Times New Roman"/>
          <w:szCs w:val="24"/>
        </w:rPr>
        <w:t xml:space="preserve">the </w:t>
      </w:r>
      <w:r w:rsidR="00EE7207" w:rsidRPr="00AA4677">
        <w:rPr>
          <w:rFonts w:eastAsia="Times New Roman" w:cs="Times New Roman"/>
          <w:szCs w:val="24"/>
        </w:rPr>
        <w:t>IRB</w:t>
      </w:r>
      <w:r w:rsidR="00606526" w:rsidRPr="00AA4677">
        <w:rPr>
          <w:rFonts w:eastAsia="Times New Roman" w:cs="Times New Roman"/>
          <w:szCs w:val="24"/>
        </w:rPr>
        <w:t>,</w:t>
      </w:r>
      <w:r w:rsidRPr="00AA4677">
        <w:rPr>
          <w:rFonts w:eastAsia="Times New Roman" w:cs="Times New Roman"/>
          <w:szCs w:val="24"/>
        </w:rPr>
        <w:t xml:space="preserve"> the plan for communicating the results to the </w:t>
      </w:r>
      <w:r w:rsidR="00BF7470" w:rsidRPr="00AA4677">
        <w:rPr>
          <w:rFonts w:eastAsia="Times New Roman" w:cs="Times New Roman"/>
          <w:szCs w:val="24"/>
        </w:rPr>
        <w:t>subject</w:t>
      </w:r>
      <w:r w:rsidRPr="00AA4677">
        <w:rPr>
          <w:rFonts w:eastAsia="Times New Roman" w:cs="Times New Roman"/>
          <w:szCs w:val="24"/>
        </w:rPr>
        <w:t xml:space="preserve">. Depending on the study, the plan may need to include transmitting (and confirming transmission of) the information to the subject’s primary care physician as well, following subject consent for release of medical information. </w:t>
      </w:r>
    </w:p>
    <w:p w14:paraId="47F573AF" w14:textId="2215DB78"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See </w:t>
      </w:r>
      <w:r w:rsidR="00606526" w:rsidRPr="00AA4677">
        <w:rPr>
          <w:rFonts w:eastAsia="Times New Roman" w:cs="Times New Roman"/>
          <w:szCs w:val="24"/>
        </w:rPr>
        <w:t xml:space="preserve">the </w:t>
      </w:r>
      <w:r w:rsidRPr="00AA4677">
        <w:rPr>
          <w:rFonts w:eastAsia="Times New Roman" w:cs="Times New Roman"/>
          <w:szCs w:val="24"/>
        </w:rPr>
        <w:t>above section for variables to consider.</w:t>
      </w:r>
    </w:p>
    <w:p w14:paraId="2E63D458" w14:textId="023C5DC4" w:rsidR="00FC174E" w:rsidRPr="00AA4677" w:rsidRDefault="00FC174E" w:rsidP="00C57C98">
      <w:pPr>
        <w:pStyle w:val="Heading3"/>
      </w:pPr>
      <w:r w:rsidRPr="00AA4677">
        <w:t>17.9.7 Special IF considerations for Children as Research Subjects:</w:t>
      </w:r>
    </w:p>
    <w:p w14:paraId="46D610A8" w14:textId="25A0D2C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Parents of minor subjects, and minor subjects for whom the IRB has required that assent (either verbal or documented) be obtained, must be informed of the possibility of IFs, as </w:t>
      </w:r>
      <w:r w:rsidR="00606526" w:rsidRPr="00AA4677">
        <w:rPr>
          <w:rFonts w:eastAsia="Times New Roman" w:cs="Times New Roman"/>
          <w:szCs w:val="24"/>
        </w:rPr>
        <w:t xml:space="preserve">mentioned </w:t>
      </w:r>
      <w:r w:rsidRPr="00AA4677">
        <w:rPr>
          <w:rFonts w:eastAsia="Times New Roman" w:cs="Times New Roman"/>
          <w:szCs w:val="24"/>
        </w:rPr>
        <w:t>above. In instances where the child is in the research (or samples may be</w:t>
      </w:r>
      <w:r w:rsidR="00606526" w:rsidRPr="00AA4677">
        <w:rPr>
          <w:rFonts w:eastAsia="Times New Roman" w:cs="Times New Roman"/>
          <w:szCs w:val="24"/>
        </w:rPr>
        <w:t xml:space="preserve"> retained) and passes the age of</w:t>
      </w:r>
      <w:r w:rsidRPr="00AA4677">
        <w:rPr>
          <w:rFonts w:eastAsia="Times New Roman" w:cs="Times New Roman"/>
          <w:szCs w:val="24"/>
        </w:rPr>
        <w:t xml:space="preserve"> majority, the consent process s/he undergoes as an adult should include</w:t>
      </w:r>
      <w:r w:rsidR="00606526" w:rsidRPr="00AA4677">
        <w:rPr>
          <w:rFonts w:eastAsia="Times New Roman" w:cs="Times New Roman"/>
          <w:szCs w:val="24"/>
        </w:rPr>
        <w:t xml:space="preserve"> a</w:t>
      </w:r>
      <w:r w:rsidRPr="00AA4677">
        <w:rPr>
          <w:rFonts w:eastAsia="Times New Roman" w:cs="Times New Roman"/>
          <w:szCs w:val="24"/>
        </w:rPr>
        <w:t xml:space="preserve"> discussion of IF’s. Note:</w:t>
      </w:r>
    </w:p>
    <w:p w14:paraId="1D49CAF6" w14:textId="77777777" w:rsidR="00FC174E" w:rsidRPr="00AA4677" w:rsidRDefault="00FC174E">
      <w:pPr>
        <w:numPr>
          <w:ilvl w:val="0"/>
          <w:numId w:val="23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When an IF reveals a potentially grave or life-threatening condition, including substance abuse, that requires clinical evaluation (or intervention, in the case of substance abuse), the parent or guardian has a responsibility to learn of this information and act in a way to preserve the child or adolescent’s health. The parent permission and minor assent documents should clearly address the possibility of this disclosure.</w:t>
      </w:r>
    </w:p>
    <w:p w14:paraId="32FBEF3F" w14:textId="20BDFD5A" w:rsidR="00FC174E" w:rsidRPr="00AA4677" w:rsidRDefault="00FC174E">
      <w:pPr>
        <w:numPr>
          <w:ilvl w:val="0"/>
          <w:numId w:val="23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 accordance with state law, if the IF is a pregnancy in the minor subject (e.g. detected through screening procedures), the minor subject is to be told. Informing the parent can only </w:t>
      </w:r>
      <w:r w:rsidRPr="00AA4677">
        <w:rPr>
          <w:rFonts w:eastAsia="Times New Roman" w:cs="Times New Roman"/>
          <w:szCs w:val="24"/>
        </w:rPr>
        <w:lastRenderedPageBreak/>
        <w:t xml:space="preserve">be done with the minor’s permission to do so. When research studies involving minors </w:t>
      </w:r>
      <w:proofErr w:type="gramStart"/>
      <w:r w:rsidRPr="00AA4677">
        <w:rPr>
          <w:rFonts w:eastAsia="Times New Roman" w:cs="Times New Roman"/>
          <w:szCs w:val="24"/>
        </w:rPr>
        <w:t>test</w:t>
      </w:r>
      <w:proofErr w:type="gramEnd"/>
      <w:r w:rsidRPr="00AA4677">
        <w:rPr>
          <w:rFonts w:eastAsia="Times New Roman" w:cs="Times New Roman"/>
          <w:szCs w:val="24"/>
        </w:rPr>
        <w:t xml:space="preserve"> for pregnancy:</w:t>
      </w:r>
    </w:p>
    <w:p w14:paraId="0616205A" w14:textId="6C5776D1" w:rsidR="00FC174E" w:rsidRPr="00AA4677" w:rsidRDefault="00FC174E">
      <w:pPr>
        <w:numPr>
          <w:ilvl w:val="1"/>
          <w:numId w:val="62"/>
        </w:numPr>
        <w:shd w:val="clear" w:color="auto" w:fill="FFFFFF"/>
        <w:tabs>
          <w:tab w:val="clear" w:pos="1080"/>
          <w:tab w:val="num" w:pos="720"/>
        </w:tabs>
        <w:spacing w:before="100" w:beforeAutospacing="1" w:after="100" w:afterAutospacing="1" w:line="240" w:lineRule="auto"/>
        <w:ind w:left="720"/>
        <w:rPr>
          <w:rFonts w:eastAsia="Times New Roman" w:cs="Times New Roman"/>
          <w:szCs w:val="24"/>
        </w:rPr>
      </w:pPr>
      <w:r w:rsidRPr="00AA4677">
        <w:rPr>
          <w:rFonts w:eastAsia="Times New Roman" w:cs="Times New Roman"/>
          <w:szCs w:val="24"/>
        </w:rPr>
        <w:t xml:space="preserve">Assent form should read, “If, </w:t>
      </w:r>
      <w:proofErr w:type="gramStart"/>
      <w:r w:rsidRPr="00AA4677">
        <w:rPr>
          <w:rFonts w:eastAsia="Times New Roman" w:cs="Times New Roman"/>
          <w:szCs w:val="24"/>
        </w:rPr>
        <w:t>as a result of</w:t>
      </w:r>
      <w:proofErr w:type="gramEnd"/>
      <w:r w:rsidRPr="00AA4677">
        <w:rPr>
          <w:rFonts w:eastAsia="Times New Roman" w:cs="Times New Roman"/>
          <w:szCs w:val="24"/>
        </w:rPr>
        <w:t xml:space="preserve"> the study tests, we find out that you a</w:t>
      </w:r>
      <w:r w:rsidR="00606526" w:rsidRPr="00AA4677">
        <w:rPr>
          <w:rFonts w:eastAsia="Times New Roman" w:cs="Times New Roman"/>
          <w:szCs w:val="24"/>
        </w:rPr>
        <w:t>re pregnant, we will tell you so</w:t>
      </w:r>
      <w:r w:rsidRPr="00AA4677">
        <w:rPr>
          <w:rFonts w:eastAsia="Times New Roman" w:cs="Times New Roman"/>
          <w:szCs w:val="24"/>
        </w:rPr>
        <w:t>. We will also strongly urge that you discuss these results with your parent or legal guardian so that appropriate health care can be obtained as soon as possible”</w:t>
      </w:r>
    </w:p>
    <w:p w14:paraId="19E3D5B8" w14:textId="03614FF7" w:rsidR="00FC174E" w:rsidRPr="00AA4677" w:rsidRDefault="00FC174E">
      <w:pPr>
        <w:numPr>
          <w:ilvl w:val="1"/>
          <w:numId w:val="6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Parent permission should read, “If, </w:t>
      </w:r>
      <w:proofErr w:type="gramStart"/>
      <w:r w:rsidRPr="00AA4677">
        <w:rPr>
          <w:rFonts w:eastAsia="Times New Roman" w:cs="Times New Roman"/>
          <w:szCs w:val="24"/>
        </w:rPr>
        <w:t>as a result of</w:t>
      </w:r>
      <w:proofErr w:type="gramEnd"/>
      <w:r w:rsidRPr="00AA4677">
        <w:rPr>
          <w:rFonts w:eastAsia="Times New Roman" w:cs="Times New Roman"/>
          <w:szCs w:val="24"/>
        </w:rPr>
        <w:t xml:space="preserve"> the study tests, we find out that your child </w:t>
      </w:r>
      <w:r w:rsidR="00606526" w:rsidRPr="00AA4677">
        <w:rPr>
          <w:rFonts w:eastAsia="Times New Roman" w:cs="Times New Roman"/>
          <w:szCs w:val="24"/>
        </w:rPr>
        <w:t>is pregnant, we will tell her so</w:t>
      </w:r>
      <w:r w:rsidRPr="00AA4677">
        <w:rPr>
          <w:rFonts w:eastAsia="Times New Roman" w:cs="Times New Roman"/>
          <w:szCs w:val="24"/>
        </w:rPr>
        <w:t>. We will also strongly urge your child to discuss these results with you so that appropriate health care can be obtained as soon as possible.</w:t>
      </w:r>
    </w:p>
    <w:p w14:paraId="548AB016" w14:textId="156C5123" w:rsidR="00FC174E" w:rsidRPr="00AA4677" w:rsidRDefault="00FC174E">
      <w:pPr>
        <w:numPr>
          <w:ilvl w:val="0"/>
          <w:numId w:val="232"/>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In some cases, an IF may reveal sensitive information, e.g. the child is experiencing physical abuse by the parent. In these instances, contact</w:t>
      </w:r>
      <w:r w:rsidR="004D0E42" w:rsidRPr="00AA4677">
        <w:rPr>
          <w:rFonts w:eastAsia="Times New Roman" w:cs="Times New Roman"/>
          <w:szCs w:val="24"/>
        </w:rPr>
        <w:t xml:space="preserve"> the</w:t>
      </w:r>
      <w:r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through the O</w:t>
      </w:r>
      <w:r w:rsidR="004D0E42" w:rsidRPr="00AA4677">
        <w:rPr>
          <w:rFonts w:eastAsia="Times New Roman" w:cs="Times New Roman"/>
          <w:szCs w:val="24"/>
        </w:rPr>
        <w:t>RC</w:t>
      </w:r>
      <w:r w:rsidRPr="00AA4677">
        <w:rPr>
          <w:rFonts w:eastAsia="Times New Roman" w:cs="Times New Roman"/>
          <w:szCs w:val="24"/>
        </w:rPr>
        <w:t>. A plan of action will be developed, in consultation with legal counsel. </w:t>
      </w:r>
    </w:p>
    <w:p w14:paraId="67921754" w14:textId="1D53A0C1" w:rsidR="00FC174E" w:rsidRPr="00AA4677" w:rsidRDefault="00FC174E" w:rsidP="00696B35">
      <w:pPr>
        <w:pStyle w:val="Heading2"/>
      </w:pPr>
      <w:bookmarkStart w:id="355" w:name="_Toc192678284"/>
      <w:r w:rsidRPr="00AA4677">
        <w:t xml:space="preserve">17.10 Community Based </w:t>
      </w:r>
      <w:r w:rsidR="006C199C" w:rsidRPr="00AA4677">
        <w:t xml:space="preserve">Participatory </w:t>
      </w:r>
      <w:r w:rsidRPr="00AA4677">
        <w:t>Research (CB</w:t>
      </w:r>
      <w:r w:rsidR="006C199C" w:rsidRPr="00AA4677">
        <w:t>P</w:t>
      </w:r>
      <w:r w:rsidRPr="00AA4677">
        <w:t>R)</w:t>
      </w:r>
      <w:bookmarkEnd w:id="355"/>
    </w:p>
    <w:p w14:paraId="0D960C15" w14:textId="77777777" w:rsidR="00605934" w:rsidRPr="00AA4677" w:rsidRDefault="00605934" w:rsidP="00605934">
      <w:pPr>
        <w:spacing w:after="0" w:line="240" w:lineRule="auto"/>
      </w:pPr>
    </w:p>
    <w:p w14:paraId="52D326E9" w14:textId="6B1B3390" w:rsidR="00812168" w:rsidRPr="00AA4677" w:rsidRDefault="006C199C" w:rsidP="00605934">
      <w:pPr>
        <w:spacing w:after="0" w:line="240" w:lineRule="auto"/>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A4677">
        <w:t xml:space="preserve">CBPR is a subset of community-based research that has </w:t>
      </w:r>
      <w:r w:rsidR="00B17AAF" w:rsidRPr="00AA4677">
        <w:t>t</w:t>
      </w:r>
      <w:r w:rsidR="00FC174E" w:rsidRPr="00AA4677">
        <w:t xml:space="preserve">he most significant community </w:t>
      </w:r>
      <w:r w:rsidR="00B17AAF" w:rsidRPr="00AA4677">
        <w:t xml:space="preserve">involvement, </w:t>
      </w:r>
      <w:r w:rsidRPr="00AA4677">
        <w:t>from generating research ideas, to</w:t>
      </w:r>
      <w:r w:rsidR="00C21148" w:rsidRPr="00AA4677">
        <w:t xml:space="preserve"> designing and</w:t>
      </w:r>
      <w:r w:rsidRPr="00AA4677">
        <w:t xml:space="preserve"> conducting the research, t</w:t>
      </w:r>
      <w:r w:rsidR="00606526" w:rsidRPr="00AA4677">
        <w:t xml:space="preserve">o disseminating results </w:t>
      </w:r>
      <w:r w:rsidRPr="00AA4677">
        <w:t xml:space="preserve">back to the community. </w:t>
      </w:r>
      <w:r w:rsidR="00812168" w:rsidRPr="00AA46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SBU has resources to provide support to investigators where there may be challenges recruiting due to community attitudes toward investigators or stigma about the research topic. The Long Island Network for Clinical and Translational Science (LINCATS) at SBU has </w:t>
      </w:r>
      <w:proofErr w:type="gramStart"/>
      <w:r w:rsidR="00812168" w:rsidRPr="00AA46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community based</w:t>
      </w:r>
      <w:proofErr w:type="gramEnd"/>
      <w:r w:rsidR="00812168" w:rsidRPr="00AA46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research services.  The Community Engagement Network for Translational Science (CENTS) group builds connections between the Long Island community and the research team.  The Community Ambassadors program </w:t>
      </w:r>
      <w:r w:rsidR="00812168" w:rsidRPr="00AA467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provides links to the specific communities they represent. The Community Ambassadors are knowledgeable about community trends, needs and concerns and share this information </w:t>
      </w:r>
      <w:proofErr w:type="gramStart"/>
      <w:r w:rsidR="00812168" w:rsidRPr="00AA467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w:t>
      </w:r>
      <w:proofErr w:type="gramEnd"/>
      <w:r w:rsidR="00812168" w:rsidRPr="00AA467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LINCATS leadership and </w:t>
      </w:r>
      <w:proofErr w:type="gramStart"/>
      <w:r w:rsidR="00812168" w:rsidRPr="00AA467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w:t>
      </w:r>
      <w:proofErr w:type="gramEnd"/>
      <w:r w:rsidR="00812168" w:rsidRPr="00AA467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researchers. </w:t>
      </w:r>
    </w:p>
    <w:p w14:paraId="5B3F847D" w14:textId="77777777" w:rsidR="00812168" w:rsidRPr="00AA4677" w:rsidRDefault="00812168" w:rsidP="00605934">
      <w:pPr>
        <w:spacing w:after="0" w:line="240" w:lineRule="auto"/>
        <w:rPr>
          <w:shd w:val="clear" w:color="auto" w:fill="FFFFFF"/>
        </w:rPr>
      </w:pPr>
      <w:r w:rsidRPr="00AA4677">
        <w:rPr>
          <w:shd w:val="clear" w:color="auto" w:fill="FFFFFF"/>
        </w:rPr>
        <w:t xml:space="preserve">IRB members are educated on community based participatory research and integrate their knowledge during the review process.  Education is also presented at the IRB Chair meetings. </w:t>
      </w:r>
    </w:p>
    <w:p w14:paraId="23773B7F" w14:textId="77777777" w:rsidR="00605934" w:rsidRPr="00AA4677" w:rsidRDefault="00812168" w:rsidP="00605934">
      <w:pPr>
        <w:spacing w:after="0" w:line="240" w:lineRule="auto"/>
        <w:rPr>
          <w:shd w:val="clear" w:color="auto" w:fill="FFFFFF"/>
        </w:rPr>
      </w:pPr>
      <w:r w:rsidRPr="00AA4677">
        <w:rPr>
          <w:shd w:val="clear" w:color="auto" w:fill="FFFFFF"/>
        </w:rPr>
        <w:t>The IRB application includes and captures information concerning community-based research. Individuals representing both LINCATS and CENTS are available as well to the IRB as consultants.</w:t>
      </w:r>
    </w:p>
    <w:p w14:paraId="1711A7FA" w14:textId="4051F6D6" w:rsidR="00FC174E" w:rsidRPr="00AA4677" w:rsidRDefault="00812168" w:rsidP="00605934">
      <w:pPr>
        <w:spacing w:after="0" w:line="240" w:lineRule="auto"/>
        <w:rPr>
          <w:shd w:val="clear" w:color="auto" w:fill="FFFFFF"/>
        </w:rPr>
      </w:pPr>
      <w:r w:rsidRPr="00AA4677">
        <w:rPr>
          <w:shd w:val="clear" w:color="auto" w:fill="FFFFFF"/>
        </w:rPr>
        <w:t xml:space="preserve">  </w:t>
      </w:r>
    </w:p>
    <w:p w14:paraId="28422576" w14:textId="77777777" w:rsidR="00FC174E" w:rsidRPr="00AA4677" w:rsidRDefault="00FC174E" w:rsidP="00696B35">
      <w:pPr>
        <w:pStyle w:val="Heading2"/>
      </w:pPr>
      <w:bookmarkStart w:id="356" w:name="_Toc192678285"/>
      <w:r w:rsidRPr="00AA4677">
        <w:t>17.11 Proper Documentation in Human Subjects Research</w:t>
      </w:r>
      <w:bookmarkEnd w:id="356"/>
    </w:p>
    <w:p w14:paraId="5E81B310" w14:textId="2DC4A7C5" w:rsidR="00FC174E" w:rsidRPr="00AA4677" w:rsidRDefault="00FC174E">
      <w:pPr>
        <w:numPr>
          <w:ilvl w:val="0"/>
          <w:numId w:val="6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Applicability: This guidance applies to all </w:t>
      </w:r>
      <w:r w:rsidR="00234C33" w:rsidRPr="00AA4677">
        <w:rPr>
          <w:rFonts w:eastAsia="Times New Roman" w:cs="Times New Roman"/>
          <w:szCs w:val="24"/>
        </w:rPr>
        <w:t>University</w:t>
      </w:r>
      <w:r w:rsidRPr="00AA4677">
        <w:rPr>
          <w:rFonts w:eastAsia="Times New Roman" w:cs="Times New Roman"/>
          <w:szCs w:val="24"/>
        </w:rPr>
        <w:t xml:space="preserve"> research involving human subjects (i.e. </w:t>
      </w:r>
      <w:proofErr w:type="gramStart"/>
      <w:r w:rsidRPr="00AA4677">
        <w:rPr>
          <w:rFonts w:eastAsia="Times New Roman" w:cs="Times New Roman"/>
          <w:szCs w:val="24"/>
        </w:rPr>
        <w:t>that</w:t>
      </w:r>
      <w:proofErr w:type="gramEnd"/>
      <w:r w:rsidRPr="00AA4677">
        <w:rPr>
          <w:rFonts w:eastAsia="Times New Roman" w:cs="Times New Roman"/>
          <w:szCs w:val="24"/>
        </w:rPr>
        <w:t xml:space="preserve"> qualified for exempt, expedited, or full review), </w:t>
      </w:r>
      <w:proofErr w:type="gramStart"/>
      <w:r w:rsidRPr="00AA4677">
        <w:rPr>
          <w:rFonts w:eastAsia="Times New Roman" w:cs="Times New Roman"/>
          <w:szCs w:val="24"/>
        </w:rPr>
        <w:t>with the exception of</w:t>
      </w:r>
      <w:proofErr w:type="gramEnd"/>
      <w:r w:rsidRPr="00AA4677">
        <w:rPr>
          <w:rFonts w:eastAsia="Times New Roman" w:cs="Times New Roman"/>
          <w:szCs w:val="24"/>
        </w:rPr>
        <w:t xml:space="preserve"> pharmaceutical </w:t>
      </w:r>
      <w:r w:rsidRPr="00AA4677">
        <w:rPr>
          <w:rFonts w:eastAsia="Times New Roman" w:cs="Times New Roman"/>
          <w:szCs w:val="24"/>
        </w:rPr>
        <w:lastRenderedPageBreak/>
        <w:t>funded/initiated studies. Such studies through the pharmaceutical industry have very specific documentation requirements promulgated by the sponsor and the FDA which must be followed to the letter to ensure the compliant conduct of the clinical trial.</w:t>
      </w:r>
    </w:p>
    <w:p w14:paraId="30BF672C" w14:textId="2D78EE45" w:rsidR="00FC174E" w:rsidRPr="00AA4677" w:rsidRDefault="00FC174E">
      <w:pPr>
        <w:numPr>
          <w:ilvl w:val="0"/>
          <w:numId w:val="6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Introduction: Detailed documentation is critical for ensuring, and proving, your compliance </w:t>
      </w:r>
      <w:r w:rsidR="00234C33" w:rsidRPr="00AA4677">
        <w:rPr>
          <w:rFonts w:eastAsia="Times New Roman" w:cs="Times New Roman"/>
          <w:szCs w:val="24"/>
        </w:rPr>
        <w:t>with federal regulations and University</w:t>
      </w:r>
      <w:r w:rsidRPr="00AA4677">
        <w:rPr>
          <w:rFonts w:eastAsia="Times New Roman" w:cs="Times New Roman"/>
          <w:szCs w:val="24"/>
        </w:rPr>
        <w:t xml:space="preserve"> policies for the conduct of </w:t>
      </w:r>
      <w:proofErr w:type="gramStart"/>
      <w:r w:rsidRPr="00AA4677">
        <w:rPr>
          <w:rFonts w:eastAsia="Times New Roman" w:cs="Times New Roman"/>
          <w:szCs w:val="24"/>
        </w:rPr>
        <w:t>any and all</w:t>
      </w:r>
      <w:proofErr w:type="gramEnd"/>
      <w:r w:rsidRPr="00AA4677">
        <w:rPr>
          <w:rFonts w:eastAsia="Times New Roman" w:cs="Times New Roman"/>
          <w:szCs w:val="24"/>
        </w:rPr>
        <w:t xml:space="preserve"> research involving human subjects. This </w:t>
      </w:r>
      <w:proofErr w:type="gramStart"/>
      <w:r w:rsidRPr="00AA4677">
        <w:rPr>
          <w:rFonts w:eastAsia="Times New Roman" w:cs="Times New Roman"/>
          <w:szCs w:val="24"/>
        </w:rPr>
        <w:t>guidance</w:t>
      </w:r>
      <w:proofErr w:type="gramEnd"/>
      <w:r w:rsidRPr="00AA4677">
        <w:rPr>
          <w:rFonts w:eastAsia="Times New Roman" w:cs="Times New Roman"/>
          <w:szCs w:val="24"/>
        </w:rPr>
        <w:t xml:space="preserve"> provides details for proper documentation in research involving human subjects. When ORC </w:t>
      </w:r>
      <w:r w:rsidR="00234C33" w:rsidRPr="00AA4677">
        <w:rPr>
          <w:rFonts w:eastAsia="Times New Roman" w:cs="Times New Roman"/>
          <w:szCs w:val="24"/>
        </w:rPr>
        <w:t>S</w:t>
      </w:r>
      <w:r w:rsidRPr="00AA4677">
        <w:rPr>
          <w:rFonts w:eastAsia="Times New Roman" w:cs="Times New Roman"/>
          <w:szCs w:val="24"/>
        </w:rPr>
        <w:t>taff conduct audit/monitoring visits, it will be expected that appropriate documentation processes are being followed.</w:t>
      </w:r>
    </w:p>
    <w:p w14:paraId="39E5CE37" w14:textId="4BA4528F" w:rsidR="00FC174E" w:rsidRPr="00AA4677" w:rsidRDefault="00FC174E">
      <w:pPr>
        <w:numPr>
          <w:ilvl w:val="0"/>
          <w:numId w:val="63"/>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There should be </w:t>
      </w:r>
      <w:r w:rsidR="00700188" w:rsidRPr="00AA4677">
        <w:rPr>
          <w:rFonts w:eastAsia="Times New Roman" w:cs="Times New Roman"/>
          <w:szCs w:val="24"/>
        </w:rPr>
        <w:t>two</w:t>
      </w:r>
      <w:r w:rsidRPr="00AA4677">
        <w:rPr>
          <w:rFonts w:eastAsia="Times New Roman" w:cs="Times New Roman"/>
          <w:szCs w:val="24"/>
        </w:rPr>
        <w:t xml:space="preserve"> types of ‘stories’ that must be clea</w:t>
      </w:r>
      <w:r w:rsidR="00700188" w:rsidRPr="00AA4677">
        <w:rPr>
          <w:rFonts w:eastAsia="Times New Roman" w:cs="Times New Roman"/>
          <w:szCs w:val="24"/>
        </w:rPr>
        <w:t xml:space="preserve">rly documented for each study (A) The Regulatory Binder and (B) The Subject Record. </w:t>
      </w:r>
    </w:p>
    <w:p w14:paraId="4024D58B" w14:textId="2828D3C5" w:rsidR="00FC174E" w:rsidRPr="00AA4677" w:rsidRDefault="00FC174E">
      <w:pPr>
        <w:pStyle w:val="ListParagraph"/>
        <w:numPr>
          <w:ilvl w:val="0"/>
          <w:numId w:val="123"/>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b/>
          <w:bCs/>
          <w:szCs w:val="24"/>
        </w:rPr>
        <w:t>The Regulatory Binder: </w:t>
      </w:r>
      <w:r w:rsidRPr="00AA4677">
        <w:rPr>
          <w:rFonts w:eastAsia="Times New Roman" w:cs="Times New Roman"/>
          <w:szCs w:val="24"/>
        </w:rPr>
        <w:t>The Regulatory History of the Study</w:t>
      </w:r>
    </w:p>
    <w:p w14:paraId="60210CDC" w14:textId="77777777" w:rsidR="00FC174E" w:rsidRPr="00AA4677" w:rsidRDefault="00FC174E" w:rsidP="00067941">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i/>
          <w:iCs/>
          <w:szCs w:val="24"/>
        </w:rPr>
        <w:t>Note: Some, but not all, of the documents below may already be available in the IRB electronic system. If the PI decides not to place those documents in the regulatory binder for the study, </w:t>
      </w:r>
      <w:r w:rsidRPr="00AA4677">
        <w:rPr>
          <w:rFonts w:eastAsia="Times New Roman" w:cs="Times New Roman"/>
          <w:szCs w:val="24"/>
        </w:rPr>
        <w:t xml:space="preserve">the PI is responsible for ensuring that all study personnel know how to access them </w:t>
      </w:r>
      <w:r w:rsidRPr="00AA4677">
        <w:rPr>
          <w:rFonts w:eastAsia="Times New Roman" w:cs="Times New Roman"/>
          <w:i/>
          <w:iCs/>
          <w:szCs w:val="24"/>
        </w:rPr>
        <w:t>in the electronic system.</w:t>
      </w:r>
    </w:p>
    <w:p w14:paraId="6EF74C2E" w14:textId="7C046255" w:rsidR="00FC174E" w:rsidRPr="00AA4677" w:rsidRDefault="00FC174E" w:rsidP="00067941">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The following documents should be in this binder, in sequential order, with</w:t>
      </w:r>
      <w:r w:rsidR="00E5431C" w:rsidRPr="00AA4677">
        <w:rPr>
          <w:rFonts w:eastAsia="Times New Roman" w:cs="Times New Roman"/>
          <w:szCs w:val="24"/>
        </w:rPr>
        <w:t xml:space="preserve"> the</w:t>
      </w:r>
      <w:r w:rsidRPr="00AA4677">
        <w:rPr>
          <w:rFonts w:eastAsia="Times New Roman" w:cs="Times New Roman"/>
          <w:szCs w:val="24"/>
        </w:rPr>
        <w:t xml:space="preserve"> most current documents on top:</w:t>
      </w:r>
    </w:p>
    <w:p w14:paraId="20326F02" w14:textId="434C0F28"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IRB approval, acknowledgement letters</w:t>
      </w:r>
      <w:r w:rsidR="00234C33" w:rsidRPr="00AA4677">
        <w:rPr>
          <w:rFonts w:eastAsia="Times New Roman" w:cs="Times New Roman"/>
          <w:szCs w:val="24"/>
        </w:rPr>
        <w:t>.</w:t>
      </w:r>
    </w:p>
    <w:p w14:paraId="49D96197" w14:textId="79801FAC"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Cs/>
          <w:szCs w:val="24"/>
        </w:rPr>
        <w:t>All IRB approved/acknowledged study documents</w:t>
      </w:r>
      <w:r w:rsidRPr="00AA4677">
        <w:rPr>
          <w:rFonts w:eastAsia="Times New Roman" w:cs="Times New Roman"/>
          <w:szCs w:val="24"/>
        </w:rPr>
        <w:t> (e.g. protocol, protocol amendments, stamped consent/permission/assent documents, diary forms, translations, advertisements/brochures for recruitment, surveys), package inserts, Investigator brochures, Certificate of Confidentiality, etc.)</w:t>
      </w:r>
      <w:r w:rsidR="00234C33" w:rsidRPr="00AA4677">
        <w:rPr>
          <w:rFonts w:eastAsia="Times New Roman" w:cs="Times New Roman"/>
          <w:szCs w:val="24"/>
        </w:rPr>
        <w:t>.</w:t>
      </w:r>
    </w:p>
    <w:p w14:paraId="3381AABC" w14:textId="1A2AF8F6"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Cs/>
          <w:szCs w:val="24"/>
        </w:rPr>
        <w:t>Protocol deviations/exceptions</w:t>
      </w:r>
      <w:r w:rsidRPr="00AA4677">
        <w:rPr>
          <w:rFonts w:eastAsia="Times New Roman" w:cs="Times New Roman"/>
          <w:szCs w:val="24"/>
        </w:rPr>
        <w:t> with report to the</w:t>
      </w:r>
      <w:r w:rsidR="00234C33"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(and sponsor as applicable), and resulting determinations and</w:t>
      </w:r>
      <w:r w:rsidR="00234C33" w:rsidRPr="00AA4677">
        <w:rPr>
          <w:rFonts w:eastAsia="Times New Roman" w:cs="Times New Roman"/>
          <w:szCs w:val="24"/>
        </w:rPr>
        <w:t xml:space="preserve"> </w:t>
      </w:r>
      <w:r w:rsidR="00EE7207" w:rsidRPr="00AA4677">
        <w:rPr>
          <w:rFonts w:eastAsia="Times New Roman" w:cs="Times New Roman"/>
          <w:szCs w:val="24"/>
        </w:rPr>
        <w:t>IRB</w:t>
      </w:r>
      <w:r w:rsidR="00234C33" w:rsidRPr="00AA4677">
        <w:rPr>
          <w:rFonts w:eastAsia="Times New Roman" w:cs="Times New Roman"/>
          <w:szCs w:val="24"/>
        </w:rPr>
        <w:t xml:space="preserve"> </w:t>
      </w:r>
      <w:r w:rsidRPr="00AA4677">
        <w:rPr>
          <w:rFonts w:eastAsia="Times New Roman" w:cs="Times New Roman"/>
          <w:szCs w:val="24"/>
        </w:rPr>
        <w:t>approved corrective action plans, if required.</w:t>
      </w:r>
    </w:p>
    <w:p w14:paraId="107FAFB6" w14:textId="2599AA2D"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Cs/>
          <w:szCs w:val="24"/>
        </w:rPr>
        <w:t>Unanticipated problems involving risk to subjects or others (UP’s):</w:t>
      </w:r>
      <w:r w:rsidRPr="00AA4677">
        <w:rPr>
          <w:rFonts w:eastAsia="Times New Roman" w:cs="Times New Roman"/>
          <w:szCs w:val="24"/>
        </w:rPr>
        <w:t xml:space="preserve"> with report to </w:t>
      </w:r>
      <w:r w:rsidR="00EE7207" w:rsidRPr="00AA4677">
        <w:rPr>
          <w:rFonts w:eastAsia="Times New Roman" w:cs="Times New Roman"/>
          <w:szCs w:val="24"/>
        </w:rPr>
        <w:t>IRB</w:t>
      </w:r>
      <w:r w:rsidRPr="00AA4677">
        <w:rPr>
          <w:rFonts w:eastAsia="Times New Roman" w:cs="Times New Roman"/>
          <w:szCs w:val="24"/>
        </w:rPr>
        <w:t>, and their determination</w:t>
      </w:r>
      <w:r w:rsidR="00234C33" w:rsidRPr="00AA4677">
        <w:rPr>
          <w:rFonts w:eastAsia="Times New Roman" w:cs="Times New Roman"/>
          <w:szCs w:val="24"/>
        </w:rPr>
        <w:t>.</w:t>
      </w:r>
    </w:p>
    <w:p w14:paraId="0D84A28D" w14:textId="38F9677A"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Cs/>
          <w:szCs w:val="24"/>
        </w:rPr>
        <w:t>Data collection form (sometimes called Case Report Form) templates.</w:t>
      </w:r>
      <w:r w:rsidRPr="00AA4677">
        <w:rPr>
          <w:rFonts w:eastAsia="Times New Roman" w:cs="Times New Roman"/>
          <w:szCs w:val="24"/>
        </w:rPr>
        <w:t xml:space="preserve"> A case report form is a data collection tool used to help investigators capture all research-required information for each subject. It is an excellent tool to ensure that the protocol is followed as approved by the </w:t>
      </w:r>
      <w:r w:rsidR="00EE7207" w:rsidRPr="00AA4677">
        <w:rPr>
          <w:rFonts w:eastAsia="Times New Roman" w:cs="Times New Roman"/>
          <w:szCs w:val="24"/>
        </w:rPr>
        <w:t>IRB</w:t>
      </w:r>
      <w:r w:rsidRPr="00AA4677">
        <w:rPr>
          <w:rFonts w:eastAsia="Times New Roman" w:cs="Times New Roman"/>
          <w:szCs w:val="24"/>
        </w:rPr>
        <w:t xml:space="preserve">. For </w:t>
      </w:r>
      <w:proofErr w:type="gramStart"/>
      <w:r w:rsidRPr="00AA4677">
        <w:rPr>
          <w:rFonts w:eastAsia="Times New Roman" w:cs="Times New Roman"/>
          <w:szCs w:val="24"/>
        </w:rPr>
        <w:t>investigator initiated</w:t>
      </w:r>
      <w:proofErr w:type="gramEnd"/>
      <w:r w:rsidRPr="00AA4677">
        <w:rPr>
          <w:rFonts w:eastAsia="Times New Roman" w:cs="Times New Roman"/>
          <w:szCs w:val="24"/>
        </w:rPr>
        <w:t xml:space="preserve"> studies, a case report form/source document collection form can be created by going through the protocol and outlining, step by step, what research procedures will occur, and what data was collected at each study visit. The web has many sites to aid in the construction of case report forms or data collection forms. (for example</w:t>
      </w:r>
      <w:r w:rsidR="00700188" w:rsidRPr="00AA4677">
        <w:rPr>
          <w:rFonts w:eastAsia="Times New Roman" w:cs="Times New Roman"/>
          <w:szCs w:val="24"/>
        </w:rPr>
        <w:t xml:space="preserve"> see: </w:t>
      </w:r>
      <w:hyperlink r:id="rId137" w:history="1">
        <w:r w:rsidR="00700188" w:rsidRPr="00696B35">
          <w:rPr>
            <w:rStyle w:val="Hyperlink"/>
          </w:rPr>
          <w:t>https://www.ncbi.nlm.nih.gov/pmc/articles/PMC4170533/</w:t>
        </w:r>
      </w:hyperlink>
      <w:r w:rsidR="00700188" w:rsidRPr="00AA4677">
        <w:t xml:space="preserve"> or </w:t>
      </w:r>
      <w:hyperlink r:id="rId138" w:tgtFrame="_blank" w:history="1">
        <w:r w:rsidR="00700188" w:rsidRPr="00AA4677">
          <w:t>http://</w:t>
        </w:r>
        <w:r w:rsidR="00700188" w:rsidRPr="00AA4677">
          <w:t>www.bumc.bu.edu/irb/files/PDFs/ABB_CaseReportForms_ClinicalResear...</w:t>
        </w:r>
      </w:hyperlink>
      <w:r w:rsidRPr="00AA4677">
        <w:rPr>
          <w:rFonts w:eastAsia="Times New Roman" w:cs="Times New Roman"/>
          <w:szCs w:val="24"/>
        </w:rPr>
        <w:t>)</w:t>
      </w:r>
    </w:p>
    <w:p w14:paraId="345CAF00" w14:textId="6C71822A"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Cs/>
          <w:szCs w:val="24"/>
        </w:rPr>
        <w:lastRenderedPageBreak/>
        <w:t>Inclusion/Exclusion Checklist template</w:t>
      </w:r>
      <w:r w:rsidRPr="00AA4677">
        <w:rPr>
          <w:rFonts w:eastAsia="Times New Roman" w:cs="Times New Roman"/>
          <w:szCs w:val="24"/>
        </w:rPr>
        <w:t>, with acceptabl</w:t>
      </w:r>
      <w:r w:rsidR="00234C33" w:rsidRPr="00AA4677">
        <w:rPr>
          <w:rFonts w:eastAsia="Times New Roman" w:cs="Times New Roman"/>
          <w:szCs w:val="24"/>
        </w:rPr>
        <w:t>e ranges (i.e.</w:t>
      </w:r>
      <w:r w:rsidRPr="00AA4677">
        <w:rPr>
          <w:rFonts w:eastAsia="Times New Roman" w:cs="Times New Roman"/>
          <w:szCs w:val="24"/>
        </w:rPr>
        <w:t xml:space="preserve"> </w:t>
      </w:r>
      <w:r w:rsidR="00234C33" w:rsidRPr="00AA4677">
        <w:rPr>
          <w:rFonts w:eastAsia="Times New Roman" w:cs="Times New Roman"/>
          <w:szCs w:val="24"/>
        </w:rPr>
        <w:t>l</w:t>
      </w:r>
      <w:r w:rsidRPr="00AA4677">
        <w:rPr>
          <w:rFonts w:eastAsia="Times New Roman" w:cs="Times New Roman"/>
          <w:szCs w:val="24"/>
        </w:rPr>
        <w:t>ab values</w:t>
      </w:r>
      <w:r w:rsidR="00443C3F" w:rsidRPr="00AA4677">
        <w:rPr>
          <w:rFonts w:eastAsia="Times New Roman" w:cs="Times New Roman"/>
          <w:szCs w:val="24"/>
        </w:rPr>
        <w:t>, ages, etc.</w:t>
      </w:r>
      <w:r w:rsidRPr="00AA4677">
        <w:rPr>
          <w:rFonts w:eastAsia="Times New Roman" w:cs="Times New Roman"/>
          <w:szCs w:val="24"/>
        </w:rPr>
        <w:t>), and a line for the subject’s value, where applicable. PI should review and sign the completed checklist for each subject, prior to any research procedures being conducted on the subject (including screening, randomization etc.).  Although this requirement is currently in place only for more than minimal risk studies, it is strongly suggested that all studies adopt the practice to ensure that only</w:t>
      </w:r>
      <w:r w:rsidR="00700188" w:rsidRPr="00AA4677">
        <w:rPr>
          <w:rFonts w:eastAsia="Times New Roman" w:cs="Times New Roman"/>
          <w:szCs w:val="24"/>
        </w:rPr>
        <w:t xml:space="preserve"> </w:t>
      </w:r>
      <w:r w:rsidR="00EE7207" w:rsidRPr="00AA4677">
        <w:rPr>
          <w:rFonts w:eastAsia="Times New Roman" w:cs="Times New Roman"/>
          <w:szCs w:val="24"/>
        </w:rPr>
        <w:t>IRB</w:t>
      </w:r>
      <w:r w:rsidRPr="00AA4677">
        <w:rPr>
          <w:rFonts w:eastAsia="Times New Roman" w:cs="Times New Roman"/>
          <w:szCs w:val="24"/>
        </w:rPr>
        <w:t xml:space="preserve"> approved, eligible subjects are enrolled in the study.</w:t>
      </w:r>
    </w:p>
    <w:p w14:paraId="62B25A2E" w14:textId="3D20A01E"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Cs/>
          <w:szCs w:val="24"/>
        </w:rPr>
        <w:t>Delegation of Authority Form</w:t>
      </w:r>
      <w:r w:rsidRPr="00AA4677">
        <w:rPr>
          <w:rFonts w:eastAsia="Times New Roman" w:cs="Times New Roman"/>
          <w:szCs w:val="24"/>
        </w:rPr>
        <w:t>: With this document, the P</w:t>
      </w:r>
      <w:r w:rsidR="00700188" w:rsidRPr="00AA4677">
        <w:rPr>
          <w:rFonts w:eastAsia="Times New Roman" w:cs="Times New Roman"/>
          <w:szCs w:val="24"/>
        </w:rPr>
        <w:t>I</w:t>
      </w:r>
      <w:r w:rsidRPr="00AA4677">
        <w:rPr>
          <w:rFonts w:eastAsia="Times New Roman" w:cs="Times New Roman"/>
          <w:szCs w:val="24"/>
        </w:rPr>
        <w:t xml:space="preserve"> formally delegates authority to specific team members to do specific research-related tasks. The delegation must be consistent with the individuals’ expertise and l</w:t>
      </w:r>
      <w:r w:rsidR="004D0E42" w:rsidRPr="00AA4677">
        <w:rPr>
          <w:rFonts w:eastAsia="Times New Roman" w:cs="Times New Roman"/>
          <w:szCs w:val="24"/>
        </w:rPr>
        <w:t>icensure where applicable (e.g.</w:t>
      </w:r>
      <w:r w:rsidRPr="00AA4677">
        <w:rPr>
          <w:rFonts w:eastAsia="Times New Roman" w:cs="Times New Roman"/>
          <w:szCs w:val="24"/>
        </w:rPr>
        <w:t xml:space="preserve"> Ms. S. Coordinator: consent process; Dr. C. Investigator, conducts the neuropsych</w:t>
      </w:r>
      <w:r w:rsidR="00606526" w:rsidRPr="00AA4677">
        <w:rPr>
          <w:rFonts w:eastAsia="Times New Roman" w:cs="Times New Roman"/>
          <w:szCs w:val="24"/>
        </w:rPr>
        <w:t>ological</w:t>
      </w:r>
      <w:r w:rsidRPr="00AA4677">
        <w:rPr>
          <w:rFonts w:eastAsia="Times New Roman" w:cs="Times New Roman"/>
          <w:szCs w:val="24"/>
        </w:rPr>
        <w:t xml:space="preserve"> exams; Mr. G. Student: data input/analysis etc.). This document should also show team </w:t>
      </w:r>
      <w:proofErr w:type="gramStart"/>
      <w:r w:rsidRPr="00AA4677">
        <w:rPr>
          <w:rFonts w:eastAsia="Times New Roman" w:cs="Times New Roman"/>
          <w:szCs w:val="24"/>
        </w:rPr>
        <w:t>members</w:t>
      </w:r>
      <w:proofErr w:type="gramEnd"/>
      <w:r w:rsidRPr="00AA4677">
        <w:rPr>
          <w:rFonts w:eastAsia="Times New Roman" w:cs="Times New Roman"/>
          <w:szCs w:val="24"/>
        </w:rPr>
        <w:t xml:space="preserve"> signatures and initials (for audit purposes).</w:t>
      </w:r>
    </w:p>
    <w:p w14:paraId="6F3A85FA" w14:textId="77777777"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Cs/>
          <w:szCs w:val="24"/>
        </w:rPr>
        <w:t>Proof of licensure for team members</w:t>
      </w:r>
      <w:r w:rsidRPr="00AA4677">
        <w:rPr>
          <w:rFonts w:eastAsia="Times New Roman" w:cs="Times New Roman"/>
          <w:szCs w:val="24"/>
        </w:rPr>
        <w:t>, based on their delegation of authority from the PI, as above.</w:t>
      </w:r>
    </w:p>
    <w:p w14:paraId="3332BDE9" w14:textId="77777777"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Subject ID code list location</w:t>
      </w:r>
    </w:p>
    <w:p w14:paraId="3CAC5150" w14:textId="77777777"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bCs/>
          <w:szCs w:val="24"/>
        </w:rPr>
        <w:t>Subject screen log/Subject enrollment log:</w:t>
      </w:r>
      <w:r w:rsidRPr="00AA4677">
        <w:rPr>
          <w:rFonts w:eastAsia="Times New Roman" w:cs="Times New Roman"/>
          <w:szCs w:val="24"/>
        </w:rPr>
        <w:t> this allows you to document the chronological enrollment of subjects</w:t>
      </w:r>
    </w:p>
    <w:p w14:paraId="39B83059" w14:textId="6DACF9BA" w:rsidR="00FC174E" w:rsidRPr="00AA4677" w:rsidRDefault="00FC174E">
      <w:pPr>
        <w:numPr>
          <w:ilvl w:val="0"/>
          <w:numId w:val="64"/>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 xml:space="preserve">Monitoring visit reports from within or outside </w:t>
      </w:r>
      <w:r w:rsidR="00700188" w:rsidRPr="00AA4677">
        <w:rPr>
          <w:rFonts w:eastAsia="Times New Roman" w:cs="Times New Roman"/>
          <w:szCs w:val="24"/>
        </w:rPr>
        <w:t>the University</w:t>
      </w:r>
      <w:r w:rsidRPr="00AA4677">
        <w:rPr>
          <w:rFonts w:eastAsia="Times New Roman" w:cs="Times New Roman"/>
          <w:szCs w:val="24"/>
        </w:rPr>
        <w:t>, self-audit reports</w:t>
      </w:r>
    </w:p>
    <w:p w14:paraId="6A238857" w14:textId="5DFFBFAC" w:rsidR="00FC174E" w:rsidRPr="00AA4677" w:rsidRDefault="00FC174E">
      <w:pPr>
        <w:numPr>
          <w:ilvl w:val="0"/>
          <w:numId w:val="64"/>
        </w:numPr>
        <w:shd w:val="clear" w:color="auto" w:fill="FFFFFF"/>
        <w:spacing w:after="0" w:line="240" w:lineRule="auto"/>
        <w:rPr>
          <w:rFonts w:eastAsia="Times New Roman" w:cs="Times New Roman"/>
          <w:szCs w:val="24"/>
        </w:rPr>
      </w:pPr>
      <w:r w:rsidRPr="00AA4677">
        <w:rPr>
          <w:rFonts w:eastAsia="Times New Roman" w:cs="Times New Roman"/>
          <w:bCs/>
          <w:szCs w:val="24"/>
        </w:rPr>
        <w:t>Relevant communications</w:t>
      </w:r>
      <w:r w:rsidRPr="00AA4677">
        <w:rPr>
          <w:rFonts w:eastAsia="Times New Roman" w:cs="Times New Roman"/>
          <w:szCs w:val="24"/>
        </w:rPr>
        <w:t>: e-mails, telephone call notes relating to the conduct of the study, or subject queries or complaint</w:t>
      </w:r>
      <w:r w:rsidR="00606526" w:rsidRPr="00AA4677">
        <w:rPr>
          <w:rFonts w:eastAsia="Times New Roman" w:cs="Times New Roman"/>
          <w:szCs w:val="24"/>
        </w:rPr>
        <w:t>s</w:t>
      </w:r>
      <w:r w:rsidRPr="00AA4677">
        <w:rPr>
          <w:rFonts w:eastAsia="Times New Roman" w:cs="Times New Roman"/>
          <w:szCs w:val="24"/>
        </w:rPr>
        <w:t xml:space="preserve"> etc.</w:t>
      </w:r>
    </w:p>
    <w:p w14:paraId="703272C7" w14:textId="77777777" w:rsidR="00FC174E" w:rsidRPr="00AA4677" w:rsidRDefault="00FC174E" w:rsidP="005920B2">
      <w:pPr>
        <w:shd w:val="clear" w:color="auto" w:fill="FFFFFF"/>
        <w:spacing w:after="0" w:line="240" w:lineRule="auto"/>
        <w:ind w:left="360"/>
        <w:rPr>
          <w:rFonts w:eastAsia="Times New Roman" w:cs="Times New Roman"/>
          <w:szCs w:val="24"/>
        </w:rPr>
      </w:pPr>
      <w:r w:rsidRPr="00AA4677">
        <w:rPr>
          <w:rFonts w:eastAsia="Times New Roman" w:cs="Times New Roman"/>
          <w:b/>
          <w:bCs/>
          <w:szCs w:val="24"/>
        </w:rPr>
        <w:t>And, as applicable:</w:t>
      </w:r>
    </w:p>
    <w:p w14:paraId="5A6A4230" w14:textId="77777777" w:rsidR="00FC174E" w:rsidRPr="00AA4677" w:rsidRDefault="00FC174E">
      <w:pPr>
        <w:numPr>
          <w:ilvl w:val="0"/>
          <w:numId w:val="65"/>
        </w:numPr>
        <w:shd w:val="clear" w:color="auto" w:fill="FFFFFF"/>
        <w:spacing w:after="0" w:line="240" w:lineRule="auto"/>
        <w:rPr>
          <w:rFonts w:eastAsia="Times New Roman" w:cs="Times New Roman"/>
          <w:szCs w:val="24"/>
        </w:rPr>
      </w:pPr>
      <w:r w:rsidRPr="00AA4677">
        <w:rPr>
          <w:rFonts w:eastAsia="Times New Roman" w:cs="Times New Roman"/>
          <w:szCs w:val="24"/>
        </w:rPr>
        <w:t>Drug/device dispensing log</w:t>
      </w:r>
    </w:p>
    <w:p w14:paraId="397A1C0E" w14:textId="77777777" w:rsidR="00FC174E" w:rsidRPr="00AA4677" w:rsidRDefault="00FC174E">
      <w:pPr>
        <w:numPr>
          <w:ilvl w:val="0"/>
          <w:numId w:val="65"/>
        </w:numPr>
        <w:shd w:val="clear" w:color="auto" w:fill="FFFFFF"/>
        <w:spacing w:after="0" w:line="240" w:lineRule="auto"/>
        <w:rPr>
          <w:rFonts w:eastAsia="Times New Roman" w:cs="Times New Roman"/>
          <w:szCs w:val="24"/>
        </w:rPr>
      </w:pPr>
      <w:r w:rsidRPr="00AA4677">
        <w:rPr>
          <w:rFonts w:eastAsia="Times New Roman" w:cs="Times New Roman"/>
          <w:szCs w:val="24"/>
        </w:rPr>
        <w:t>Reports required by sponsors, if any, and resulting correspondence</w:t>
      </w:r>
    </w:p>
    <w:p w14:paraId="1C931F27" w14:textId="77777777" w:rsidR="00FC174E" w:rsidRPr="00AA4677" w:rsidRDefault="00FC174E">
      <w:pPr>
        <w:numPr>
          <w:ilvl w:val="0"/>
          <w:numId w:val="6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Decoding procedures (for blinded trials)</w:t>
      </w:r>
    </w:p>
    <w:p w14:paraId="531EDB61" w14:textId="77777777" w:rsidR="00FC174E" w:rsidRPr="00AA4677" w:rsidRDefault="00FC174E">
      <w:pPr>
        <w:numPr>
          <w:ilvl w:val="0"/>
          <w:numId w:val="6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Certificate of Confidentiality</w:t>
      </w:r>
    </w:p>
    <w:p w14:paraId="61D30BA0" w14:textId="77777777" w:rsidR="00FC174E" w:rsidRPr="00AA4677" w:rsidRDefault="00FC174E">
      <w:pPr>
        <w:numPr>
          <w:ilvl w:val="0"/>
          <w:numId w:val="6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FDA Forms (e.g., 1571), reports to FDA, FDA communications, DSMB reports (if the PI is the sponsor of an IND/IDE)</w:t>
      </w:r>
    </w:p>
    <w:p w14:paraId="7871EED6" w14:textId="77777777" w:rsidR="00FC174E" w:rsidRPr="00AA4677" w:rsidRDefault="00FC174E">
      <w:pPr>
        <w:numPr>
          <w:ilvl w:val="0"/>
          <w:numId w:val="6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Location of stored/archived research records</w:t>
      </w:r>
    </w:p>
    <w:p w14:paraId="45E46F4B" w14:textId="77777777" w:rsidR="00FC174E" w:rsidRPr="00AA4677" w:rsidRDefault="00FC174E">
      <w:pPr>
        <w:numPr>
          <w:ilvl w:val="0"/>
          <w:numId w:val="65"/>
        </w:num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Membership of the Data Safety Monitoring Board</w:t>
      </w:r>
    </w:p>
    <w:p w14:paraId="678E6B48" w14:textId="6223809B" w:rsidR="00FC174E" w:rsidRPr="00AA4677" w:rsidRDefault="00FC174E">
      <w:pPr>
        <w:pStyle w:val="ListParagraph"/>
        <w:numPr>
          <w:ilvl w:val="0"/>
          <w:numId w:val="123"/>
        </w:numPr>
        <w:shd w:val="clear" w:color="auto" w:fill="FFFFFF"/>
        <w:spacing w:before="100" w:beforeAutospacing="1" w:after="100" w:afterAutospacing="1" w:line="240" w:lineRule="auto"/>
        <w:ind w:left="360"/>
        <w:rPr>
          <w:rFonts w:eastAsia="Times New Roman" w:cs="Times New Roman"/>
          <w:szCs w:val="24"/>
        </w:rPr>
      </w:pPr>
      <w:r w:rsidRPr="00AA4677">
        <w:rPr>
          <w:rFonts w:eastAsia="Times New Roman" w:cs="Times New Roman"/>
          <w:b/>
          <w:szCs w:val="24"/>
        </w:rPr>
        <w:t>The Subject Record:</w:t>
      </w:r>
      <w:r w:rsidRPr="00AA4677">
        <w:rPr>
          <w:rFonts w:eastAsia="Times New Roman" w:cs="Times New Roman"/>
          <w:szCs w:val="24"/>
        </w:rPr>
        <w:t xml:space="preserve"> </w:t>
      </w:r>
      <w:r w:rsidRPr="00AA4677">
        <w:rPr>
          <w:rFonts w:eastAsia="Times New Roman" w:cs="Times New Roman"/>
          <w:bCs/>
          <w:szCs w:val="24"/>
        </w:rPr>
        <w:t>The</w:t>
      </w:r>
      <w:r w:rsidR="005920B2" w:rsidRPr="00AA4677">
        <w:rPr>
          <w:rFonts w:eastAsia="Times New Roman" w:cs="Times New Roman"/>
          <w:szCs w:val="24"/>
        </w:rPr>
        <w:t xml:space="preserve"> Complete “Story” for E</w:t>
      </w:r>
      <w:r w:rsidRPr="00AA4677">
        <w:rPr>
          <w:rFonts w:eastAsia="Times New Roman" w:cs="Times New Roman"/>
          <w:szCs w:val="24"/>
        </w:rPr>
        <w:t>very Subject</w:t>
      </w:r>
    </w:p>
    <w:p w14:paraId="5DB69D98" w14:textId="77777777" w:rsidR="00FC174E" w:rsidRPr="00AA4677" w:rsidRDefault="00FC174E" w:rsidP="005920B2">
      <w:pPr>
        <w:shd w:val="clear" w:color="auto" w:fill="FFFFFF"/>
        <w:spacing w:before="100" w:beforeAutospacing="1" w:after="100" w:afterAutospacing="1" w:line="240" w:lineRule="auto"/>
        <w:ind w:left="360" w:hanging="360"/>
        <w:rPr>
          <w:rFonts w:eastAsia="Times New Roman" w:cs="Times New Roman"/>
          <w:szCs w:val="24"/>
        </w:rPr>
      </w:pPr>
      <w:r w:rsidRPr="00AA4677">
        <w:rPr>
          <w:rFonts w:eastAsia="Times New Roman" w:cs="Times New Roman"/>
          <w:i/>
          <w:iCs/>
          <w:szCs w:val="24"/>
        </w:rPr>
        <w:t>There should be a record of all activities that have occurred on the study for each subject.  </w:t>
      </w:r>
    </w:p>
    <w:p w14:paraId="41C8B466" w14:textId="77777777" w:rsidR="00FC174E" w:rsidRPr="00AA4677" w:rsidRDefault="00FC174E" w:rsidP="005920B2">
      <w:pPr>
        <w:shd w:val="clear" w:color="auto" w:fill="FFFFFF"/>
        <w:spacing w:before="100" w:beforeAutospacing="1" w:after="100" w:afterAutospacing="1" w:line="240" w:lineRule="auto"/>
        <w:ind w:left="360" w:hanging="360"/>
        <w:rPr>
          <w:rFonts w:eastAsia="Times New Roman" w:cs="Times New Roman"/>
          <w:szCs w:val="24"/>
        </w:rPr>
      </w:pPr>
      <w:r w:rsidRPr="00AA4677">
        <w:rPr>
          <w:rFonts w:eastAsia="Times New Roman" w:cs="Times New Roman"/>
          <w:i/>
          <w:iCs/>
          <w:szCs w:val="24"/>
        </w:rPr>
        <w:t xml:space="preserve">The record should be coded, and the key to the code should be retained in a separate locked location </w:t>
      </w:r>
      <w:proofErr w:type="gramStart"/>
      <w:r w:rsidRPr="00AA4677">
        <w:rPr>
          <w:rFonts w:eastAsia="Times New Roman" w:cs="Times New Roman"/>
          <w:i/>
          <w:iCs/>
          <w:szCs w:val="24"/>
        </w:rPr>
        <w:t>in order to</w:t>
      </w:r>
      <w:proofErr w:type="gramEnd"/>
      <w:r w:rsidRPr="00AA4677">
        <w:rPr>
          <w:rFonts w:eastAsia="Times New Roman" w:cs="Times New Roman"/>
          <w:i/>
          <w:iCs/>
          <w:szCs w:val="24"/>
        </w:rPr>
        <w:t xml:space="preserve"> protect subject confidentiality.</w:t>
      </w:r>
    </w:p>
    <w:p w14:paraId="4BBD8146" w14:textId="349ADE39" w:rsidR="00FC174E" w:rsidRPr="00AA4677" w:rsidRDefault="00FC174E">
      <w:pPr>
        <w:numPr>
          <w:ilvl w:val="0"/>
          <w:numId w:val="66"/>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b/>
          <w:bCs/>
          <w:szCs w:val="24"/>
        </w:rPr>
        <w:lastRenderedPageBreak/>
        <w:t>Description of method of recruitment</w:t>
      </w:r>
      <w:r w:rsidRPr="00AA4677">
        <w:rPr>
          <w:rFonts w:eastAsia="Times New Roman" w:cs="Times New Roman"/>
          <w:szCs w:val="24"/>
        </w:rPr>
        <w:t> fo</w:t>
      </w:r>
      <w:r w:rsidR="00700188" w:rsidRPr="00AA4677">
        <w:rPr>
          <w:rFonts w:eastAsia="Times New Roman" w:cs="Times New Roman"/>
          <w:szCs w:val="24"/>
        </w:rPr>
        <w:t>r the subject in question (e.g.</w:t>
      </w:r>
      <w:r w:rsidRPr="00AA4677">
        <w:rPr>
          <w:rFonts w:eastAsia="Times New Roman" w:cs="Times New Roman"/>
          <w:szCs w:val="24"/>
        </w:rPr>
        <w:t xml:space="preserve"> “Ms. Patient was encountered in the clinic when she came for a medication check for her thyroid”, or Mr. Grad Student responded to an advertisement in Psych B. etc.)</w:t>
      </w:r>
    </w:p>
    <w:p w14:paraId="40153A90" w14:textId="4C1B8563" w:rsidR="00FC174E" w:rsidRPr="00AA4677" w:rsidRDefault="00FC174E">
      <w:pPr>
        <w:numPr>
          <w:ilvl w:val="0"/>
          <w:numId w:val="66"/>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b/>
          <w:bCs/>
          <w:szCs w:val="24"/>
        </w:rPr>
        <w:t>Completed inclusion/exclusion checklist</w:t>
      </w:r>
      <w:r w:rsidRPr="00AA4677">
        <w:rPr>
          <w:rFonts w:eastAsia="Times New Roman" w:cs="Times New Roman"/>
          <w:szCs w:val="24"/>
        </w:rPr>
        <w:t> with specific values/data entered for the subject. </w:t>
      </w:r>
      <w:r w:rsidRPr="00AA4677">
        <w:rPr>
          <w:rFonts w:eastAsia="Times New Roman" w:cs="Times New Roman"/>
          <w:i/>
          <w:iCs/>
          <w:szCs w:val="24"/>
        </w:rPr>
        <w:t xml:space="preserve">Although this requirement is </w:t>
      </w:r>
      <w:r w:rsidR="00606526" w:rsidRPr="00AA4677">
        <w:rPr>
          <w:rFonts w:eastAsia="Times New Roman" w:cs="Times New Roman"/>
          <w:i/>
          <w:iCs/>
          <w:szCs w:val="24"/>
        </w:rPr>
        <w:t>currently in place only for</w:t>
      </w:r>
      <w:r w:rsidRPr="00AA4677">
        <w:rPr>
          <w:rFonts w:eastAsia="Times New Roman" w:cs="Times New Roman"/>
          <w:i/>
          <w:iCs/>
          <w:szCs w:val="24"/>
        </w:rPr>
        <w:t xml:space="preserve"> more than minimal risk studies, it is strongly suggested that all studies adopt the practice to ensure that only IRB approved, eligible subjects are enrolled in the study.</w:t>
      </w:r>
    </w:p>
    <w:p w14:paraId="097481E1" w14:textId="77777777" w:rsidR="00FC174E" w:rsidRPr="00AA4677" w:rsidRDefault="00FC174E">
      <w:pPr>
        <w:numPr>
          <w:ilvl w:val="0"/>
          <w:numId w:val="66"/>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b/>
          <w:bCs/>
          <w:szCs w:val="24"/>
        </w:rPr>
        <w:t>Details of the consent process</w:t>
      </w:r>
      <w:r w:rsidRPr="00AA4677">
        <w:rPr>
          <w:rFonts w:eastAsia="Times New Roman" w:cs="Times New Roman"/>
          <w:szCs w:val="24"/>
        </w:rPr>
        <w:t> with the subject. A form can be used to facilitate this documentation, an example of such, is provided in Appendix I following this SOP.  </w:t>
      </w:r>
    </w:p>
    <w:p w14:paraId="55A746DD" w14:textId="344BF292" w:rsidR="00FC174E" w:rsidRPr="00AA4677" w:rsidRDefault="00FC174E">
      <w:pPr>
        <w:numPr>
          <w:ilvl w:val="0"/>
          <w:numId w:val="66"/>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b/>
          <w:bCs/>
          <w:szCs w:val="24"/>
        </w:rPr>
        <w:t>Signed informed consent/permission/assent documents </w:t>
      </w:r>
      <w:r w:rsidRPr="00AA4677">
        <w:rPr>
          <w:rFonts w:eastAsia="Times New Roman" w:cs="Times New Roman"/>
          <w:szCs w:val="24"/>
        </w:rPr>
        <w:t xml:space="preserve">(including any consent addenda signed by the subject </w:t>
      </w:r>
      <w:proofErr w:type="gramStart"/>
      <w:r w:rsidRPr="00AA4677">
        <w:rPr>
          <w:rFonts w:eastAsia="Times New Roman" w:cs="Times New Roman"/>
          <w:szCs w:val="24"/>
        </w:rPr>
        <w:t>during the course of</w:t>
      </w:r>
      <w:proofErr w:type="gramEnd"/>
      <w:r w:rsidRPr="00AA4677">
        <w:rPr>
          <w:rFonts w:eastAsia="Times New Roman" w:cs="Times New Roman"/>
          <w:szCs w:val="24"/>
        </w:rPr>
        <w:t xml:space="preserve"> the study)</w:t>
      </w:r>
      <w:r w:rsidR="00700188" w:rsidRPr="00AA4677">
        <w:rPr>
          <w:rFonts w:eastAsia="Times New Roman" w:cs="Times New Roman"/>
          <w:szCs w:val="24"/>
        </w:rPr>
        <w:t>.</w:t>
      </w:r>
    </w:p>
    <w:p w14:paraId="0D5679FC" w14:textId="77777777" w:rsidR="00FC174E" w:rsidRPr="00AA4677" w:rsidRDefault="00FC174E">
      <w:pPr>
        <w:numPr>
          <w:ilvl w:val="0"/>
          <w:numId w:val="67"/>
        </w:numPr>
        <w:shd w:val="clear" w:color="auto" w:fill="FFFFFF"/>
        <w:tabs>
          <w:tab w:val="clear" w:pos="720"/>
          <w:tab w:val="num" w:pos="360"/>
        </w:tabs>
        <w:spacing w:after="0" w:line="240" w:lineRule="auto"/>
        <w:ind w:left="360"/>
        <w:rPr>
          <w:rFonts w:eastAsia="Times New Roman" w:cs="Times New Roman"/>
          <w:szCs w:val="24"/>
        </w:rPr>
      </w:pPr>
      <w:r w:rsidRPr="00AA4677">
        <w:rPr>
          <w:rFonts w:eastAsia="Times New Roman" w:cs="Times New Roman"/>
          <w:b/>
          <w:bCs/>
          <w:szCs w:val="24"/>
        </w:rPr>
        <w:t>Source documents:</w:t>
      </w:r>
      <w:r w:rsidRPr="00AA4677">
        <w:rPr>
          <w:rFonts w:eastAsia="Times New Roman" w:cs="Times New Roman"/>
          <w:szCs w:val="24"/>
        </w:rPr>
        <w:t> A source document contains data that is initially collected on the subject.  It can be a case report form/data collection form or may simply be lab values, etc.  </w:t>
      </w:r>
    </w:p>
    <w:p w14:paraId="49926906" w14:textId="77777777" w:rsidR="00FC174E" w:rsidRPr="00AA4677" w:rsidRDefault="00FC174E" w:rsidP="00CF06EE">
      <w:pPr>
        <w:shd w:val="clear" w:color="auto" w:fill="FFFFFF"/>
        <w:tabs>
          <w:tab w:val="num" w:pos="0"/>
        </w:tabs>
        <w:spacing w:before="100" w:beforeAutospacing="1" w:after="100" w:afterAutospacing="1" w:line="240" w:lineRule="auto"/>
        <w:rPr>
          <w:rFonts w:eastAsia="Times New Roman" w:cs="Times New Roman"/>
          <w:szCs w:val="24"/>
        </w:rPr>
      </w:pPr>
      <w:r w:rsidRPr="00AA4677">
        <w:rPr>
          <w:rFonts w:eastAsia="Times New Roman" w:cs="Times New Roman"/>
          <w:szCs w:val="24"/>
        </w:rPr>
        <w:t>The source documentation details the specific values/data entered for the subject, i.e., inclusion/exclusion data, screening, research procedures conducted/data collected throughout the course of the study. Such information must match what the informed consent documents describe will be conducted/collected. Examples: hard copies of completed surveys, questionnaires, lab/radiology reports, x-rays.</w:t>
      </w:r>
    </w:p>
    <w:p w14:paraId="10D3F907" w14:textId="77777777" w:rsidR="00FC174E" w:rsidRPr="00AA4677" w:rsidRDefault="00FC174E" w:rsidP="00CF06EE">
      <w:pPr>
        <w:shd w:val="clear" w:color="auto" w:fill="FFFFFF"/>
        <w:tabs>
          <w:tab w:val="num" w:pos="0"/>
        </w:tabs>
        <w:spacing w:before="100" w:beforeAutospacing="1" w:after="100" w:afterAutospacing="1" w:line="240" w:lineRule="auto"/>
        <w:rPr>
          <w:rFonts w:eastAsia="Times New Roman" w:cs="Times New Roman"/>
          <w:szCs w:val="24"/>
        </w:rPr>
      </w:pPr>
      <w:r w:rsidRPr="00AA4677">
        <w:rPr>
          <w:rFonts w:eastAsia="Times New Roman" w:cs="Times New Roman"/>
          <w:i/>
          <w:iCs/>
          <w:szCs w:val="24"/>
        </w:rPr>
        <w:t>Note: If information is taken from the medical record, a copy of the applicable page (or screen shot from the electronic medical record) will suffice as source documentation.</w:t>
      </w:r>
    </w:p>
    <w:p w14:paraId="2F053FF6" w14:textId="558BA96F" w:rsidR="00FC174E" w:rsidRPr="00AA4677" w:rsidRDefault="00FC174E">
      <w:pPr>
        <w:numPr>
          <w:ilvl w:val="0"/>
          <w:numId w:val="6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b/>
          <w:bCs/>
          <w:szCs w:val="24"/>
        </w:rPr>
        <w:t>Completed case report forms/data collection forms for each visit.</w:t>
      </w:r>
      <w:r w:rsidRPr="00AA4677">
        <w:rPr>
          <w:rFonts w:eastAsia="Times New Roman" w:cs="Times New Roman"/>
          <w:szCs w:val="24"/>
        </w:rPr>
        <w:t xml:space="preserve"> These should also provide a section where the investigator can put ‘visit </w:t>
      </w:r>
      <w:proofErr w:type="gramStart"/>
      <w:r w:rsidRPr="00AA4677">
        <w:rPr>
          <w:rFonts w:eastAsia="Times New Roman" w:cs="Times New Roman"/>
          <w:szCs w:val="24"/>
        </w:rPr>
        <w:t>notes’ (</w:t>
      </w:r>
      <w:proofErr w:type="gramEnd"/>
      <w:r w:rsidRPr="00AA4677">
        <w:rPr>
          <w:rFonts w:eastAsia="Times New Roman" w:cs="Times New Roman"/>
          <w:szCs w:val="24"/>
        </w:rPr>
        <w:t>e.g. subject reported no problems etc.)</w:t>
      </w:r>
    </w:p>
    <w:p w14:paraId="77737F9B" w14:textId="46BE1BA7" w:rsidR="00FC174E" w:rsidRPr="00AA4677" w:rsidRDefault="00FC174E">
      <w:pPr>
        <w:numPr>
          <w:ilvl w:val="0"/>
          <w:numId w:val="68"/>
        </w:numPr>
        <w:shd w:val="clear" w:color="auto" w:fill="FFFFFF"/>
        <w:tabs>
          <w:tab w:val="clear" w:pos="720"/>
          <w:tab w:val="num" w:pos="360"/>
        </w:tabs>
        <w:spacing w:before="100" w:beforeAutospacing="1" w:after="100" w:afterAutospacing="1" w:line="240" w:lineRule="auto"/>
        <w:ind w:left="360"/>
        <w:rPr>
          <w:rFonts w:eastAsia="Times New Roman" w:cs="Times New Roman"/>
          <w:szCs w:val="24"/>
        </w:rPr>
      </w:pPr>
      <w:r w:rsidRPr="00AA4677">
        <w:rPr>
          <w:rFonts w:eastAsia="Times New Roman" w:cs="Times New Roman"/>
          <w:b/>
          <w:bCs/>
          <w:szCs w:val="24"/>
        </w:rPr>
        <w:t>A log of all adverse events (AE’s) that the subject experienced</w:t>
      </w:r>
      <w:r w:rsidRPr="00AA4677">
        <w:rPr>
          <w:rFonts w:eastAsia="Times New Roman" w:cs="Times New Roman"/>
          <w:szCs w:val="24"/>
        </w:rPr>
        <w:t> (if it does not constitute an unanticipated problem involving risks to subjects or others, which must be reported to the IRB immediately</w:t>
      </w:r>
      <w:r w:rsidR="003B5112" w:rsidRPr="00AA4677">
        <w:rPr>
          <w:rFonts w:eastAsia="Times New Roman" w:cs="Times New Roman"/>
          <w:szCs w:val="24"/>
        </w:rPr>
        <w:t>.</w:t>
      </w:r>
      <w:r w:rsidRPr="00AA4677">
        <w:rPr>
          <w:rFonts w:eastAsia="Times New Roman" w:cs="Times New Roman"/>
          <w:szCs w:val="24"/>
        </w:rPr>
        <w:t xml:space="preserve"> </w:t>
      </w:r>
      <w:r w:rsidR="003B5112" w:rsidRPr="00AA4677">
        <w:rPr>
          <w:rFonts w:eastAsia="Times New Roman" w:cs="Times New Roman"/>
          <w:szCs w:val="24"/>
        </w:rPr>
        <w:t>T</w:t>
      </w:r>
      <w:r w:rsidRPr="00AA4677">
        <w:rPr>
          <w:rFonts w:eastAsia="Times New Roman" w:cs="Times New Roman"/>
          <w:szCs w:val="24"/>
        </w:rPr>
        <w:t xml:space="preserve">hese </w:t>
      </w:r>
      <w:proofErr w:type="gramStart"/>
      <w:r w:rsidRPr="00AA4677">
        <w:rPr>
          <w:rFonts w:eastAsia="Times New Roman" w:cs="Times New Roman"/>
          <w:szCs w:val="24"/>
        </w:rPr>
        <w:t>AE’s</w:t>
      </w:r>
      <w:proofErr w:type="gramEnd"/>
      <w:r w:rsidRPr="00AA4677">
        <w:rPr>
          <w:rFonts w:eastAsia="Times New Roman" w:cs="Times New Roman"/>
          <w:szCs w:val="24"/>
        </w:rPr>
        <w:t xml:space="preserve"> are reported at the time of continuing review.</w:t>
      </w:r>
    </w:p>
    <w:p w14:paraId="24F342D7" w14:textId="77777777"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b/>
          <w:bCs/>
          <w:szCs w:val="24"/>
          <w:highlight w:val="yellow"/>
        </w:rPr>
        <w:t>Appendix I Documentation of Consent/Permission/Assent Process</w:t>
      </w:r>
    </w:p>
    <w:p w14:paraId="2357EA61" w14:textId="113F9003"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i/>
          <w:iCs/>
          <w:szCs w:val="24"/>
          <w:highlight w:val="yellow"/>
        </w:rPr>
        <w:t>(</w:t>
      </w:r>
      <w:r w:rsidR="00950C8E" w:rsidRPr="00160475">
        <w:rPr>
          <w:rFonts w:eastAsia="Times New Roman" w:cs="Times New Roman"/>
          <w:i/>
          <w:iCs/>
          <w:szCs w:val="24"/>
          <w:highlight w:val="yellow"/>
        </w:rPr>
        <w:t>It is recommended that this information</w:t>
      </w:r>
      <w:r w:rsidRPr="00160475">
        <w:rPr>
          <w:rFonts w:eastAsia="Times New Roman" w:cs="Times New Roman"/>
          <w:i/>
          <w:iCs/>
          <w:szCs w:val="24"/>
          <w:highlight w:val="yellow"/>
        </w:rPr>
        <w:t xml:space="preserve"> be completed by the Study Team Member who is Obtaining Consent)</w:t>
      </w:r>
    </w:p>
    <w:p w14:paraId="7EC74E85" w14:textId="77777777"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b/>
          <w:bCs/>
          <w:szCs w:val="24"/>
          <w:highlight w:val="yellow"/>
        </w:rPr>
        <w:t>Study PI</w:t>
      </w:r>
      <w:r w:rsidRPr="00160475">
        <w:rPr>
          <w:rFonts w:eastAsia="Times New Roman" w:cs="Times New Roman"/>
          <w:szCs w:val="24"/>
          <w:highlight w:val="yellow"/>
        </w:rPr>
        <w:t>:__________________________________</w:t>
      </w:r>
    </w:p>
    <w:p w14:paraId="3F1C48DD" w14:textId="067175AB"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b/>
          <w:bCs/>
          <w:szCs w:val="24"/>
          <w:highlight w:val="yellow"/>
        </w:rPr>
        <w:t>Study Identifier</w:t>
      </w:r>
      <w:r w:rsidR="00443C3F" w:rsidRPr="00160475">
        <w:rPr>
          <w:rFonts w:eastAsia="Times New Roman" w:cs="Times New Roman"/>
          <w:b/>
          <w:bCs/>
          <w:szCs w:val="24"/>
          <w:highlight w:val="yellow"/>
        </w:rPr>
        <w:t>:</w:t>
      </w:r>
      <w:r w:rsidRPr="00160475">
        <w:rPr>
          <w:rFonts w:eastAsia="Times New Roman" w:cs="Times New Roman"/>
          <w:szCs w:val="24"/>
          <w:highlight w:val="yellow"/>
        </w:rPr>
        <w:t>____________________             </w:t>
      </w:r>
      <w:r w:rsidRPr="00160475">
        <w:rPr>
          <w:rFonts w:eastAsia="Times New Roman" w:cs="Times New Roman"/>
          <w:b/>
          <w:bCs/>
          <w:szCs w:val="24"/>
          <w:highlight w:val="yellow"/>
        </w:rPr>
        <w:t>Date:</w:t>
      </w:r>
      <w:r w:rsidRPr="00160475">
        <w:rPr>
          <w:rFonts w:eastAsia="Times New Roman" w:cs="Times New Roman"/>
          <w:szCs w:val="24"/>
          <w:highlight w:val="yellow"/>
        </w:rPr>
        <w:t> ____________</w:t>
      </w:r>
    </w:p>
    <w:p w14:paraId="3B242C90" w14:textId="77777777"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b/>
          <w:bCs/>
          <w:szCs w:val="24"/>
          <w:highlight w:val="yellow"/>
        </w:rPr>
        <w:t xml:space="preserve">Subject Name: </w:t>
      </w:r>
      <w:r w:rsidRPr="00160475">
        <w:rPr>
          <w:rFonts w:eastAsia="Times New Roman" w:cs="Times New Roman"/>
          <w:szCs w:val="24"/>
          <w:highlight w:val="yellow"/>
        </w:rPr>
        <w:t>______________________________</w:t>
      </w:r>
    </w:p>
    <w:p w14:paraId="75CE67D3" w14:textId="77777777"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b/>
          <w:bCs/>
          <w:szCs w:val="24"/>
          <w:highlight w:val="yellow"/>
        </w:rPr>
        <w:lastRenderedPageBreak/>
        <w:t>Parent Name(s), if subject is a minor</w:t>
      </w:r>
      <w:r w:rsidRPr="00160475">
        <w:rPr>
          <w:rFonts w:eastAsia="Times New Roman" w:cs="Times New Roman"/>
          <w:szCs w:val="24"/>
          <w:highlight w:val="yellow"/>
        </w:rPr>
        <w:t>________________________________</w:t>
      </w:r>
    </w:p>
    <w:p w14:paraId="0A720FDA" w14:textId="77777777"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b/>
          <w:bCs/>
          <w:szCs w:val="24"/>
          <w:highlight w:val="yellow"/>
        </w:rPr>
        <w:t>Circle answer:</w:t>
      </w:r>
    </w:p>
    <w:p w14:paraId="54D6DDF5" w14:textId="77777777" w:rsidR="00FC174E" w:rsidRPr="00160475" w:rsidRDefault="00FC174E">
      <w:pPr>
        <w:numPr>
          <w:ilvl w:val="0"/>
          <w:numId w:val="69"/>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Have you been delegated authority by the Principal Investigator to conduct consent processes for this study?      Y        N    N/A (You are the PI)</w:t>
      </w:r>
    </w:p>
    <w:p w14:paraId="520DEFF2" w14:textId="77777777" w:rsidR="00FC174E" w:rsidRPr="00160475" w:rsidRDefault="00FC174E">
      <w:pPr>
        <w:numPr>
          <w:ilvl w:val="0"/>
          <w:numId w:val="70"/>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Did you first verify that the consent document being used is the most current IRB approved/stamped version, obtained either from the electronic system, or the study regulatory binder?    Y    N</w:t>
      </w:r>
    </w:p>
    <w:p w14:paraId="7BBAFEFC" w14:textId="77777777" w:rsidR="00FC174E" w:rsidRPr="00160475" w:rsidRDefault="00FC174E">
      <w:pPr>
        <w:numPr>
          <w:ilvl w:val="0"/>
          <w:numId w:val="71"/>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Did you discuss with the subject/parent:</w:t>
      </w:r>
    </w:p>
    <w:p w14:paraId="4FD51536" w14:textId="77777777" w:rsidR="00FC174E" w:rsidRPr="00160475" w:rsidRDefault="00FC174E">
      <w:pPr>
        <w:numPr>
          <w:ilvl w:val="1"/>
          <w:numId w:val="71"/>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The purpose of the study        Y    N</w:t>
      </w:r>
    </w:p>
    <w:p w14:paraId="3C9BA8A3" w14:textId="77777777" w:rsidR="00FC174E" w:rsidRPr="00160475" w:rsidRDefault="00FC174E">
      <w:pPr>
        <w:numPr>
          <w:ilvl w:val="1"/>
          <w:numId w:val="71"/>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Possible risks and benefits        Y    N</w:t>
      </w:r>
    </w:p>
    <w:p w14:paraId="3AA13DE5" w14:textId="77777777" w:rsidR="00FC174E" w:rsidRPr="00160475" w:rsidRDefault="00FC174E">
      <w:pPr>
        <w:numPr>
          <w:ilvl w:val="1"/>
          <w:numId w:val="71"/>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All research procedures        Y    N</w:t>
      </w:r>
    </w:p>
    <w:p w14:paraId="56D05B5F" w14:textId="3BD368A9" w:rsidR="00FC174E" w:rsidRPr="00160475" w:rsidRDefault="00FC174E">
      <w:pPr>
        <w:numPr>
          <w:ilvl w:val="1"/>
          <w:numId w:val="71"/>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 xml:space="preserve">Alternatives to being in </w:t>
      </w:r>
      <w:proofErr w:type="gramStart"/>
      <w:r w:rsidRPr="00160475">
        <w:rPr>
          <w:rFonts w:eastAsia="Times New Roman" w:cs="Times New Roman"/>
          <w:szCs w:val="24"/>
          <w:highlight w:val="yellow"/>
        </w:rPr>
        <w:t xml:space="preserve">study   </w:t>
      </w:r>
      <w:proofErr w:type="gramEnd"/>
      <w:r w:rsidRPr="00160475">
        <w:rPr>
          <w:rFonts w:eastAsia="Times New Roman" w:cs="Times New Roman"/>
          <w:szCs w:val="24"/>
          <w:highlight w:val="yellow"/>
        </w:rPr>
        <w:t> Y    N</w:t>
      </w:r>
    </w:p>
    <w:p w14:paraId="124E3BE8" w14:textId="77777777" w:rsidR="00FC174E" w:rsidRPr="00160475" w:rsidRDefault="00FC174E">
      <w:pPr>
        <w:numPr>
          <w:ilvl w:val="1"/>
          <w:numId w:val="71"/>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Participation is voluntary        Y    N</w:t>
      </w:r>
    </w:p>
    <w:p w14:paraId="5E5CF870" w14:textId="77777777" w:rsidR="00FC174E" w:rsidRPr="00160475" w:rsidRDefault="00FC174E">
      <w:pPr>
        <w:numPr>
          <w:ilvl w:val="1"/>
          <w:numId w:val="71"/>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Subject can withdraw at any time    Y    N</w:t>
      </w:r>
    </w:p>
    <w:p w14:paraId="2FB3D3A1" w14:textId="77777777" w:rsidR="00FC174E" w:rsidRPr="00160475" w:rsidRDefault="00FC174E">
      <w:pPr>
        <w:numPr>
          <w:ilvl w:val="0"/>
          <w:numId w:val="72"/>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Did the subject/parent exhibit an appreciation of:</w:t>
      </w:r>
    </w:p>
    <w:p w14:paraId="20CA9365" w14:textId="77777777" w:rsidR="00FC174E" w:rsidRPr="00160475" w:rsidRDefault="00FC174E">
      <w:pPr>
        <w:numPr>
          <w:ilvl w:val="1"/>
          <w:numId w:val="72"/>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The purpose of the study        Y    N</w:t>
      </w:r>
    </w:p>
    <w:p w14:paraId="16853D3F" w14:textId="77777777" w:rsidR="00FC174E" w:rsidRPr="00160475" w:rsidRDefault="00FC174E">
      <w:pPr>
        <w:numPr>
          <w:ilvl w:val="1"/>
          <w:numId w:val="72"/>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Possible risks and benefits        Y    N</w:t>
      </w:r>
    </w:p>
    <w:p w14:paraId="108B4C2B" w14:textId="77777777" w:rsidR="00FC174E" w:rsidRPr="00160475" w:rsidRDefault="00FC174E">
      <w:pPr>
        <w:numPr>
          <w:ilvl w:val="1"/>
          <w:numId w:val="72"/>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All research procedures        Y    N</w:t>
      </w:r>
    </w:p>
    <w:p w14:paraId="4AF5BC87" w14:textId="77777777" w:rsidR="00FC174E" w:rsidRPr="00160475" w:rsidRDefault="00FC174E">
      <w:pPr>
        <w:numPr>
          <w:ilvl w:val="1"/>
          <w:numId w:val="72"/>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 xml:space="preserve">Alternatives     to being in </w:t>
      </w:r>
      <w:proofErr w:type="gramStart"/>
      <w:r w:rsidRPr="00160475">
        <w:rPr>
          <w:rFonts w:eastAsia="Times New Roman" w:cs="Times New Roman"/>
          <w:szCs w:val="24"/>
          <w:highlight w:val="yellow"/>
        </w:rPr>
        <w:t xml:space="preserve">study   </w:t>
      </w:r>
      <w:proofErr w:type="gramEnd"/>
      <w:r w:rsidRPr="00160475">
        <w:rPr>
          <w:rFonts w:eastAsia="Times New Roman" w:cs="Times New Roman"/>
          <w:szCs w:val="24"/>
          <w:highlight w:val="yellow"/>
        </w:rPr>
        <w:t> Y    N</w:t>
      </w:r>
    </w:p>
    <w:p w14:paraId="504E55A4" w14:textId="77777777" w:rsidR="00FC174E" w:rsidRPr="00160475" w:rsidRDefault="00FC174E">
      <w:pPr>
        <w:numPr>
          <w:ilvl w:val="1"/>
          <w:numId w:val="72"/>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Participation is voluntary        Y    N</w:t>
      </w:r>
    </w:p>
    <w:p w14:paraId="6838632C" w14:textId="77777777" w:rsidR="00FC174E" w:rsidRPr="00160475" w:rsidRDefault="00FC174E">
      <w:pPr>
        <w:numPr>
          <w:ilvl w:val="1"/>
          <w:numId w:val="72"/>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Subject can withdraw at any time    Y    N</w:t>
      </w:r>
    </w:p>
    <w:p w14:paraId="56416CB8" w14:textId="77777777" w:rsidR="00FC174E" w:rsidRPr="00160475" w:rsidRDefault="00FC174E">
      <w:pPr>
        <w:numPr>
          <w:ilvl w:val="0"/>
          <w:numId w:val="73"/>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Was the subject/parent given an opportunity throughout the process to ask questions?    Y    N</w:t>
      </w:r>
    </w:p>
    <w:p w14:paraId="26F4B19A" w14:textId="77777777" w:rsidR="00FC174E" w:rsidRPr="00160475" w:rsidRDefault="00FC174E">
      <w:pPr>
        <w:numPr>
          <w:ilvl w:val="0"/>
          <w:numId w:val="73"/>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After consent process, was the subject/parent given time to review the consent form?    Y    N</w:t>
      </w:r>
    </w:p>
    <w:p w14:paraId="144E23DC" w14:textId="77777777" w:rsidR="00FC174E" w:rsidRPr="00160475" w:rsidRDefault="00FC174E">
      <w:pPr>
        <w:numPr>
          <w:ilvl w:val="0"/>
          <w:numId w:val="73"/>
        </w:num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Was the subject given a copy of the IRB approved/stamped, signed consent form?      Y    N</w:t>
      </w:r>
    </w:p>
    <w:p w14:paraId="01738727" w14:textId="77777777" w:rsidR="00FC174E" w:rsidRPr="00160475" w:rsidRDefault="00FC174E" w:rsidP="00FC174E">
      <w:pPr>
        <w:shd w:val="clear" w:color="auto" w:fill="FFFFFF"/>
        <w:spacing w:before="100" w:beforeAutospacing="1" w:after="100" w:afterAutospacing="1" w:line="240" w:lineRule="auto"/>
        <w:rPr>
          <w:rFonts w:eastAsia="Times New Roman" w:cs="Times New Roman"/>
          <w:szCs w:val="24"/>
          <w:highlight w:val="yellow"/>
        </w:rPr>
      </w:pPr>
      <w:r w:rsidRPr="00160475">
        <w:rPr>
          <w:rFonts w:eastAsia="Times New Roman" w:cs="Times New Roman"/>
          <w:szCs w:val="24"/>
          <w:highlight w:val="yellow"/>
        </w:rPr>
        <w:t xml:space="preserve">Your signature below confirms the accuracy of the information provided </w:t>
      </w:r>
      <w:proofErr w:type="gramStart"/>
      <w:r w:rsidRPr="00160475">
        <w:rPr>
          <w:rFonts w:eastAsia="Times New Roman" w:cs="Times New Roman"/>
          <w:szCs w:val="24"/>
          <w:highlight w:val="yellow"/>
        </w:rPr>
        <w:t>above, and</w:t>
      </w:r>
      <w:proofErr w:type="gramEnd"/>
      <w:r w:rsidRPr="00160475">
        <w:rPr>
          <w:rFonts w:eastAsia="Times New Roman" w:cs="Times New Roman"/>
          <w:szCs w:val="24"/>
          <w:highlight w:val="yellow"/>
        </w:rPr>
        <w:t xml:space="preserve"> certifies that no study procedures were performed prior to the subject signing the consent document.</w:t>
      </w:r>
    </w:p>
    <w:p w14:paraId="48148B7B"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proofErr w:type="gramStart"/>
      <w:r w:rsidRPr="00160475">
        <w:rPr>
          <w:rFonts w:eastAsia="Times New Roman" w:cs="Times New Roman"/>
          <w:szCs w:val="24"/>
          <w:highlight w:val="yellow"/>
        </w:rPr>
        <w:t>_______________________________        </w:t>
      </w:r>
      <w:proofErr w:type="gramEnd"/>
      <w:r w:rsidRPr="00160475">
        <w:rPr>
          <w:rFonts w:eastAsia="Times New Roman" w:cs="Times New Roman"/>
          <w:szCs w:val="24"/>
          <w:highlight w:val="yellow"/>
        </w:rPr>
        <w:t>________________________________________</w:t>
      </w:r>
    </w:p>
    <w:p w14:paraId="5737BCE2" w14:textId="77777777" w:rsidR="00FC174E" w:rsidRPr="00AA4677" w:rsidRDefault="00FC174E" w:rsidP="00FC174E">
      <w:pPr>
        <w:shd w:val="clear" w:color="auto" w:fill="FFFFFF"/>
        <w:spacing w:before="100" w:beforeAutospacing="1" w:after="100" w:afterAutospacing="1" w:line="240" w:lineRule="auto"/>
        <w:rPr>
          <w:rFonts w:eastAsia="Times New Roman" w:cs="Times New Roman"/>
          <w:szCs w:val="24"/>
        </w:rPr>
      </w:pPr>
      <w:r w:rsidRPr="00AA4677">
        <w:rPr>
          <w:rFonts w:eastAsia="Times New Roman" w:cs="Times New Roman"/>
          <w:szCs w:val="24"/>
        </w:rPr>
        <w:t>Printed Name                    Signature                Date</w:t>
      </w:r>
    </w:p>
    <w:p w14:paraId="554995B9" w14:textId="41AA5C18" w:rsidR="00FC174E" w:rsidRPr="00AA4677" w:rsidRDefault="00391334" w:rsidP="00696B35">
      <w:pPr>
        <w:pStyle w:val="Heading2"/>
      </w:pPr>
      <w:bookmarkStart w:id="357" w:name="_Toc192678286"/>
      <w:bookmarkStart w:id="358" w:name="_Hlk160541641"/>
      <w:r w:rsidRPr="00AA4677">
        <w:lastRenderedPageBreak/>
        <w:t>17.12 Genomic Data Sharing (GDS) for NIH Grant Submissions</w:t>
      </w:r>
      <w:bookmarkEnd w:id="357"/>
    </w:p>
    <w:bookmarkEnd w:id="358"/>
    <w:p w14:paraId="58330DB6" w14:textId="77777777" w:rsidR="000354CA" w:rsidRPr="00AA4677" w:rsidRDefault="000354CA" w:rsidP="00391334">
      <w:pPr>
        <w:pStyle w:val="NormalWeb"/>
        <w:shd w:val="clear" w:color="auto" w:fill="FFFFFF"/>
        <w:spacing w:before="0" w:beforeAutospacing="0" w:after="0" w:afterAutospacing="0"/>
        <w:rPr>
          <w:rStyle w:val="Strong"/>
          <w:rFonts w:asciiTheme="minorHAnsi" w:hAnsiTheme="minorHAnsi"/>
          <w:bdr w:val="none" w:sz="0" w:space="0" w:color="auto" w:frame="1"/>
        </w:rPr>
      </w:pPr>
    </w:p>
    <w:p w14:paraId="4CEA0CB3" w14:textId="1C8FEAE5" w:rsidR="00391334" w:rsidRPr="00AA4677" w:rsidRDefault="00391334" w:rsidP="00391334">
      <w:pPr>
        <w:pStyle w:val="NormalWeb"/>
        <w:shd w:val="clear" w:color="auto" w:fill="FFFFFF"/>
        <w:spacing w:before="0" w:beforeAutospacing="0" w:after="0" w:afterAutospacing="0"/>
        <w:rPr>
          <w:rFonts w:asciiTheme="minorHAnsi" w:hAnsiTheme="minorHAnsi"/>
        </w:rPr>
      </w:pPr>
      <w:r w:rsidRPr="00AA4677">
        <w:rPr>
          <w:rStyle w:val="Strong"/>
          <w:rFonts w:asciiTheme="minorHAnsi" w:hAnsiTheme="minorHAnsi"/>
          <w:bdr w:val="none" w:sz="0" w:space="0" w:color="auto" w:frame="1"/>
        </w:rPr>
        <w:t>NIH GDS (Genomic Data Sharing) Policy applies to:</w:t>
      </w:r>
    </w:p>
    <w:p w14:paraId="49F61335" w14:textId="77777777" w:rsidR="00391334" w:rsidRPr="00AA4677" w:rsidRDefault="00391334" w:rsidP="00391334">
      <w:pPr>
        <w:pStyle w:val="NormalWeb"/>
        <w:shd w:val="clear" w:color="auto" w:fill="FFFFFF"/>
        <w:spacing w:before="0" w:beforeAutospacing="0" w:after="0" w:afterAutospacing="0"/>
        <w:rPr>
          <w:rFonts w:asciiTheme="minorHAnsi" w:hAnsiTheme="minorHAnsi"/>
        </w:rPr>
      </w:pPr>
      <w:r w:rsidRPr="00AA4677">
        <w:rPr>
          <w:rStyle w:val="Strong"/>
          <w:rFonts w:asciiTheme="minorHAnsi" w:hAnsiTheme="minorHAnsi"/>
          <w:b w:val="0"/>
          <w:bdr w:val="none" w:sz="0" w:space="0" w:color="auto" w:frame="1"/>
        </w:rPr>
        <w:t>1.</w:t>
      </w:r>
      <w:r w:rsidRPr="00AA4677">
        <w:rPr>
          <w:rStyle w:val="apple-converted-space"/>
          <w:rFonts w:asciiTheme="minorHAnsi" w:hAnsiTheme="minorHAnsi"/>
          <w:bCs/>
          <w:bdr w:val="none" w:sz="0" w:space="0" w:color="auto" w:frame="1"/>
        </w:rPr>
        <w:t> </w:t>
      </w:r>
      <w:r w:rsidRPr="00AA4677">
        <w:rPr>
          <w:rStyle w:val="Strong"/>
          <w:rFonts w:asciiTheme="minorHAnsi" w:hAnsiTheme="minorHAnsi"/>
          <w:b w:val="0"/>
          <w:bdr w:val="none" w:sz="0" w:space="0" w:color="auto" w:frame="1"/>
        </w:rPr>
        <w:t>All</w:t>
      </w:r>
      <w:r w:rsidRPr="00AA4677">
        <w:rPr>
          <w:rStyle w:val="apple-converted-space"/>
          <w:rFonts w:asciiTheme="minorHAnsi" w:hAnsiTheme="minorHAnsi"/>
          <w:bCs/>
          <w:bdr w:val="none" w:sz="0" w:space="0" w:color="auto" w:frame="1"/>
        </w:rPr>
        <w:t> </w:t>
      </w:r>
      <w:r w:rsidRPr="00AA4677">
        <w:rPr>
          <w:rStyle w:val="Strong"/>
          <w:rFonts w:asciiTheme="minorHAnsi" w:hAnsiTheme="minorHAnsi"/>
          <w:b w:val="0"/>
          <w:bdr w:val="none" w:sz="0" w:space="0" w:color="auto" w:frame="1"/>
        </w:rPr>
        <w:t xml:space="preserve">NIH-funded research that generates large scale (&gt; than 100 individuals) human or non-human genomic data (e.g., SNP arrays, genome sequencing, RNA sequencing, transcriptomic, metagenomic, epigenomic and gene expression data), as well as the use of these data for subsequent research sharing in NIH-supported repositories; </w:t>
      </w:r>
      <w:r w:rsidRPr="00666DF0">
        <w:rPr>
          <w:rStyle w:val="Strong"/>
          <w:rFonts w:asciiTheme="minorHAnsi" w:hAnsiTheme="minorHAnsi"/>
          <w:bCs w:val="0"/>
          <w:bdr w:val="none" w:sz="0" w:space="0" w:color="auto" w:frame="1"/>
        </w:rPr>
        <w:t>and</w:t>
      </w:r>
    </w:p>
    <w:p w14:paraId="004BAC7A" w14:textId="77777777" w:rsidR="00391334" w:rsidRPr="00AA4677" w:rsidRDefault="00391334" w:rsidP="00391334">
      <w:pPr>
        <w:pStyle w:val="NormalWeb"/>
        <w:shd w:val="clear" w:color="auto" w:fill="FFFFFF"/>
        <w:spacing w:before="0" w:beforeAutospacing="0" w:after="0" w:afterAutospacing="0"/>
        <w:rPr>
          <w:rFonts w:asciiTheme="minorHAnsi" w:hAnsiTheme="minorHAnsi"/>
        </w:rPr>
      </w:pPr>
      <w:r w:rsidRPr="00AA4677">
        <w:rPr>
          <w:rStyle w:val="Strong"/>
          <w:rFonts w:asciiTheme="minorHAnsi" w:hAnsiTheme="minorHAnsi"/>
          <w:b w:val="0"/>
          <w:bdr w:val="none" w:sz="0" w:space="0" w:color="auto" w:frame="1"/>
        </w:rPr>
        <w:t>2. All research involving genotype/phenotype data that will be submitted to one of the NIH-supported repositories,</w:t>
      </w:r>
      <w:r w:rsidRPr="00AA4677">
        <w:rPr>
          <w:rStyle w:val="apple-converted-space"/>
          <w:rFonts w:asciiTheme="minorHAnsi" w:hAnsiTheme="minorHAnsi"/>
          <w:bCs/>
          <w:bdr w:val="none" w:sz="0" w:space="0" w:color="auto" w:frame="1"/>
        </w:rPr>
        <w:t> </w:t>
      </w:r>
      <w:r w:rsidRPr="00AA4677">
        <w:rPr>
          <w:rStyle w:val="Strong"/>
          <w:rFonts w:asciiTheme="minorHAnsi" w:hAnsiTheme="minorHAnsi"/>
          <w:b w:val="0"/>
          <w:bdr w:val="none" w:sz="0" w:space="0" w:color="auto" w:frame="1"/>
        </w:rPr>
        <w:t>even if the research itself is not NIH-supported:</w:t>
      </w:r>
    </w:p>
    <w:p w14:paraId="72247E16" w14:textId="77777777" w:rsidR="00391334" w:rsidRPr="00AA4677" w:rsidRDefault="00391334">
      <w:pPr>
        <w:pStyle w:val="NormalWeb"/>
        <w:numPr>
          <w:ilvl w:val="0"/>
          <w:numId w:val="231"/>
        </w:numPr>
        <w:shd w:val="clear" w:color="auto" w:fill="FFFFFF"/>
        <w:tabs>
          <w:tab w:val="clear" w:pos="720"/>
          <w:tab w:val="num" w:pos="360"/>
        </w:tabs>
        <w:spacing w:before="0" w:beforeAutospacing="0" w:after="0" w:afterAutospacing="0" w:line="300" w:lineRule="atLeast"/>
        <w:ind w:left="360"/>
        <w:rPr>
          <w:rFonts w:asciiTheme="minorHAnsi" w:hAnsiTheme="minorHAnsi"/>
        </w:rPr>
      </w:pPr>
      <w:r w:rsidRPr="00AA4677">
        <w:rPr>
          <w:rStyle w:val="Strong"/>
          <w:rFonts w:asciiTheme="minorHAnsi" w:hAnsiTheme="minorHAnsi"/>
          <w:b w:val="0"/>
          <w:bdr w:val="none" w:sz="0" w:space="0" w:color="auto" w:frame="1"/>
        </w:rPr>
        <w:t>Database of Genotypes and Phenotypes (dbGaP),</w:t>
      </w:r>
    </w:p>
    <w:p w14:paraId="7D0613EA" w14:textId="77777777" w:rsidR="00391334" w:rsidRPr="00AA4677" w:rsidRDefault="00391334">
      <w:pPr>
        <w:pStyle w:val="NormalWeb"/>
        <w:numPr>
          <w:ilvl w:val="0"/>
          <w:numId w:val="231"/>
        </w:numPr>
        <w:shd w:val="clear" w:color="auto" w:fill="FFFFFF"/>
        <w:tabs>
          <w:tab w:val="clear" w:pos="720"/>
          <w:tab w:val="num" w:pos="360"/>
        </w:tabs>
        <w:spacing w:before="0" w:beforeAutospacing="0" w:after="0" w:afterAutospacing="0" w:line="300" w:lineRule="atLeast"/>
        <w:ind w:left="360"/>
        <w:rPr>
          <w:rFonts w:asciiTheme="minorHAnsi" w:hAnsiTheme="minorHAnsi"/>
        </w:rPr>
      </w:pPr>
      <w:r w:rsidRPr="00AA4677">
        <w:rPr>
          <w:rStyle w:val="Strong"/>
          <w:rFonts w:asciiTheme="minorHAnsi" w:hAnsiTheme="minorHAnsi"/>
          <w:b w:val="0"/>
          <w:bdr w:val="none" w:sz="0" w:space="0" w:color="auto" w:frame="1"/>
        </w:rPr>
        <w:t>Gene Expression Omnibus (GEO),</w:t>
      </w:r>
    </w:p>
    <w:p w14:paraId="6D37053F" w14:textId="77777777" w:rsidR="00391334" w:rsidRPr="00AA4677" w:rsidRDefault="00391334">
      <w:pPr>
        <w:pStyle w:val="NormalWeb"/>
        <w:numPr>
          <w:ilvl w:val="0"/>
          <w:numId w:val="231"/>
        </w:numPr>
        <w:shd w:val="clear" w:color="auto" w:fill="FFFFFF"/>
        <w:tabs>
          <w:tab w:val="clear" w:pos="720"/>
          <w:tab w:val="num" w:pos="360"/>
        </w:tabs>
        <w:spacing w:before="0" w:beforeAutospacing="0" w:after="0" w:afterAutospacing="0" w:line="300" w:lineRule="atLeast"/>
        <w:ind w:left="360"/>
        <w:rPr>
          <w:rFonts w:asciiTheme="minorHAnsi" w:hAnsiTheme="minorHAnsi"/>
        </w:rPr>
      </w:pPr>
      <w:r w:rsidRPr="00AA4677">
        <w:rPr>
          <w:rStyle w:val="Strong"/>
          <w:rFonts w:asciiTheme="minorHAnsi" w:hAnsiTheme="minorHAnsi"/>
          <w:b w:val="0"/>
          <w:bdr w:val="none" w:sz="0" w:space="0" w:color="auto" w:frame="1"/>
        </w:rPr>
        <w:t>Sequence Read Archive (SRA), or the</w:t>
      </w:r>
    </w:p>
    <w:p w14:paraId="72D12ADC" w14:textId="77777777" w:rsidR="00391334" w:rsidRPr="00AA4677" w:rsidRDefault="00391334">
      <w:pPr>
        <w:pStyle w:val="NormalWeb"/>
        <w:numPr>
          <w:ilvl w:val="0"/>
          <w:numId w:val="231"/>
        </w:numPr>
        <w:shd w:val="clear" w:color="auto" w:fill="FFFFFF"/>
        <w:tabs>
          <w:tab w:val="clear" w:pos="720"/>
          <w:tab w:val="num" w:pos="360"/>
        </w:tabs>
        <w:spacing w:before="0" w:beforeAutospacing="0" w:after="0" w:afterAutospacing="0" w:line="300" w:lineRule="atLeast"/>
        <w:ind w:left="360"/>
        <w:rPr>
          <w:rStyle w:val="Strong"/>
          <w:rFonts w:asciiTheme="minorHAnsi" w:hAnsiTheme="minorHAnsi"/>
          <w:b w:val="0"/>
          <w:bCs w:val="0"/>
        </w:rPr>
      </w:pPr>
      <w:r w:rsidRPr="00AA4677">
        <w:rPr>
          <w:rStyle w:val="Strong"/>
          <w:rFonts w:asciiTheme="minorHAnsi" w:hAnsiTheme="minorHAnsi"/>
          <w:b w:val="0"/>
          <w:bdr w:val="none" w:sz="0" w:space="0" w:color="auto" w:frame="1"/>
        </w:rPr>
        <w:t>Cancer Genomics Hub.</w:t>
      </w:r>
    </w:p>
    <w:p w14:paraId="15DF299B" w14:textId="77777777" w:rsidR="003856D3" w:rsidRPr="00AA4677" w:rsidRDefault="003856D3" w:rsidP="00E820CF">
      <w:pPr>
        <w:pStyle w:val="NormalWeb"/>
        <w:shd w:val="clear" w:color="auto" w:fill="FFFFFF"/>
        <w:spacing w:before="0" w:beforeAutospacing="0" w:after="0" w:afterAutospacing="0" w:line="300" w:lineRule="atLeast"/>
        <w:ind w:left="300"/>
        <w:rPr>
          <w:rFonts w:asciiTheme="minorHAnsi" w:hAnsiTheme="minorHAnsi"/>
        </w:rPr>
      </w:pPr>
    </w:p>
    <w:p w14:paraId="5D662631" w14:textId="77777777" w:rsidR="00391334" w:rsidRPr="00AA4677" w:rsidRDefault="00391334" w:rsidP="00391334">
      <w:pPr>
        <w:pStyle w:val="NormalWeb"/>
        <w:shd w:val="clear" w:color="auto" w:fill="FFFFFF"/>
        <w:spacing w:before="0" w:beforeAutospacing="0" w:after="0" w:afterAutospacing="0"/>
        <w:rPr>
          <w:rFonts w:asciiTheme="minorHAnsi" w:hAnsiTheme="minorHAnsi"/>
        </w:rPr>
      </w:pPr>
      <w:r w:rsidRPr="00AA4677">
        <w:rPr>
          <w:rStyle w:val="Strong"/>
          <w:rFonts w:asciiTheme="minorHAnsi" w:hAnsiTheme="minorHAnsi"/>
          <w:bdr w:val="none" w:sz="0" w:space="0" w:color="auto" w:frame="1"/>
        </w:rPr>
        <w:t>When does the Policy NOT apply?</w:t>
      </w:r>
    </w:p>
    <w:p w14:paraId="32D411C6" w14:textId="77777777" w:rsidR="00391334" w:rsidRPr="00AA4677" w:rsidRDefault="00391334">
      <w:pPr>
        <w:pStyle w:val="NormalWeb"/>
        <w:numPr>
          <w:ilvl w:val="0"/>
          <w:numId w:val="230"/>
        </w:numPr>
        <w:shd w:val="clear" w:color="auto" w:fill="FFFFFF"/>
        <w:tabs>
          <w:tab w:val="clear" w:pos="720"/>
          <w:tab w:val="num" w:pos="360"/>
        </w:tabs>
        <w:spacing w:before="0" w:beforeAutospacing="0" w:after="0" w:afterAutospacing="0" w:line="300" w:lineRule="atLeast"/>
        <w:ind w:left="360"/>
        <w:rPr>
          <w:rFonts w:asciiTheme="minorHAnsi" w:hAnsiTheme="minorHAnsi"/>
        </w:rPr>
      </w:pPr>
      <w:r w:rsidRPr="00AA4677">
        <w:rPr>
          <w:rStyle w:val="Strong"/>
          <w:rFonts w:asciiTheme="minorHAnsi" w:hAnsiTheme="minorHAnsi"/>
          <w:b w:val="0"/>
          <w:bdr w:val="none" w:sz="0" w:space="0" w:color="auto" w:frame="1"/>
        </w:rPr>
        <w:t>When the genomic data is generated without NIH funds (unless the researcher voluntarily requests submission to one of NIH-supported repositories)</w:t>
      </w:r>
    </w:p>
    <w:p w14:paraId="0CBAA8F5" w14:textId="77777777" w:rsidR="00391334" w:rsidRPr="00AA4677" w:rsidRDefault="00391334">
      <w:pPr>
        <w:pStyle w:val="NormalWeb"/>
        <w:numPr>
          <w:ilvl w:val="0"/>
          <w:numId w:val="230"/>
        </w:numPr>
        <w:shd w:val="clear" w:color="auto" w:fill="FFFFFF"/>
        <w:tabs>
          <w:tab w:val="clear" w:pos="720"/>
          <w:tab w:val="num" w:pos="360"/>
        </w:tabs>
        <w:spacing w:before="0" w:beforeAutospacing="0" w:after="0" w:afterAutospacing="0" w:line="300" w:lineRule="atLeast"/>
        <w:ind w:left="360"/>
        <w:rPr>
          <w:rFonts w:asciiTheme="minorHAnsi" w:hAnsiTheme="minorHAnsi"/>
        </w:rPr>
      </w:pPr>
      <w:r w:rsidRPr="00AA4677">
        <w:rPr>
          <w:rStyle w:val="Strong"/>
          <w:rFonts w:asciiTheme="minorHAnsi" w:hAnsiTheme="minorHAnsi"/>
          <w:b w:val="0"/>
          <w:bdr w:val="none" w:sz="0" w:space="0" w:color="auto" w:frame="1"/>
        </w:rPr>
        <w:t xml:space="preserve">When NIH-funded research for projects </w:t>
      </w:r>
      <w:proofErr w:type="gramStart"/>
      <w:r w:rsidRPr="00AA4677">
        <w:rPr>
          <w:rStyle w:val="Strong"/>
          <w:rFonts w:asciiTheme="minorHAnsi" w:hAnsiTheme="minorHAnsi"/>
          <w:b w:val="0"/>
          <w:bdr w:val="none" w:sz="0" w:space="0" w:color="auto" w:frame="1"/>
        </w:rPr>
        <w:t>involve</w:t>
      </w:r>
      <w:proofErr w:type="gramEnd"/>
      <w:r w:rsidRPr="00AA4677">
        <w:rPr>
          <w:rStyle w:val="Strong"/>
          <w:rFonts w:asciiTheme="minorHAnsi" w:hAnsiTheme="minorHAnsi"/>
          <w:b w:val="0"/>
          <w:bdr w:val="none" w:sz="0" w:space="0" w:color="auto" w:frame="1"/>
        </w:rPr>
        <w:t xml:space="preserve"> instrument calibration exercises, statistical or technical methods development, or the use of genomic data for control purposes, such as for assay development</w:t>
      </w:r>
    </w:p>
    <w:p w14:paraId="6FF0722D" w14:textId="6D1810E2" w:rsidR="00391334" w:rsidRPr="00AA4677" w:rsidRDefault="00391334">
      <w:pPr>
        <w:pStyle w:val="NormalWeb"/>
        <w:numPr>
          <w:ilvl w:val="0"/>
          <w:numId w:val="230"/>
        </w:numPr>
        <w:shd w:val="clear" w:color="auto" w:fill="FFFFFF"/>
        <w:tabs>
          <w:tab w:val="clear" w:pos="720"/>
          <w:tab w:val="num" w:pos="360"/>
        </w:tabs>
        <w:spacing w:before="0" w:beforeAutospacing="0" w:after="0" w:afterAutospacing="0" w:line="300" w:lineRule="atLeast"/>
        <w:ind w:left="360"/>
        <w:rPr>
          <w:rStyle w:val="Strong"/>
          <w:rFonts w:asciiTheme="minorHAnsi" w:hAnsiTheme="minorHAnsi"/>
          <w:b w:val="0"/>
          <w:bCs w:val="0"/>
        </w:rPr>
      </w:pPr>
      <w:r w:rsidRPr="00AA4677">
        <w:rPr>
          <w:rStyle w:val="Strong"/>
          <w:rFonts w:asciiTheme="minorHAnsi" w:hAnsiTheme="minorHAnsi"/>
          <w:b w:val="0"/>
          <w:bdr w:val="none" w:sz="0" w:space="0" w:color="auto" w:frame="1"/>
        </w:rPr>
        <w:t>When the following funding is requested: Institutional Training Grants (T32s, T34s, T35s, and TL2s), K12 Career Awards (KL2s), Individual Fellowships (Fs), Resource Grants and Contracts (Ss), Linked awards derived from previou</w:t>
      </w:r>
      <w:r w:rsidR="00606526" w:rsidRPr="00AA4677">
        <w:rPr>
          <w:rStyle w:val="Strong"/>
          <w:rFonts w:asciiTheme="minorHAnsi" w:hAnsiTheme="minorHAnsi"/>
          <w:b w:val="0"/>
          <w:bdr w:val="none" w:sz="0" w:space="0" w:color="auto" w:frame="1"/>
        </w:rPr>
        <w:t>sly reviewed applications, or f</w:t>
      </w:r>
      <w:r w:rsidRPr="00AA4677">
        <w:rPr>
          <w:rStyle w:val="Strong"/>
          <w:rFonts w:asciiTheme="minorHAnsi" w:hAnsiTheme="minorHAnsi"/>
          <w:b w:val="0"/>
          <w:bdr w:val="none" w:sz="0" w:space="0" w:color="auto" w:frame="1"/>
        </w:rPr>
        <w:t>acilities or coordinating centers funded through related initiatives to provide genotyping, sequencing, or other core services in support of GDS.</w:t>
      </w:r>
    </w:p>
    <w:p w14:paraId="2D4BD87B" w14:textId="77777777" w:rsidR="003856D3" w:rsidRPr="00AA4677" w:rsidRDefault="003856D3" w:rsidP="00E820CF">
      <w:pPr>
        <w:pStyle w:val="NormalWeb"/>
        <w:shd w:val="clear" w:color="auto" w:fill="FFFFFF"/>
        <w:spacing w:before="0" w:beforeAutospacing="0" w:after="0" w:afterAutospacing="0" w:line="300" w:lineRule="atLeast"/>
        <w:ind w:left="300"/>
        <w:rPr>
          <w:rFonts w:asciiTheme="minorHAnsi" w:hAnsiTheme="minorHAnsi"/>
        </w:rPr>
      </w:pPr>
    </w:p>
    <w:p w14:paraId="76592ADF" w14:textId="56B08002" w:rsidR="00391334" w:rsidRPr="00AA4677" w:rsidRDefault="00391334" w:rsidP="00391334">
      <w:pPr>
        <w:pStyle w:val="NormalWeb"/>
        <w:shd w:val="clear" w:color="auto" w:fill="FFFFFF"/>
        <w:spacing w:before="0" w:beforeAutospacing="0" w:after="0" w:afterAutospacing="0"/>
        <w:rPr>
          <w:rFonts w:asciiTheme="minorHAnsi" w:hAnsiTheme="minorHAnsi"/>
        </w:rPr>
      </w:pPr>
      <w:r w:rsidRPr="00AA4677">
        <w:rPr>
          <w:rStyle w:val="Strong"/>
          <w:rFonts w:asciiTheme="minorHAnsi" w:hAnsiTheme="minorHAnsi"/>
          <w:bdr w:val="none" w:sz="0" w:space="0" w:color="auto" w:frame="1"/>
        </w:rPr>
        <w:t>When NIH funding is requested for a grant prop</w:t>
      </w:r>
      <w:r w:rsidR="00606526" w:rsidRPr="00AA4677">
        <w:rPr>
          <w:rStyle w:val="Strong"/>
          <w:rFonts w:asciiTheme="minorHAnsi" w:hAnsiTheme="minorHAnsi"/>
          <w:bdr w:val="none" w:sz="0" w:space="0" w:color="auto" w:frame="1"/>
        </w:rPr>
        <w:t>osal, the researcher should do the following:</w:t>
      </w:r>
    </w:p>
    <w:p w14:paraId="55CE9709" w14:textId="1396D53C" w:rsidR="00391334" w:rsidRPr="00AA4677" w:rsidRDefault="00606526">
      <w:pPr>
        <w:pStyle w:val="NormalWeb"/>
        <w:numPr>
          <w:ilvl w:val="0"/>
          <w:numId w:val="228"/>
        </w:numPr>
        <w:shd w:val="clear" w:color="auto" w:fill="FFFFFF"/>
        <w:tabs>
          <w:tab w:val="clear" w:pos="720"/>
          <w:tab w:val="num" w:pos="360"/>
        </w:tabs>
        <w:spacing w:before="0" w:beforeAutospacing="0" w:after="0" w:afterAutospacing="0" w:line="300" w:lineRule="atLeast"/>
        <w:ind w:left="360"/>
        <w:rPr>
          <w:rFonts w:asciiTheme="minorHAnsi" w:hAnsiTheme="minorHAnsi"/>
          <w:b/>
        </w:rPr>
      </w:pPr>
      <w:r w:rsidRPr="00AA4677">
        <w:rPr>
          <w:rStyle w:val="Strong"/>
          <w:rFonts w:asciiTheme="minorHAnsi" w:hAnsiTheme="minorHAnsi"/>
          <w:b w:val="0"/>
          <w:bdr w:val="none" w:sz="0" w:space="0" w:color="auto" w:frame="1"/>
        </w:rPr>
        <w:t>P</w:t>
      </w:r>
      <w:r w:rsidR="00391334" w:rsidRPr="00AA4677">
        <w:rPr>
          <w:rStyle w:val="Strong"/>
          <w:rFonts w:asciiTheme="minorHAnsi" w:hAnsiTheme="minorHAnsi"/>
          <w:b w:val="0"/>
          <w:bdr w:val="none" w:sz="0" w:space="0" w:color="auto" w:frame="1"/>
        </w:rPr>
        <w:t xml:space="preserve">rovide a basic plan for following the GDS policy, located in the Resource Sharing Plan section of funding applications. (The Genomic Data Sharing Plan template available in the </w:t>
      </w:r>
      <w:r w:rsidR="003608D3" w:rsidRPr="00AA4677">
        <w:rPr>
          <w:rStyle w:val="Strong"/>
          <w:rFonts w:asciiTheme="minorHAnsi" w:hAnsiTheme="minorHAnsi"/>
          <w:b w:val="0"/>
          <w:bdr w:val="none" w:sz="0" w:space="0" w:color="auto" w:frame="1"/>
        </w:rPr>
        <w:t xml:space="preserve">electronic management system </w:t>
      </w:r>
      <w:r w:rsidR="00391334" w:rsidRPr="00AA4677">
        <w:rPr>
          <w:rStyle w:val="Strong"/>
          <w:rFonts w:asciiTheme="minorHAnsi" w:hAnsiTheme="minorHAnsi"/>
          <w:b w:val="0"/>
          <w:bdr w:val="none" w:sz="0" w:space="0" w:color="auto" w:frame="1"/>
        </w:rPr>
        <w:t>should be reviewed. Complete and upload with the applicable IRB submission.)</w:t>
      </w:r>
    </w:p>
    <w:p w14:paraId="71850F01" w14:textId="77777777" w:rsidR="00391334" w:rsidRPr="00AA4677" w:rsidRDefault="00391334">
      <w:pPr>
        <w:pStyle w:val="NormalWeb"/>
        <w:numPr>
          <w:ilvl w:val="0"/>
          <w:numId w:val="228"/>
        </w:numPr>
        <w:shd w:val="clear" w:color="auto" w:fill="FFFFFF"/>
        <w:tabs>
          <w:tab w:val="clear" w:pos="720"/>
          <w:tab w:val="num" w:pos="360"/>
        </w:tabs>
        <w:spacing w:before="0" w:beforeAutospacing="0" w:after="0" w:afterAutospacing="0" w:line="300" w:lineRule="atLeast"/>
        <w:ind w:left="360"/>
        <w:rPr>
          <w:rStyle w:val="Strong"/>
          <w:rFonts w:asciiTheme="minorHAnsi" w:hAnsiTheme="minorHAnsi"/>
          <w:b w:val="0"/>
          <w:bCs w:val="0"/>
        </w:rPr>
      </w:pPr>
      <w:r w:rsidRPr="00AA4677">
        <w:rPr>
          <w:rStyle w:val="Strong"/>
          <w:rFonts w:asciiTheme="minorHAnsi" w:hAnsiTheme="minorHAnsi"/>
          <w:b w:val="0"/>
          <w:bdr w:val="none" w:sz="0" w:space="0" w:color="auto" w:frame="1"/>
        </w:rPr>
        <w:t>If broad sharing of genomic data is not possible, include an explanation.</w:t>
      </w:r>
    </w:p>
    <w:p w14:paraId="51BCB0DD" w14:textId="77777777" w:rsidR="003856D3" w:rsidRPr="00AA4677" w:rsidRDefault="003856D3" w:rsidP="00E820CF">
      <w:pPr>
        <w:pStyle w:val="NormalWeb"/>
        <w:shd w:val="clear" w:color="auto" w:fill="FFFFFF"/>
        <w:spacing w:before="0" w:beforeAutospacing="0" w:after="0" w:afterAutospacing="0" w:line="300" w:lineRule="atLeast"/>
        <w:ind w:left="300"/>
        <w:rPr>
          <w:rFonts w:asciiTheme="minorHAnsi" w:hAnsiTheme="minorHAnsi"/>
        </w:rPr>
      </w:pPr>
    </w:p>
    <w:p w14:paraId="189D984B" w14:textId="7FEFB892" w:rsidR="00391334" w:rsidRPr="00AA4677" w:rsidRDefault="00606526" w:rsidP="00391334">
      <w:pPr>
        <w:pStyle w:val="NormalWeb"/>
        <w:shd w:val="clear" w:color="auto" w:fill="FFFFFF"/>
        <w:spacing w:before="0" w:beforeAutospacing="0" w:after="0" w:afterAutospacing="0"/>
        <w:rPr>
          <w:rFonts w:asciiTheme="minorHAnsi" w:hAnsiTheme="minorHAnsi"/>
        </w:rPr>
      </w:pPr>
      <w:r w:rsidRPr="00AA4677">
        <w:rPr>
          <w:rStyle w:val="Strong"/>
          <w:rFonts w:asciiTheme="minorHAnsi" w:hAnsiTheme="minorHAnsi"/>
          <w:bdr w:val="none" w:sz="0" w:space="0" w:color="auto" w:frame="1"/>
        </w:rPr>
        <w:t>Just-In-Time awards:</w:t>
      </w:r>
    </w:p>
    <w:p w14:paraId="70E843B1" w14:textId="77777777" w:rsidR="00391334" w:rsidRPr="00AA4677" w:rsidRDefault="00391334" w:rsidP="00391334">
      <w:pPr>
        <w:pStyle w:val="NormalWeb"/>
        <w:shd w:val="clear" w:color="auto" w:fill="FFFFFF"/>
        <w:spacing w:before="0" w:beforeAutospacing="0" w:after="0" w:afterAutospacing="0"/>
        <w:rPr>
          <w:rFonts w:asciiTheme="minorHAnsi" w:hAnsiTheme="minorHAnsi"/>
          <w:b/>
        </w:rPr>
      </w:pPr>
      <w:r w:rsidRPr="00AA4677">
        <w:rPr>
          <w:rStyle w:val="Strong"/>
          <w:rFonts w:asciiTheme="minorHAnsi" w:hAnsiTheme="minorHAnsi"/>
          <w:b w:val="0"/>
          <w:bdr w:val="none" w:sz="0" w:space="0" w:color="auto" w:frame="1"/>
        </w:rPr>
        <w:t>NIH will require the following documentation at Just-In-Time:</w:t>
      </w:r>
    </w:p>
    <w:p w14:paraId="1979E453" w14:textId="77777777" w:rsidR="00391334" w:rsidRPr="00AA4677" w:rsidRDefault="00391334">
      <w:pPr>
        <w:pStyle w:val="NormalWeb"/>
        <w:numPr>
          <w:ilvl w:val="0"/>
          <w:numId w:val="229"/>
        </w:numPr>
        <w:shd w:val="clear" w:color="auto" w:fill="FFFFFF"/>
        <w:tabs>
          <w:tab w:val="clear" w:pos="720"/>
          <w:tab w:val="left" w:pos="360"/>
        </w:tabs>
        <w:spacing w:before="0" w:beforeAutospacing="0" w:after="0" w:afterAutospacing="0" w:line="300" w:lineRule="atLeast"/>
        <w:ind w:left="360"/>
        <w:rPr>
          <w:rFonts w:asciiTheme="minorHAnsi" w:hAnsiTheme="minorHAnsi"/>
          <w:b/>
        </w:rPr>
      </w:pPr>
      <w:r w:rsidRPr="00AA4677">
        <w:rPr>
          <w:rStyle w:val="Strong"/>
          <w:rFonts w:asciiTheme="minorHAnsi" w:hAnsiTheme="minorHAnsi"/>
          <w:b w:val="0"/>
          <w:bdr w:val="none" w:sz="0" w:space="0" w:color="auto" w:frame="1"/>
        </w:rPr>
        <w:t xml:space="preserve">An IRB approval letter for your human </w:t>
      </w:r>
      <w:proofErr w:type="gramStart"/>
      <w:r w:rsidRPr="00AA4677">
        <w:rPr>
          <w:rStyle w:val="Strong"/>
          <w:rFonts w:asciiTheme="minorHAnsi" w:hAnsiTheme="minorHAnsi"/>
          <w:b w:val="0"/>
          <w:bdr w:val="none" w:sz="0" w:space="0" w:color="auto" w:frame="1"/>
        </w:rPr>
        <w:t>subjects</w:t>
      </w:r>
      <w:proofErr w:type="gramEnd"/>
      <w:r w:rsidRPr="00AA4677">
        <w:rPr>
          <w:rStyle w:val="Strong"/>
          <w:rFonts w:asciiTheme="minorHAnsi" w:hAnsiTheme="minorHAnsi"/>
          <w:b w:val="0"/>
          <w:bdr w:val="none" w:sz="0" w:space="0" w:color="auto" w:frame="1"/>
        </w:rPr>
        <w:t xml:space="preserve"> protocol, and</w:t>
      </w:r>
    </w:p>
    <w:p w14:paraId="743903EA" w14:textId="77777777" w:rsidR="00391334" w:rsidRPr="00AA4677" w:rsidRDefault="00391334">
      <w:pPr>
        <w:pStyle w:val="NormalWeb"/>
        <w:numPr>
          <w:ilvl w:val="0"/>
          <w:numId w:val="229"/>
        </w:numPr>
        <w:shd w:val="clear" w:color="auto" w:fill="FFFFFF"/>
        <w:tabs>
          <w:tab w:val="clear" w:pos="720"/>
          <w:tab w:val="left" w:pos="360"/>
        </w:tabs>
        <w:spacing w:before="0" w:beforeAutospacing="0" w:after="0" w:afterAutospacing="0" w:line="300" w:lineRule="atLeast"/>
        <w:ind w:left="360"/>
        <w:rPr>
          <w:rFonts w:asciiTheme="minorHAnsi" w:hAnsiTheme="minorHAnsi"/>
          <w:b/>
        </w:rPr>
      </w:pPr>
      <w:r w:rsidRPr="00AA4677">
        <w:rPr>
          <w:rStyle w:val="Strong"/>
          <w:rFonts w:asciiTheme="minorHAnsi" w:hAnsiTheme="minorHAnsi"/>
          <w:b w:val="0"/>
          <w:bdr w:val="none" w:sz="0" w:space="0" w:color="auto" w:frame="1"/>
        </w:rPr>
        <w:t>An Institutional Certification (available through the Office of Research Compliance) to be completed and signed by the researcher, and then submitted to the Office of Research Compliance for an authorizing signature</w:t>
      </w:r>
    </w:p>
    <w:p w14:paraId="61174739" w14:textId="77777777" w:rsidR="00AD1C1F" w:rsidRPr="00AA4677" w:rsidRDefault="00AD1C1F" w:rsidP="00391334">
      <w:pPr>
        <w:pStyle w:val="NormalWeb"/>
        <w:shd w:val="clear" w:color="auto" w:fill="FFFFFF"/>
        <w:spacing w:before="0" w:beforeAutospacing="0" w:after="0" w:afterAutospacing="0"/>
        <w:rPr>
          <w:rStyle w:val="Strong"/>
          <w:rFonts w:asciiTheme="minorHAnsi" w:hAnsiTheme="minorHAnsi"/>
          <w:bdr w:val="none" w:sz="0" w:space="0" w:color="auto" w:frame="1"/>
        </w:rPr>
      </w:pPr>
    </w:p>
    <w:p w14:paraId="4A5817F3" w14:textId="23AA44D8" w:rsidR="00391334" w:rsidRPr="00AA4677" w:rsidRDefault="00606526" w:rsidP="00391334">
      <w:pPr>
        <w:pStyle w:val="NormalWeb"/>
        <w:shd w:val="clear" w:color="auto" w:fill="FFFFFF"/>
        <w:spacing w:before="0" w:beforeAutospacing="0" w:after="0" w:afterAutospacing="0"/>
        <w:rPr>
          <w:rFonts w:asciiTheme="minorHAnsi" w:hAnsiTheme="minorHAnsi"/>
        </w:rPr>
      </w:pPr>
      <w:r w:rsidRPr="00AA4677">
        <w:rPr>
          <w:rStyle w:val="Strong"/>
          <w:rFonts w:asciiTheme="minorHAnsi" w:hAnsiTheme="minorHAnsi"/>
          <w:bdr w:val="none" w:sz="0" w:space="0" w:color="auto" w:frame="1"/>
        </w:rPr>
        <w:t>R</w:t>
      </w:r>
      <w:r w:rsidR="00391334" w:rsidRPr="00AA4677">
        <w:rPr>
          <w:rStyle w:val="Strong"/>
          <w:rFonts w:asciiTheme="minorHAnsi" w:hAnsiTheme="minorHAnsi"/>
          <w:bdr w:val="none" w:sz="0" w:space="0" w:color="auto" w:frame="1"/>
        </w:rPr>
        <w:t xml:space="preserve">equired when genomic data needs to be submitted to an NIH-supported data repository, but NIH is not the funder and/or a </w:t>
      </w:r>
      <w:r w:rsidRPr="00AA4677">
        <w:rPr>
          <w:rStyle w:val="Strong"/>
          <w:rFonts w:asciiTheme="minorHAnsi" w:hAnsiTheme="minorHAnsi"/>
          <w:bdr w:val="none" w:sz="0" w:space="0" w:color="auto" w:frame="1"/>
        </w:rPr>
        <w:t>funding request is not involved:</w:t>
      </w:r>
    </w:p>
    <w:p w14:paraId="309BAD81" w14:textId="77777777" w:rsidR="00391334" w:rsidRPr="00AA4677" w:rsidRDefault="00391334" w:rsidP="00391334">
      <w:pPr>
        <w:pStyle w:val="NormalWeb"/>
        <w:shd w:val="clear" w:color="auto" w:fill="FFFFFF"/>
        <w:spacing w:before="0" w:beforeAutospacing="0" w:after="0" w:afterAutospacing="0"/>
        <w:rPr>
          <w:rFonts w:asciiTheme="minorHAnsi" w:hAnsiTheme="minorHAnsi"/>
          <w:b/>
        </w:rPr>
      </w:pPr>
      <w:r w:rsidRPr="00AA4677">
        <w:rPr>
          <w:rStyle w:val="Strong"/>
          <w:rFonts w:asciiTheme="minorHAnsi" w:hAnsiTheme="minorHAnsi"/>
          <w:b w:val="0"/>
          <w:bdr w:val="none" w:sz="0" w:space="0" w:color="auto" w:frame="1"/>
        </w:rPr>
        <w:t>The IRB will be responsible for the authorizing signature on the</w:t>
      </w:r>
      <w:r w:rsidRPr="00AA4677">
        <w:rPr>
          <w:rStyle w:val="apple-converted-space"/>
          <w:rFonts w:asciiTheme="minorHAnsi" w:hAnsiTheme="minorHAnsi"/>
          <w:b/>
          <w:bCs/>
          <w:bdr w:val="none" w:sz="0" w:space="0" w:color="auto" w:frame="1"/>
        </w:rPr>
        <w:t> </w:t>
      </w:r>
      <w:r w:rsidRPr="00AA4677">
        <w:rPr>
          <w:rStyle w:val="Strong"/>
          <w:rFonts w:asciiTheme="minorHAnsi" w:hAnsiTheme="minorHAnsi"/>
          <w:b w:val="0"/>
          <w:bdr w:val="none" w:sz="0" w:space="0" w:color="auto" w:frame="1"/>
        </w:rPr>
        <w:t>Institutional Certification.</w:t>
      </w:r>
    </w:p>
    <w:p w14:paraId="5186F9FF" w14:textId="77777777" w:rsidR="00606526" w:rsidRPr="00AA4677" w:rsidRDefault="00606526" w:rsidP="00391334">
      <w:pPr>
        <w:pStyle w:val="NormalWeb"/>
        <w:shd w:val="clear" w:color="auto" w:fill="FFFFFF"/>
        <w:spacing w:before="0" w:beforeAutospacing="0" w:after="0" w:afterAutospacing="0"/>
        <w:rPr>
          <w:rStyle w:val="Strong"/>
          <w:rFonts w:asciiTheme="minorHAnsi" w:hAnsiTheme="minorHAnsi"/>
          <w:bdr w:val="none" w:sz="0" w:space="0" w:color="auto" w:frame="1"/>
        </w:rPr>
      </w:pPr>
    </w:p>
    <w:p w14:paraId="5F5BFABD" w14:textId="67838BB2" w:rsidR="00391334" w:rsidRPr="00AA4677" w:rsidRDefault="00606526" w:rsidP="00391334">
      <w:pPr>
        <w:pStyle w:val="NormalWeb"/>
        <w:shd w:val="clear" w:color="auto" w:fill="FFFFFF"/>
        <w:spacing w:before="0" w:beforeAutospacing="0" w:after="0" w:afterAutospacing="0"/>
        <w:rPr>
          <w:rFonts w:asciiTheme="minorHAnsi" w:hAnsiTheme="minorHAnsi"/>
        </w:rPr>
      </w:pPr>
      <w:r w:rsidRPr="00AA4677">
        <w:rPr>
          <w:rStyle w:val="Strong"/>
          <w:rFonts w:asciiTheme="minorHAnsi" w:hAnsiTheme="minorHAnsi"/>
          <w:bdr w:val="none" w:sz="0" w:space="0" w:color="auto" w:frame="1"/>
        </w:rPr>
        <w:t>Consent document language</w:t>
      </w:r>
      <w:r w:rsidR="00391334" w:rsidRPr="00AA4677">
        <w:rPr>
          <w:rStyle w:val="Strong"/>
          <w:rFonts w:asciiTheme="minorHAnsi" w:hAnsiTheme="minorHAnsi"/>
          <w:bdr w:val="none" w:sz="0" w:space="0" w:color="auto" w:frame="1"/>
        </w:rPr>
        <w:t xml:space="preserve"> for subjects when genetic data will be deposite</w:t>
      </w:r>
      <w:r w:rsidRPr="00AA4677">
        <w:rPr>
          <w:rStyle w:val="Strong"/>
          <w:rFonts w:asciiTheme="minorHAnsi" w:hAnsiTheme="minorHAnsi"/>
          <w:bdr w:val="none" w:sz="0" w:space="0" w:color="auto" w:frame="1"/>
        </w:rPr>
        <w:t>d in NIH-supported repositories:</w:t>
      </w:r>
    </w:p>
    <w:p w14:paraId="66AF0C6F" w14:textId="49BBE259" w:rsidR="00391334" w:rsidRPr="00AA4677" w:rsidRDefault="00391334" w:rsidP="00391334">
      <w:pPr>
        <w:pStyle w:val="NormalWeb"/>
        <w:shd w:val="clear" w:color="auto" w:fill="FFFFFF"/>
        <w:spacing w:before="0" w:beforeAutospacing="0" w:after="0" w:afterAutospacing="0"/>
        <w:rPr>
          <w:rFonts w:asciiTheme="minorHAnsi" w:hAnsiTheme="minorHAnsi"/>
          <w:b/>
        </w:rPr>
      </w:pPr>
      <w:r w:rsidRPr="00AA4677">
        <w:rPr>
          <w:rStyle w:val="Strong"/>
          <w:rFonts w:asciiTheme="minorHAnsi" w:hAnsiTheme="minorHAnsi"/>
          <w:b w:val="0"/>
          <w:bdr w:val="none" w:sz="0" w:space="0" w:color="auto" w:frame="1"/>
        </w:rPr>
        <w:t xml:space="preserve">The consent templates in the Forms </w:t>
      </w:r>
      <w:r w:rsidR="00DC5138" w:rsidRPr="00AA4677">
        <w:rPr>
          <w:rStyle w:val="Strong"/>
          <w:rFonts w:asciiTheme="minorHAnsi" w:hAnsiTheme="minorHAnsi"/>
          <w:b w:val="0"/>
          <w:bdr w:val="none" w:sz="0" w:space="0" w:color="auto" w:frame="1"/>
        </w:rPr>
        <w:t xml:space="preserve">Library of the electronic management system </w:t>
      </w:r>
      <w:r w:rsidRPr="00AA4677">
        <w:rPr>
          <w:rStyle w:val="Strong"/>
          <w:rFonts w:asciiTheme="minorHAnsi" w:hAnsiTheme="minorHAnsi"/>
          <w:b w:val="0"/>
          <w:bdr w:val="none" w:sz="0" w:space="0" w:color="auto" w:frame="1"/>
        </w:rPr>
        <w:t>contain instructions on language to be used when genetic data is to be deposited in NIH-supported repositories.</w:t>
      </w:r>
    </w:p>
    <w:p w14:paraId="06EBCBEF" w14:textId="77777777" w:rsidR="00AD1C1F" w:rsidRPr="00AA4677" w:rsidRDefault="00AD1C1F" w:rsidP="00391334">
      <w:pPr>
        <w:pStyle w:val="NormalWeb"/>
        <w:shd w:val="clear" w:color="auto" w:fill="FFFFFF"/>
        <w:spacing w:before="0" w:beforeAutospacing="0" w:after="0" w:afterAutospacing="0"/>
        <w:rPr>
          <w:rStyle w:val="Strong"/>
          <w:rFonts w:asciiTheme="majorHAnsi" w:hAnsiTheme="majorHAnsi"/>
          <w:bdr w:val="none" w:sz="0" w:space="0" w:color="auto" w:frame="1"/>
        </w:rPr>
      </w:pPr>
    </w:p>
    <w:p w14:paraId="647CEE1E" w14:textId="77777777" w:rsidR="00391334" w:rsidRPr="00AA4677" w:rsidRDefault="00391334" w:rsidP="000117C5">
      <w:r w:rsidRPr="00AA4677">
        <w:t>Resources</w:t>
      </w:r>
    </w:p>
    <w:p w14:paraId="27C7CF0A" w14:textId="0084B495" w:rsidR="00391334" w:rsidRPr="00AA4677" w:rsidRDefault="00AD1C1F" w:rsidP="00DA33E9">
      <w:pPr>
        <w:pStyle w:val="ListParagraph"/>
        <w:numPr>
          <w:ilvl w:val="0"/>
          <w:numId w:val="342"/>
        </w:numPr>
        <w:ind w:left="360"/>
        <w:rPr>
          <w:rStyle w:val="Hyperlink"/>
          <w:color w:val="auto"/>
          <w:u w:val="none"/>
        </w:rPr>
      </w:pPr>
      <w:r w:rsidRPr="00AA4677">
        <w:fldChar w:fldCharType="begin"/>
      </w:r>
      <w:r w:rsidRPr="00AA4677">
        <w:instrText xml:space="preserve"> HYPERLINK "http://grants.nih.gov/grants/guide/notice-files/NOT-OD-14-124.html" \t "_blank" </w:instrText>
      </w:r>
      <w:r w:rsidRPr="00AA4677">
        <w:fldChar w:fldCharType="separate"/>
      </w:r>
      <w:r w:rsidR="00391334" w:rsidRPr="00AA4677">
        <w:rPr>
          <w:rStyle w:val="Hyperlink"/>
          <w:color w:val="auto"/>
          <w:u w:val="none"/>
        </w:rPr>
        <w:t>The Genomic Data Sharing Policy</w:t>
      </w:r>
    </w:p>
    <w:p w14:paraId="375E79D1" w14:textId="60087CB4" w:rsidR="00391334" w:rsidRPr="00AA4677" w:rsidRDefault="00AD1C1F" w:rsidP="00DA33E9">
      <w:pPr>
        <w:pStyle w:val="ListParagraph"/>
        <w:numPr>
          <w:ilvl w:val="0"/>
          <w:numId w:val="342"/>
        </w:numPr>
        <w:ind w:left="360"/>
        <w:rPr>
          <w:rStyle w:val="Hyperlink"/>
          <w:color w:val="auto"/>
          <w:u w:val="none"/>
        </w:rPr>
      </w:pPr>
      <w:r w:rsidRPr="00AA4677">
        <w:fldChar w:fldCharType="end"/>
      </w:r>
      <w:r w:rsidRPr="00AA4677">
        <w:fldChar w:fldCharType="begin"/>
      </w:r>
      <w:r w:rsidRPr="00AA4677">
        <w:instrText xml:space="preserve"> HYPERLINK "http://grants.nih.gov/grants/guide/notice-files/NOT-OD-14-111.html" \t "_blank" </w:instrText>
      </w:r>
      <w:r w:rsidRPr="00AA4677">
        <w:fldChar w:fldCharType="separate"/>
      </w:r>
      <w:r w:rsidR="00391334" w:rsidRPr="00AA4677">
        <w:rPr>
          <w:rStyle w:val="Hyperlink"/>
          <w:color w:val="auto"/>
          <w:u w:val="none"/>
        </w:rPr>
        <w:t>Implementation of the NIH Genomic Data Sharing Policy for NIH Grant Applications and Awards</w:t>
      </w:r>
    </w:p>
    <w:p w14:paraId="0311521F" w14:textId="0637A9D1" w:rsidR="00B72AC3" w:rsidRPr="00AA4677" w:rsidRDefault="00AD1C1F" w:rsidP="00DA33E9">
      <w:pPr>
        <w:pStyle w:val="ListParagraph"/>
        <w:numPr>
          <w:ilvl w:val="0"/>
          <w:numId w:val="342"/>
        </w:numPr>
        <w:ind w:left="360"/>
      </w:pPr>
      <w:r w:rsidRPr="00AA4677">
        <w:fldChar w:fldCharType="end"/>
      </w:r>
      <w:bookmarkStart w:id="359" w:name="_Toc493413516"/>
      <w:bookmarkStart w:id="360" w:name="_Toc493418286"/>
      <w:bookmarkStart w:id="361" w:name="_Toc495756672"/>
      <w:bookmarkStart w:id="362" w:name="_Toc528074557"/>
      <w:r w:rsidR="00B72AC3" w:rsidRPr="00AA4677">
        <w:t>Research Involving or Generating Genetic Information</w:t>
      </w:r>
      <w:bookmarkEnd w:id="359"/>
      <w:bookmarkEnd w:id="360"/>
      <w:bookmarkEnd w:id="361"/>
      <w:bookmarkEnd w:id="362"/>
    </w:p>
    <w:p w14:paraId="4A880FDB" w14:textId="77777777" w:rsidR="00B72AC3" w:rsidRPr="00AA4677" w:rsidRDefault="00B72AC3" w:rsidP="000117C5">
      <w:r w:rsidRPr="00AA4677">
        <w:t xml:space="preserve">Research that generates or uses genetic information may create special risks to human subjects and their relatives. These involve medical, psychosocial, legal and economic risks, such as the possible loss of privacy, insurability, and employability, and may result in stigmatization and discrimination.  Information about one's own genetic make-up may also provide information about family members.  </w:t>
      </w:r>
    </w:p>
    <w:p w14:paraId="60D51EEC" w14:textId="77777777" w:rsidR="00B72AC3" w:rsidRPr="00AA4677" w:rsidRDefault="00B72AC3" w:rsidP="000117C5">
      <w:r w:rsidRPr="00AA4677">
        <w:t xml:space="preserve">In studies involving genetic testing or analysis of genetic information, several questions </w:t>
      </w:r>
      <w:proofErr w:type="gramStart"/>
      <w:r w:rsidRPr="00AA4677">
        <w:t>should to</w:t>
      </w:r>
      <w:proofErr w:type="gramEnd"/>
      <w:r w:rsidRPr="00AA4677">
        <w:t xml:space="preserve"> be addressed to ensure that potential risks are well understood and that the rights and interests of subjects and their family members are carefully considered and planned for.  For example:</w:t>
      </w:r>
    </w:p>
    <w:p w14:paraId="6B1036D2" w14:textId="77777777" w:rsidR="00B72AC3" w:rsidRPr="00AA4677" w:rsidRDefault="00B72AC3">
      <w:pPr>
        <w:numPr>
          <w:ilvl w:val="0"/>
          <w:numId w:val="178"/>
        </w:numPr>
        <w:spacing w:after="120" w:line="240" w:lineRule="auto"/>
        <w:ind w:left="360"/>
      </w:pPr>
      <w:r w:rsidRPr="00AA4677">
        <w:t xml:space="preserve">Is the testing intrinsic to the study?  If not, has participation in the genetic testing component been provided as an opt-in? </w:t>
      </w:r>
    </w:p>
    <w:p w14:paraId="6814167D" w14:textId="77777777" w:rsidR="00B72AC3" w:rsidRPr="00AA4677" w:rsidRDefault="00B72AC3">
      <w:pPr>
        <w:numPr>
          <w:ilvl w:val="0"/>
          <w:numId w:val="178"/>
        </w:numPr>
        <w:spacing w:after="120" w:line="240" w:lineRule="auto"/>
        <w:ind w:left="360"/>
      </w:pPr>
      <w:r w:rsidRPr="00AA4677">
        <w:t>Will test results be given?  Is there an appropriate plan for return of results?</w:t>
      </w:r>
    </w:p>
    <w:p w14:paraId="65AFB185" w14:textId="77777777" w:rsidR="00B72AC3" w:rsidRPr="00AA4677" w:rsidRDefault="00B72AC3">
      <w:pPr>
        <w:numPr>
          <w:ilvl w:val="0"/>
          <w:numId w:val="178"/>
        </w:numPr>
        <w:spacing w:after="120" w:line="240" w:lineRule="auto"/>
        <w:ind w:left="360"/>
      </w:pPr>
      <w:r w:rsidRPr="00AA4677">
        <w:t>Does the subject or family member be provided the option to receive or not receive results? How will this decision be recorded?</w:t>
      </w:r>
    </w:p>
    <w:p w14:paraId="203A1BAD" w14:textId="77777777" w:rsidR="00B72AC3" w:rsidRPr="00AA4677" w:rsidRDefault="00B72AC3">
      <w:pPr>
        <w:numPr>
          <w:ilvl w:val="0"/>
          <w:numId w:val="178"/>
        </w:numPr>
        <w:spacing w:after="120" w:line="240" w:lineRule="auto"/>
        <w:ind w:left="360"/>
      </w:pPr>
      <w:r w:rsidRPr="00AA4677">
        <w:t>Could the results provide information about individual disease risk?  Disease risk for family members?</w:t>
      </w:r>
    </w:p>
    <w:p w14:paraId="704485F3" w14:textId="77777777" w:rsidR="00B72AC3" w:rsidRPr="00AA4677" w:rsidRDefault="00B72AC3">
      <w:pPr>
        <w:numPr>
          <w:ilvl w:val="0"/>
          <w:numId w:val="178"/>
        </w:numPr>
        <w:spacing w:after="120" w:line="240" w:lineRule="auto"/>
        <w:ind w:left="360"/>
      </w:pPr>
      <w:r w:rsidRPr="00AA4677">
        <w:t>Could other clinically relevant information or incidental findings be uncovered by the study? Is there a plan for the management of such findings?</w:t>
      </w:r>
    </w:p>
    <w:p w14:paraId="0FD3ADC5" w14:textId="77777777" w:rsidR="00B72AC3" w:rsidRPr="00AA4677" w:rsidRDefault="00B72AC3">
      <w:pPr>
        <w:numPr>
          <w:ilvl w:val="0"/>
          <w:numId w:val="178"/>
        </w:numPr>
        <w:spacing w:after="120" w:line="240" w:lineRule="auto"/>
        <w:ind w:left="360"/>
      </w:pPr>
      <w:r w:rsidRPr="00AA4677">
        <w:lastRenderedPageBreak/>
        <w:t>Will testing that could produce clinically relevant information occur in a CLIA-certified lab?  If not, are there tests available that could validate or support findings?</w:t>
      </w:r>
    </w:p>
    <w:p w14:paraId="46BE2706" w14:textId="77777777" w:rsidR="00B72AC3" w:rsidRPr="00AA4677" w:rsidRDefault="00B72AC3">
      <w:pPr>
        <w:numPr>
          <w:ilvl w:val="0"/>
          <w:numId w:val="178"/>
        </w:numPr>
        <w:spacing w:after="120" w:line="240" w:lineRule="auto"/>
        <w:ind w:left="360"/>
      </w:pPr>
      <w:r w:rsidRPr="00AA4677">
        <w:t>Could a change in a family relationship be disclosed, such as mistaken paternity?</w:t>
      </w:r>
    </w:p>
    <w:p w14:paraId="07EBDD76" w14:textId="77777777" w:rsidR="00B72AC3" w:rsidRPr="00AA4677" w:rsidRDefault="00B72AC3">
      <w:pPr>
        <w:numPr>
          <w:ilvl w:val="0"/>
          <w:numId w:val="178"/>
        </w:numPr>
        <w:spacing w:after="120" w:line="240" w:lineRule="auto"/>
        <w:ind w:left="360"/>
      </w:pPr>
      <w:r w:rsidRPr="00AA4677">
        <w:t xml:space="preserve">Could/will the research provide information about the origins, ancestry, or natural history of families, indigenous peoples, tribal populations, or other populations?  What are the possible risks?  </w:t>
      </w:r>
    </w:p>
    <w:p w14:paraId="7E9BA7E5" w14:textId="77777777" w:rsidR="00B72AC3" w:rsidRPr="00AA4677" w:rsidRDefault="00B72AC3">
      <w:pPr>
        <w:numPr>
          <w:ilvl w:val="0"/>
          <w:numId w:val="178"/>
        </w:numPr>
        <w:spacing w:after="120" w:line="240" w:lineRule="auto"/>
        <w:ind w:left="360"/>
      </w:pPr>
      <w:r w:rsidRPr="00AA4677">
        <w:t>Could/will the research generate information that could place subjects or family members at risk or be stigmatizing?</w:t>
      </w:r>
    </w:p>
    <w:p w14:paraId="3484E697" w14:textId="77777777" w:rsidR="00B72AC3" w:rsidRPr="00AA4677" w:rsidRDefault="00B72AC3">
      <w:pPr>
        <w:numPr>
          <w:ilvl w:val="0"/>
          <w:numId w:val="178"/>
        </w:numPr>
        <w:spacing w:after="120" w:line="240" w:lineRule="auto"/>
        <w:ind w:left="360"/>
      </w:pPr>
      <w:r w:rsidRPr="00AA4677">
        <w:t xml:space="preserve">Could/will the research generate information of other </w:t>
      </w:r>
      <w:proofErr w:type="gramStart"/>
      <w:r w:rsidRPr="00AA4677">
        <w:t>value</w:t>
      </w:r>
      <w:proofErr w:type="gramEnd"/>
      <w:r w:rsidRPr="00AA4677">
        <w:t xml:space="preserve"> or importance to subjects/families?</w:t>
      </w:r>
    </w:p>
    <w:p w14:paraId="698F05FF" w14:textId="77777777" w:rsidR="00B72AC3" w:rsidRPr="00AA4677" w:rsidRDefault="00B72AC3">
      <w:pPr>
        <w:numPr>
          <w:ilvl w:val="0"/>
          <w:numId w:val="178"/>
        </w:numPr>
        <w:spacing w:after="120" w:line="240" w:lineRule="auto"/>
        <w:ind w:left="360"/>
      </w:pPr>
      <w:r w:rsidRPr="00AA4677">
        <w:t>Do any practical limitations exist on the subject's right to withdraw from the research, withdraw data, and/or withdraw biological materials (e.g., specimens, cell lines, extracted genomic DNA)?</w:t>
      </w:r>
    </w:p>
    <w:p w14:paraId="2EE5EAFE" w14:textId="77777777" w:rsidR="00B72AC3" w:rsidRPr="00AA4677" w:rsidRDefault="00B72AC3">
      <w:pPr>
        <w:numPr>
          <w:ilvl w:val="0"/>
          <w:numId w:val="178"/>
        </w:numPr>
        <w:spacing w:after="120" w:line="240" w:lineRule="auto"/>
        <w:ind w:left="360"/>
      </w:pPr>
      <w:r w:rsidRPr="00AA4677">
        <w:t>How will the information and/or biological materials be protected and who will have access?</w:t>
      </w:r>
    </w:p>
    <w:p w14:paraId="4574E691" w14:textId="77777777" w:rsidR="00B72AC3" w:rsidRPr="00AA4677" w:rsidRDefault="00B72AC3">
      <w:pPr>
        <w:numPr>
          <w:ilvl w:val="0"/>
          <w:numId w:val="178"/>
        </w:numPr>
        <w:spacing w:after="120" w:line="240" w:lineRule="auto"/>
        <w:ind w:left="360"/>
      </w:pPr>
      <w:r w:rsidRPr="00AA4677">
        <w:t xml:space="preserve">What is the potential for re-identification of individual subjects (e.g., through the combination of their genetic information and/or materials with other sources of information (e.g., public </w:t>
      </w:r>
      <w:proofErr w:type="gramStart"/>
      <w:r w:rsidRPr="00AA4677">
        <w:t>records))</w:t>
      </w:r>
      <w:proofErr w:type="gramEnd"/>
      <w:r w:rsidRPr="00AA4677">
        <w:t>?  What measures can be taken to mitigate these risks?</w:t>
      </w:r>
    </w:p>
    <w:p w14:paraId="30BE2FC7" w14:textId="3BC5DF32" w:rsidR="00B72AC3" w:rsidRPr="00AA4677" w:rsidRDefault="00B72AC3">
      <w:pPr>
        <w:numPr>
          <w:ilvl w:val="0"/>
          <w:numId w:val="178"/>
        </w:numPr>
        <w:spacing w:after="120" w:line="240" w:lineRule="auto"/>
        <w:ind w:left="360"/>
      </w:pPr>
      <w:r w:rsidRPr="00AA4677">
        <w:t>Is a Certificate of Confidentiality (CoC) in place or should one be considered? (</w:t>
      </w:r>
      <w:r w:rsidR="00601A02" w:rsidRPr="00AA4677">
        <w:t>See Section 17.17</w:t>
      </w:r>
      <w:r w:rsidRPr="00AA4677">
        <w:t>)</w:t>
      </w:r>
    </w:p>
    <w:p w14:paraId="0B3BBCBD" w14:textId="5A4A013A" w:rsidR="00B72AC3" w:rsidRPr="00AA4677" w:rsidRDefault="00B72AC3">
      <w:pPr>
        <w:numPr>
          <w:ilvl w:val="0"/>
          <w:numId w:val="178"/>
        </w:numPr>
        <w:spacing w:after="120" w:line="240" w:lineRule="auto"/>
        <w:ind w:left="360"/>
      </w:pPr>
      <w:r w:rsidRPr="00AA4677">
        <w:t>Will the specimens, cell lines, or genetic information be stored and/or made available for future research? Is this provided as an opt-in when not intrinsic to the study? (</w:t>
      </w:r>
      <w:r w:rsidR="00601A02" w:rsidRPr="00AA4677">
        <w:t>See Section 7.6</w:t>
      </w:r>
      <w:r w:rsidRPr="00AA4677">
        <w:t>)</w:t>
      </w:r>
    </w:p>
    <w:p w14:paraId="0DC4512A" w14:textId="77777777" w:rsidR="00B72AC3" w:rsidRPr="00AA4677" w:rsidRDefault="00B72AC3" w:rsidP="00B72AC3">
      <w:r w:rsidRPr="00AA4677">
        <w:t>Investigators should carefully consider the above and other factors relevant to their specific study when developing the protocol, consent process, and consent form.  The President’s Bioethics Commission, the National Academies of Sciences, Engineering, and Medicine, and others have produced reports, recommendations, and materials that investigators and the IRB may find helpful in protocol development and review, including:</w:t>
      </w:r>
    </w:p>
    <w:p w14:paraId="3F6A7C11" w14:textId="77777777" w:rsidR="00B72AC3" w:rsidRPr="00AA4677" w:rsidRDefault="00B72AC3">
      <w:pPr>
        <w:pStyle w:val="ListParagraph"/>
        <w:numPr>
          <w:ilvl w:val="0"/>
          <w:numId w:val="189"/>
        </w:numPr>
        <w:spacing w:after="120" w:line="240" w:lineRule="auto"/>
        <w:ind w:left="360"/>
      </w:pPr>
      <w:hyperlink r:id="rId139" w:history="1">
        <w:r w:rsidRPr="00AA4677">
          <w:rPr>
            <w:rStyle w:val="Hyperlink"/>
            <w:color w:val="auto"/>
            <w:u w:val="none"/>
          </w:rPr>
          <w:t>Returning Individual Research Results to Participants: Guidance for a New Research Paradigm</w:t>
        </w:r>
      </w:hyperlink>
    </w:p>
    <w:p w14:paraId="732680C6" w14:textId="77777777" w:rsidR="00B72AC3" w:rsidRPr="00AA4677" w:rsidRDefault="00B72AC3">
      <w:pPr>
        <w:pStyle w:val="ListParagraph"/>
        <w:numPr>
          <w:ilvl w:val="0"/>
          <w:numId w:val="189"/>
        </w:numPr>
        <w:spacing w:after="120" w:line="240" w:lineRule="auto"/>
        <w:ind w:left="360"/>
      </w:pPr>
      <w:hyperlink r:id="rId140" w:history="1">
        <w:r w:rsidRPr="00AA4677">
          <w:rPr>
            <w:rStyle w:val="Hyperlink"/>
            <w:color w:val="auto"/>
            <w:u w:val="none"/>
          </w:rPr>
          <w:t>Anticipate and Communicate: Ethical Management of Incidental and Secondary Findings in the Clinical, Research, and Direct-to-Consumer Contexts</w:t>
        </w:r>
      </w:hyperlink>
    </w:p>
    <w:p w14:paraId="27271BA6" w14:textId="77777777" w:rsidR="00B72AC3" w:rsidRPr="00AA4677" w:rsidRDefault="00B72AC3">
      <w:pPr>
        <w:pStyle w:val="ListParagraph"/>
        <w:numPr>
          <w:ilvl w:val="0"/>
          <w:numId w:val="189"/>
        </w:numPr>
        <w:spacing w:after="120" w:line="240" w:lineRule="auto"/>
        <w:ind w:left="360"/>
      </w:pPr>
      <w:hyperlink r:id="rId141" w:history="1">
        <w:r w:rsidRPr="00AA4677">
          <w:rPr>
            <w:rStyle w:val="Hyperlink"/>
            <w:color w:val="auto"/>
            <w:u w:val="none"/>
          </w:rPr>
          <w:t>Privacy and Progress in Whole Genome Sequencing</w:t>
        </w:r>
      </w:hyperlink>
    </w:p>
    <w:p w14:paraId="225C828D" w14:textId="77777777" w:rsidR="00B72AC3" w:rsidRPr="00AA4677" w:rsidRDefault="00B72AC3">
      <w:pPr>
        <w:pStyle w:val="ListParagraph"/>
        <w:numPr>
          <w:ilvl w:val="0"/>
          <w:numId w:val="189"/>
        </w:numPr>
        <w:spacing w:after="120" w:line="240" w:lineRule="auto"/>
        <w:ind w:left="360"/>
      </w:pPr>
      <w:hyperlink r:id="rId142" w:history="1">
        <w:r w:rsidRPr="00AA4677">
          <w:rPr>
            <w:rStyle w:val="Hyperlink"/>
            <w:color w:val="auto"/>
            <w:u w:val="none"/>
          </w:rPr>
          <w:t>Genetics Research and American Indian and Alaska Native Communities</w:t>
        </w:r>
      </w:hyperlink>
    </w:p>
    <w:p w14:paraId="52092D7E" w14:textId="77777777" w:rsidR="00B72AC3" w:rsidRPr="00AA4677" w:rsidRDefault="00B72AC3">
      <w:pPr>
        <w:pStyle w:val="ListParagraph"/>
        <w:numPr>
          <w:ilvl w:val="0"/>
          <w:numId w:val="189"/>
        </w:numPr>
        <w:spacing w:after="120" w:line="240" w:lineRule="auto"/>
        <w:ind w:left="360"/>
      </w:pPr>
      <w:r w:rsidRPr="00AA4677">
        <w:t>National Human Genome Research Institute:</w:t>
      </w:r>
    </w:p>
    <w:p w14:paraId="4523258C" w14:textId="77777777" w:rsidR="00B72AC3" w:rsidRPr="00AA4677" w:rsidRDefault="00B72AC3">
      <w:pPr>
        <w:pStyle w:val="ListParagraph"/>
        <w:numPr>
          <w:ilvl w:val="1"/>
          <w:numId w:val="189"/>
        </w:numPr>
        <w:spacing w:after="120" w:line="240" w:lineRule="auto"/>
        <w:ind w:left="360" w:firstLine="0"/>
      </w:pPr>
      <w:hyperlink r:id="rId143" w:history="1">
        <w:r w:rsidRPr="00AA4677">
          <w:rPr>
            <w:rStyle w:val="Hyperlink"/>
            <w:color w:val="auto"/>
            <w:u w:val="none"/>
          </w:rPr>
          <w:t>Human Subjects Research in Genomics</w:t>
        </w:r>
      </w:hyperlink>
    </w:p>
    <w:p w14:paraId="70643F7A" w14:textId="77777777" w:rsidR="00B72AC3" w:rsidRPr="00AA4677" w:rsidRDefault="00B72AC3">
      <w:pPr>
        <w:pStyle w:val="ListParagraph"/>
        <w:numPr>
          <w:ilvl w:val="1"/>
          <w:numId w:val="189"/>
        </w:numPr>
        <w:spacing w:after="120" w:line="240" w:lineRule="auto"/>
        <w:ind w:left="360" w:firstLine="0"/>
      </w:pPr>
      <w:hyperlink r:id="rId144" w:history="1">
        <w:r w:rsidRPr="00AA4677">
          <w:rPr>
            <w:rStyle w:val="Hyperlink"/>
            <w:color w:val="auto"/>
            <w:u w:val="none"/>
          </w:rPr>
          <w:t>Return of Research Results</w:t>
        </w:r>
      </w:hyperlink>
    </w:p>
    <w:p w14:paraId="50E4206F" w14:textId="77777777" w:rsidR="00B72AC3" w:rsidRPr="00AA4677" w:rsidRDefault="00B72AC3">
      <w:pPr>
        <w:pStyle w:val="ListParagraph"/>
        <w:numPr>
          <w:ilvl w:val="1"/>
          <w:numId w:val="189"/>
        </w:numPr>
        <w:spacing w:after="120" w:line="240" w:lineRule="auto"/>
        <w:ind w:left="360" w:firstLine="0"/>
      </w:pPr>
      <w:hyperlink r:id="rId145" w:history="1">
        <w:r w:rsidRPr="00AA4677">
          <w:rPr>
            <w:rStyle w:val="Hyperlink"/>
            <w:color w:val="auto"/>
            <w:u w:val="none"/>
          </w:rPr>
          <w:t>Data Sharing and Privacy</w:t>
        </w:r>
      </w:hyperlink>
    </w:p>
    <w:p w14:paraId="5ABD1891" w14:textId="77777777" w:rsidR="00B72AC3" w:rsidRPr="00AA4677" w:rsidRDefault="00B72AC3">
      <w:pPr>
        <w:pStyle w:val="ListParagraph"/>
        <w:numPr>
          <w:ilvl w:val="1"/>
          <w:numId w:val="189"/>
        </w:numPr>
        <w:spacing w:after="120" w:line="240" w:lineRule="auto"/>
        <w:ind w:left="360" w:firstLine="0"/>
      </w:pPr>
      <w:hyperlink r:id="rId146" w:history="1">
        <w:r w:rsidRPr="00AA4677">
          <w:rPr>
            <w:rStyle w:val="Hyperlink"/>
            <w:color w:val="auto"/>
            <w:u w:val="none"/>
          </w:rPr>
          <w:t>Informed Consent for Genomics Research</w:t>
        </w:r>
      </w:hyperlink>
    </w:p>
    <w:p w14:paraId="23644F24" w14:textId="1938A064" w:rsidR="00B72AC3" w:rsidRPr="00AA4677" w:rsidRDefault="00B72AC3" w:rsidP="00B72AC3">
      <w:r w:rsidRPr="00AA4677">
        <w:t xml:space="preserve">In addition to the ethical considerations, investigators must ensure that research involving genetic testing or use of genetic information is consistent with applicable law (e.g., GINA, HIPAA, EU GDPR, state law) and policy (e.g., NIH).  </w:t>
      </w:r>
    </w:p>
    <w:p w14:paraId="2EAA15C5" w14:textId="77777777" w:rsidR="00F2655A" w:rsidRPr="00AA4677" w:rsidRDefault="00F2655A" w:rsidP="00F2655A">
      <w:pPr>
        <w:rPr>
          <w:rFonts w:cstheme="minorHAnsi"/>
          <w:b/>
          <w:bCs/>
          <w:szCs w:val="24"/>
        </w:rPr>
      </w:pPr>
      <w:r w:rsidRPr="00AA4677">
        <w:rPr>
          <w:rFonts w:cstheme="minorHAnsi"/>
          <w:b/>
          <w:bCs/>
          <w:szCs w:val="24"/>
        </w:rPr>
        <w:t>General Data Protection Regulation (GDPR)</w:t>
      </w:r>
    </w:p>
    <w:p w14:paraId="4E120247" w14:textId="77777777" w:rsidR="00F2655A" w:rsidRPr="00AA4677" w:rsidRDefault="00F2655A" w:rsidP="00F2655A">
      <w:pPr>
        <w:spacing w:after="0" w:line="240" w:lineRule="auto"/>
        <w:rPr>
          <w:rFonts w:cstheme="minorHAnsi"/>
          <w:szCs w:val="24"/>
          <w:shd w:val="clear" w:color="auto" w:fill="FFFFFF"/>
        </w:rPr>
      </w:pPr>
      <w:r w:rsidRPr="00AA4677">
        <w:rPr>
          <w:rFonts w:cstheme="minorHAnsi"/>
          <w:szCs w:val="24"/>
          <w:shd w:val="clear" w:color="auto" w:fill="FFFFFF"/>
        </w:rPr>
        <w:t>GDPR is a regulation based on the protection of data and privacy of individuals in the</w:t>
      </w:r>
      <w:r w:rsidRPr="00AA4677">
        <w:rPr>
          <w:rFonts w:eastAsia="Times New Roman" w:cstheme="minorHAnsi"/>
          <w:szCs w:val="24"/>
        </w:rPr>
        <w:t xml:space="preserve"> 28 EU member states and three additional countries (Liechtenstein, Iceland, and Norway), which together constitute the greater European Economic Area (EEA).</w:t>
      </w:r>
      <w:r w:rsidRPr="00AA4677">
        <w:rPr>
          <w:rFonts w:cstheme="minorHAnsi"/>
          <w:szCs w:val="24"/>
          <w:shd w:val="clear" w:color="auto" w:fill="FFFFFF"/>
        </w:rPr>
        <w:t xml:space="preserve"> </w:t>
      </w:r>
    </w:p>
    <w:p w14:paraId="23EE4439" w14:textId="77777777" w:rsidR="00F2655A" w:rsidRPr="00AA4677" w:rsidRDefault="00F2655A" w:rsidP="00F2655A">
      <w:pPr>
        <w:shd w:val="clear" w:color="auto" w:fill="FFFFFF"/>
        <w:spacing w:after="0" w:line="240" w:lineRule="auto"/>
        <w:rPr>
          <w:rFonts w:eastAsia="Times New Roman" w:cstheme="minorHAnsi"/>
          <w:szCs w:val="24"/>
        </w:rPr>
      </w:pPr>
    </w:p>
    <w:p w14:paraId="06BBFDCD" w14:textId="77777777" w:rsidR="00F2655A" w:rsidRPr="00AA4677" w:rsidRDefault="00F2655A" w:rsidP="00F2655A">
      <w:pPr>
        <w:shd w:val="clear" w:color="auto" w:fill="FFFFFF"/>
        <w:spacing w:after="0" w:line="240" w:lineRule="auto"/>
        <w:rPr>
          <w:rFonts w:eastAsia="Times New Roman" w:cstheme="minorHAnsi"/>
          <w:szCs w:val="24"/>
        </w:rPr>
      </w:pPr>
      <w:r w:rsidRPr="00AA4677">
        <w:rPr>
          <w:rFonts w:eastAsia="Times New Roman" w:cstheme="minorHAnsi"/>
          <w:szCs w:val="24"/>
        </w:rPr>
        <w:t>GDPR applies to:</w:t>
      </w:r>
    </w:p>
    <w:p w14:paraId="750452B3" w14:textId="77777777" w:rsidR="00F2655A" w:rsidRPr="00AA4677" w:rsidRDefault="00F2655A">
      <w:pPr>
        <w:numPr>
          <w:ilvl w:val="0"/>
          <w:numId w:val="211"/>
        </w:numPr>
        <w:shd w:val="clear" w:color="auto" w:fill="FFFFFF"/>
        <w:spacing w:after="0" w:line="240" w:lineRule="auto"/>
        <w:ind w:left="336"/>
        <w:rPr>
          <w:rFonts w:eastAsia="Times New Roman" w:cstheme="minorHAnsi"/>
          <w:szCs w:val="24"/>
        </w:rPr>
      </w:pPr>
      <w:r w:rsidRPr="00AA4677">
        <w:rPr>
          <w:rFonts w:eastAsia="Times New Roman" w:cstheme="minorHAnsi"/>
          <w:szCs w:val="24"/>
        </w:rPr>
        <w:t>Organizations anywhere in the world that process the personal data of those in the EEA related to offering of goods and services, regardless of whether payment is exchanged.</w:t>
      </w:r>
    </w:p>
    <w:p w14:paraId="41E583D4" w14:textId="77777777" w:rsidR="00F2655A" w:rsidRPr="00AA4677" w:rsidRDefault="00F2655A">
      <w:pPr>
        <w:numPr>
          <w:ilvl w:val="0"/>
          <w:numId w:val="211"/>
        </w:numPr>
        <w:shd w:val="clear" w:color="auto" w:fill="FFFFFF"/>
        <w:spacing w:after="0" w:line="240" w:lineRule="auto"/>
        <w:ind w:left="336"/>
        <w:rPr>
          <w:rFonts w:eastAsia="Times New Roman" w:cstheme="minorHAnsi"/>
          <w:szCs w:val="24"/>
        </w:rPr>
      </w:pPr>
      <w:r w:rsidRPr="00AA4677">
        <w:rPr>
          <w:rFonts w:eastAsia="Times New Roman" w:cstheme="minorHAnsi"/>
          <w:szCs w:val="24"/>
        </w:rPr>
        <w:t>Organizations anywhere in the world that monitor the behavior of subjects as far as their behavior takes place in the EEA.</w:t>
      </w:r>
    </w:p>
    <w:p w14:paraId="1CFF3DF3" w14:textId="77777777" w:rsidR="00F2655A" w:rsidRPr="00AA4677" w:rsidRDefault="00F2655A">
      <w:pPr>
        <w:numPr>
          <w:ilvl w:val="0"/>
          <w:numId w:val="211"/>
        </w:numPr>
        <w:shd w:val="clear" w:color="auto" w:fill="FFFFFF"/>
        <w:spacing w:after="0" w:line="240" w:lineRule="auto"/>
        <w:ind w:left="336"/>
        <w:rPr>
          <w:rFonts w:eastAsia="Times New Roman" w:cstheme="minorHAnsi"/>
          <w:szCs w:val="24"/>
        </w:rPr>
      </w:pPr>
      <w:r w:rsidRPr="00AA4677">
        <w:t>GDPR likely applies to a study if the researcher continues to monitor the EEA research subjects or provides study related interventions after they return to the EEA (In this case, the Sponsor is not located in the EEA).</w:t>
      </w:r>
    </w:p>
    <w:p w14:paraId="06F85644" w14:textId="77777777" w:rsidR="00F2655A" w:rsidRPr="00AA4677" w:rsidRDefault="00F2655A" w:rsidP="00F2655A">
      <w:pPr>
        <w:shd w:val="clear" w:color="auto" w:fill="FFFFFF"/>
        <w:spacing w:after="0" w:line="240" w:lineRule="auto"/>
        <w:ind w:left="336"/>
        <w:rPr>
          <w:rFonts w:eastAsia="Times New Roman" w:cstheme="minorHAnsi"/>
          <w:szCs w:val="24"/>
        </w:rPr>
      </w:pPr>
    </w:p>
    <w:p w14:paraId="00123105" w14:textId="77777777" w:rsidR="00F2655A" w:rsidRPr="00AA4677" w:rsidRDefault="00F2655A" w:rsidP="00F2655A">
      <w:pPr>
        <w:shd w:val="clear" w:color="auto" w:fill="FFFFFF"/>
        <w:spacing w:after="0" w:line="240" w:lineRule="auto"/>
        <w:rPr>
          <w:rFonts w:eastAsia="Times New Roman" w:cstheme="minorHAnsi"/>
          <w:szCs w:val="24"/>
        </w:rPr>
      </w:pPr>
      <w:r w:rsidRPr="00AA4677">
        <w:rPr>
          <w:rFonts w:eastAsia="Times New Roman" w:cstheme="minorHAnsi"/>
          <w:szCs w:val="24"/>
        </w:rPr>
        <w:t>GDPR does not apply to:</w:t>
      </w:r>
    </w:p>
    <w:p w14:paraId="54EF36C6" w14:textId="77777777" w:rsidR="00F2655A" w:rsidRPr="00AA4677" w:rsidRDefault="00F2655A">
      <w:pPr>
        <w:numPr>
          <w:ilvl w:val="0"/>
          <w:numId w:val="212"/>
        </w:numPr>
        <w:shd w:val="clear" w:color="auto" w:fill="FFFFFF"/>
        <w:spacing w:after="0" w:line="240" w:lineRule="auto"/>
        <w:ind w:left="336"/>
        <w:rPr>
          <w:rFonts w:eastAsia="Times New Roman" w:cstheme="minorHAnsi"/>
          <w:szCs w:val="24"/>
        </w:rPr>
      </w:pPr>
      <w:r w:rsidRPr="00AA4677">
        <w:rPr>
          <w:rFonts w:eastAsia="Times New Roman" w:cstheme="minorHAnsi"/>
          <w:szCs w:val="24"/>
        </w:rPr>
        <w:t xml:space="preserve">Organizations </w:t>
      </w:r>
      <w:proofErr w:type="gramStart"/>
      <w:r w:rsidRPr="00AA4677">
        <w:rPr>
          <w:rFonts w:eastAsia="Times New Roman" w:cstheme="minorHAnsi"/>
          <w:szCs w:val="24"/>
        </w:rPr>
        <w:t>not present</w:t>
      </w:r>
      <w:proofErr w:type="gramEnd"/>
      <w:r w:rsidRPr="00AA4677">
        <w:rPr>
          <w:rFonts w:eastAsia="Times New Roman" w:cstheme="minorHAnsi"/>
          <w:szCs w:val="24"/>
        </w:rPr>
        <w:t xml:space="preserve"> in the EEA which process the personal data of citizens of EEA member countries while they are abroad in non-EEA countries (e.g., if an EU citizen travels to the US, a company in the US processing personal data the EU citizen leaves behind while visiting the US is not subject to GDPR. However, if that same company processed data the same EU citizen generated while in the EEA, that activity would be subject to GDPR.</w:t>
      </w:r>
    </w:p>
    <w:p w14:paraId="78153F57" w14:textId="77777777" w:rsidR="00F2655A" w:rsidRPr="00AA4677" w:rsidRDefault="00F2655A" w:rsidP="00F2655A">
      <w:pPr>
        <w:shd w:val="clear" w:color="auto" w:fill="FFFFFF"/>
        <w:spacing w:after="0" w:line="240" w:lineRule="auto"/>
        <w:rPr>
          <w:rFonts w:ascii="Arial" w:eastAsia="Times New Roman" w:hAnsi="Arial" w:cs="Arial"/>
          <w:color w:val="4E5157"/>
          <w:szCs w:val="24"/>
        </w:rPr>
      </w:pPr>
    </w:p>
    <w:p w14:paraId="622BEC48" w14:textId="50CA7D44" w:rsidR="00F2655A" w:rsidRPr="00AA4677" w:rsidRDefault="00F2655A" w:rsidP="00F2655A">
      <w:pPr>
        <w:shd w:val="clear" w:color="auto" w:fill="FFFFFF"/>
        <w:spacing w:after="0" w:line="240" w:lineRule="auto"/>
        <w:rPr>
          <w:rFonts w:eastAsia="Times New Roman" w:cstheme="minorHAnsi"/>
          <w:szCs w:val="24"/>
        </w:rPr>
      </w:pPr>
      <w:r w:rsidRPr="00AA4677">
        <w:rPr>
          <w:rFonts w:eastAsia="Times New Roman" w:cstheme="minorHAnsi"/>
          <w:szCs w:val="24"/>
        </w:rPr>
        <w:t xml:space="preserve">Certain types of personal data require care in handling, and this data is often the type collected in research studies. </w:t>
      </w:r>
      <w:r w:rsidRPr="00AA4677">
        <w:t xml:space="preserve">Personal Data broadly means any information relating to an identified or identifiable natural person. An identifiable natural person is “one who can be identified, directly or indirectly, in particular by reference to an identifier such as a name, an identification number, location data, online identifier or to one or more factors specific to the physical, physiological, genetic, mental, economic, cultural or social identity of that person.” </w:t>
      </w:r>
      <w:r w:rsidRPr="00AA4677">
        <w:rPr>
          <w:rFonts w:eastAsia="Times New Roman" w:cstheme="minorHAnsi"/>
          <w:szCs w:val="24"/>
        </w:rPr>
        <w:t>The GDPR frequently requires that data revealing any of the following consider</w:t>
      </w:r>
      <w:r w:rsidR="008E0AA0" w:rsidRPr="00AA4677">
        <w:rPr>
          <w:rFonts w:eastAsia="Times New Roman" w:cstheme="minorHAnsi"/>
          <w:szCs w:val="24"/>
        </w:rPr>
        <w:t>ed</w:t>
      </w:r>
      <w:r w:rsidRPr="00AA4677">
        <w:rPr>
          <w:rFonts w:eastAsia="Times New Roman" w:cstheme="minorHAnsi"/>
          <w:szCs w:val="24"/>
        </w:rPr>
        <w:t xml:space="preserve"> to be “sensitive” data be collected through an informed consent process:</w:t>
      </w:r>
    </w:p>
    <w:p w14:paraId="4A1473C7" w14:textId="77777777" w:rsidR="00F2655A" w:rsidRPr="00AA4677" w:rsidRDefault="00F2655A">
      <w:pPr>
        <w:numPr>
          <w:ilvl w:val="0"/>
          <w:numId w:val="213"/>
        </w:numPr>
        <w:shd w:val="clear" w:color="auto" w:fill="FFFFFF"/>
        <w:spacing w:after="0" w:line="240" w:lineRule="auto"/>
        <w:ind w:left="336"/>
        <w:rPr>
          <w:rFonts w:eastAsia="Times New Roman" w:cstheme="minorHAnsi"/>
          <w:szCs w:val="24"/>
        </w:rPr>
      </w:pPr>
      <w:r w:rsidRPr="00AA4677">
        <w:rPr>
          <w:rFonts w:eastAsia="Times New Roman" w:cstheme="minorHAnsi"/>
          <w:szCs w:val="24"/>
        </w:rPr>
        <w:t>Racial or ethnic origin</w:t>
      </w:r>
    </w:p>
    <w:p w14:paraId="0DAA692C" w14:textId="77777777" w:rsidR="00F2655A" w:rsidRPr="00AA4677" w:rsidRDefault="00F2655A">
      <w:pPr>
        <w:numPr>
          <w:ilvl w:val="0"/>
          <w:numId w:val="213"/>
        </w:numPr>
        <w:shd w:val="clear" w:color="auto" w:fill="FFFFFF"/>
        <w:spacing w:after="0" w:line="240" w:lineRule="auto"/>
        <w:ind w:left="336"/>
        <w:rPr>
          <w:rFonts w:eastAsia="Times New Roman" w:cstheme="minorHAnsi"/>
          <w:szCs w:val="24"/>
        </w:rPr>
      </w:pPr>
      <w:r w:rsidRPr="00AA4677">
        <w:rPr>
          <w:rFonts w:eastAsia="Times New Roman" w:cstheme="minorHAnsi"/>
          <w:szCs w:val="24"/>
        </w:rPr>
        <w:t>Political opinions</w:t>
      </w:r>
    </w:p>
    <w:p w14:paraId="5D916239" w14:textId="77777777" w:rsidR="00F2655A" w:rsidRPr="00AA4677" w:rsidRDefault="00F2655A">
      <w:pPr>
        <w:numPr>
          <w:ilvl w:val="0"/>
          <w:numId w:val="213"/>
        </w:numPr>
        <w:shd w:val="clear" w:color="auto" w:fill="FFFFFF"/>
        <w:spacing w:after="0" w:line="240" w:lineRule="auto"/>
        <w:ind w:left="336"/>
        <w:rPr>
          <w:rFonts w:eastAsia="Times New Roman" w:cstheme="minorHAnsi"/>
          <w:szCs w:val="24"/>
        </w:rPr>
      </w:pPr>
      <w:r w:rsidRPr="00AA4677">
        <w:rPr>
          <w:rFonts w:eastAsia="Times New Roman" w:cstheme="minorHAnsi"/>
          <w:szCs w:val="24"/>
        </w:rPr>
        <w:t>Religious or philosophical beliefs</w:t>
      </w:r>
    </w:p>
    <w:p w14:paraId="2D72091D" w14:textId="77777777" w:rsidR="00F2655A" w:rsidRPr="00AA4677" w:rsidRDefault="00F2655A">
      <w:pPr>
        <w:numPr>
          <w:ilvl w:val="0"/>
          <w:numId w:val="213"/>
        </w:numPr>
        <w:shd w:val="clear" w:color="auto" w:fill="FFFFFF"/>
        <w:spacing w:after="0" w:line="240" w:lineRule="auto"/>
        <w:ind w:left="336"/>
        <w:rPr>
          <w:rFonts w:eastAsia="Times New Roman" w:cstheme="minorHAnsi"/>
          <w:szCs w:val="24"/>
        </w:rPr>
      </w:pPr>
      <w:r w:rsidRPr="00AA4677">
        <w:rPr>
          <w:rFonts w:eastAsia="Times New Roman" w:cstheme="minorHAnsi"/>
          <w:szCs w:val="24"/>
        </w:rPr>
        <w:lastRenderedPageBreak/>
        <w:t>Trade union membership</w:t>
      </w:r>
    </w:p>
    <w:p w14:paraId="0AD4604D" w14:textId="77777777" w:rsidR="00F2655A" w:rsidRPr="00AA4677" w:rsidRDefault="00F2655A">
      <w:pPr>
        <w:numPr>
          <w:ilvl w:val="0"/>
          <w:numId w:val="213"/>
        </w:numPr>
        <w:shd w:val="clear" w:color="auto" w:fill="FFFFFF"/>
        <w:spacing w:after="0" w:line="240" w:lineRule="auto"/>
        <w:ind w:left="336"/>
        <w:rPr>
          <w:rFonts w:eastAsia="Times New Roman" w:cstheme="minorHAnsi"/>
          <w:szCs w:val="24"/>
        </w:rPr>
      </w:pPr>
      <w:r w:rsidRPr="00AA4677">
        <w:rPr>
          <w:rFonts w:eastAsia="Times New Roman" w:cstheme="minorHAnsi"/>
          <w:szCs w:val="24"/>
        </w:rPr>
        <w:t>Genetic, biometric, and health data</w:t>
      </w:r>
    </w:p>
    <w:p w14:paraId="107F1762" w14:textId="77777777" w:rsidR="00F2655A" w:rsidRPr="00AA4677" w:rsidRDefault="00F2655A">
      <w:pPr>
        <w:numPr>
          <w:ilvl w:val="0"/>
          <w:numId w:val="213"/>
        </w:numPr>
        <w:shd w:val="clear" w:color="auto" w:fill="FFFFFF"/>
        <w:spacing w:after="0" w:line="240" w:lineRule="auto"/>
        <w:ind w:left="336"/>
        <w:rPr>
          <w:rFonts w:eastAsia="Times New Roman" w:cstheme="minorHAnsi"/>
          <w:szCs w:val="24"/>
        </w:rPr>
      </w:pPr>
      <w:r w:rsidRPr="00AA4677">
        <w:rPr>
          <w:rFonts w:eastAsia="Times New Roman" w:cstheme="minorHAnsi"/>
          <w:szCs w:val="24"/>
        </w:rPr>
        <w:t>Data concerning a person’s sex life or sexual orientation</w:t>
      </w:r>
    </w:p>
    <w:p w14:paraId="76B0C0EC" w14:textId="77777777" w:rsidR="00F2655A" w:rsidRPr="00AA4677" w:rsidRDefault="00F2655A" w:rsidP="00F2655A">
      <w:pPr>
        <w:shd w:val="clear" w:color="auto" w:fill="FFFFFF"/>
        <w:spacing w:after="0" w:line="240" w:lineRule="auto"/>
        <w:rPr>
          <w:rFonts w:eastAsia="Times New Roman" w:cstheme="minorHAnsi"/>
          <w:color w:val="4E5157"/>
          <w:szCs w:val="24"/>
        </w:rPr>
      </w:pPr>
    </w:p>
    <w:p w14:paraId="75E61205" w14:textId="0D5CAF4C" w:rsidR="00F2655A" w:rsidRPr="00AA4677" w:rsidRDefault="00F2655A" w:rsidP="00F2655A">
      <w:pPr>
        <w:shd w:val="clear" w:color="auto" w:fill="FFFFFF"/>
        <w:spacing w:after="0" w:line="240" w:lineRule="auto"/>
        <w:rPr>
          <w:rFonts w:eastAsia="Times New Roman" w:cstheme="minorHAnsi"/>
          <w:szCs w:val="24"/>
        </w:rPr>
      </w:pPr>
      <w:bookmarkStart w:id="363" w:name="_Hlk192161982"/>
      <w:r w:rsidRPr="00AA4677">
        <w:rPr>
          <w:rFonts w:eastAsia="Times New Roman" w:cstheme="minorHAnsi"/>
          <w:szCs w:val="24"/>
        </w:rPr>
        <w:t xml:space="preserve">Specific language must be inserted into the informed consent form if GDPR applies. Contact the Office of Research Compliance if your study will be </w:t>
      </w:r>
      <w:proofErr w:type="gramStart"/>
      <w:r w:rsidRPr="00AA4677">
        <w:rPr>
          <w:rFonts w:eastAsia="Times New Roman" w:cstheme="minorHAnsi"/>
          <w:szCs w:val="24"/>
        </w:rPr>
        <w:t>enrolling</w:t>
      </w:r>
      <w:proofErr w:type="gramEnd"/>
      <w:r w:rsidRPr="00AA4677">
        <w:rPr>
          <w:rFonts w:eastAsia="Times New Roman" w:cstheme="minorHAnsi"/>
          <w:szCs w:val="24"/>
        </w:rPr>
        <w:t xml:space="preserve"> GDPR subjects</w:t>
      </w:r>
      <w:r w:rsidR="003859A1" w:rsidRPr="00AA4677">
        <w:rPr>
          <w:rFonts w:eastAsia="Times New Roman" w:cstheme="minorHAnsi"/>
          <w:szCs w:val="24"/>
        </w:rPr>
        <w:t xml:space="preserve"> as these </w:t>
      </w:r>
      <w:r w:rsidR="00E3718F" w:rsidRPr="00AA4677">
        <w:rPr>
          <w:rFonts w:eastAsia="Times New Roman" w:cstheme="minorHAnsi"/>
          <w:szCs w:val="24"/>
        </w:rPr>
        <w:t>individuals</w:t>
      </w:r>
      <w:r w:rsidR="003859A1" w:rsidRPr="00AA4677">
        <w:rPr>
          <w:rFonts w:eastAsia="Times New Roman" w:cstheme="minorHAnsi"/>
          <w:szCs w:val="24"/>
        </w:rPr>
        <w:t xml:space="preserve"> cannot be enrolled at this time</w:t>
      </w:r>
      <w:r w:rsidRPr="00AA4677">
        <w:rPr>
          <w:rFonts w:eastAsia="Times New Roman" w:cstheme="minorHAnsi"/>
          <w:szCs w:val="24"/>
        </w:rPr>
        <w:t xml:space="preserve">. </w:t>
      </w:r>
    </w:p>
    <w:bookmarkEnd w:id="363"/>
    <w:p w14:paraId="164E466D" w14:textId="77777777" w:rsidR="00F2655A" w:rsidRPr="00AA4677" w:rsidRDefault="00F2655A" w:rsidP="00F2655A">
      <w:pPr>
        <w:shd w:val="clear" w:color="auto" w:fill="FFFFFF"/>
        <w:spacing w:after="0" w:line="240" w:lineRule="auto"/>
        <w:rPr>
          <w:rFonts w:eastAsia="Times New Roman" w:cstheme="minorHAnsi"/>
          <w:szCs w:val="24"/>
        </w:rPr>
      </w:pPr>
    </w:p>
    <w:p w14:paraId="53F079C5" w14:textId="77777777" w:rsidR="00F2655A" w:rsidRPr="00AA4677" w:rsidRDefault="00F2655A" w:rsidP="00F2655A">
      <w:pPr>
        <w:shd w:val="clear" w:color="auto" w:fill="FFFFFF"/>
        <w:spacing w:after="0" w:line="240" w:lineRule="auto"/>
        <w:rPr>
          <w:rFonts w:eastAsia="Times New Roman" w:cstheme="minorHAnsi"/>
          <w:szCs w:val="24"/>
        </w:rPr>
      </w:pPr>
      <w:r w:rsidRPr="00AA4677">
        <w:rPr>
          <w:rFonts w:eastAsia="Times New Roman" w:cstheme="minorHAnsi"/>
          <w:szCs w:val="24"/>
        </w:rPr>
        <w:t>General Data Protection Regulations do not apply when the collection of data does not include information that is linked to a subject’s identity such as an anonymous survey in which the identity of the subject cannot be traced to the individual.</w:t>
      </w:r>
    </w:p>
    <w:p w14:paraId="4B7C60EB" w14:textId="77777777" w:rsidR="00F2655A" w:rsidRPr="00AA4677" w:rsidRDefault="00F2655A" w:rsidP="00F2655A">
      <w:pPr>
        <w:shd w:val="clear" w:color="auto" w:fill="FFFFFF"/>
        <w:spacing w:after="0" w:line="240" w:lineRule="auto"/>
        <w:rPr>
          <w:rFonts w:eastAsia="Times New Roman" w:cstheme="minorHAnsi"/>
          <w:szCs w:val="24"/>
        </w:rPr>
      </w:pPr>
    </w:p>
    <w:p w14:paraId="7D9EF5DA" w14:textId="118E25DD" w:rsidR="00F2655A" w:rsidRPr="00AA4677" w:rsidRDefault="00F2655A" w:rsidP="00F2655A">
      <w:pPr>
        <w:shd w:val="clear" w:color="auto" w:fill="FFFFFF"/>
        <w:spacing w:after="0" w:line="240" w:lineRule="auto"/>
        <w:rPr>
          <w:rFonts w:eastAsia="Times New Roman" w:cstheme="minorHAnsi"/>
          <w:szCs w:val="24"/>
        </w:rPr>
      </w:pPr>
      <w:r w:rsidRPr="00AA4677">
        <w:rPr>
          <w:rFonts w:eastAsia="Times New Roman" w:cstheme="minorHAnsi"/>
          <w:szCs w:val="24"/>
        </w:rPr>
        <w:t xml:space="preserve">Another key point of GDPR is whether the data is anonymized (i.e., impossible to connect back to a single person). Fully anonymized data is not subject to GDPR. </w:t>
      </w:r>
      <w:r w:rsidRPr="00AA4677">
        <w:t xml:space="preserve">Coded research data </w:t>
      </w:r>
      <w:proofErr w:type="gramStart"/>
      <w:r w:rsidRPr="00AA4677">
        <w:t>is considered to be</w:t>
      </w:r>
      <w:proofErr w:type="gramEnd"/>
      <w:r w:rsidRPr="00AA4677">
        <w:t xml:space="preserve"> “Pseudonymized Data” and therefore Personal Data under the GDPR because the data can be attributed to a person </w:t>
      </w:r>
      <w:proofErr w:type="gramStart"/>
      <w:r w:rsidRPr="00AA4677">
        <w:t>by the use of</w:t>
      </w:r>
      <w:proofErr w:type="gramEnd"/>
      <w:r w:rsidRPr="00AA4677">
        <w:t xml:space="preserve"> additional information such as a key to the code. If the researcher maintains the key (or a third party maintains the key for the researcher), such data will generally not be treated as anonymized Personal Data under GDPR. Full anonymization of Personal Data requires not only the removal of all identifiers from the data set, but also the destruction of any keys to the code. </w:t>
      </w:r>
      <w:r w:rsidRPr="00AA4677">
        <w:rPr>
          <w:rFonts w:eastAsia="Times New Roman" w:cstheme="minorHAnsi"/>
          <w:szCs w:val="24"/>
        </w:rPr>
        <w:t>Pseudoanonymized data is data that may be able to be connected back to identifiable information.  Additionally, the GDPR appl</w:t>
      </w:r>
      <w:r w:rsidR="008E0AA0" w:rsidRPr="00AA4677">
        <w:rPr>
          <w:rFonts w:eastAsia="Times New Roman" w:cstheme="minorHAnsi"/>
          <w:szCs w:val="24"/>
        </w:rPr>
        <w:t>ie</w:t>
      </w:r>
      <w:r w:rsidRPr="00AA4677">
        <w:rPr>
          <w:rFonts w:eastAsia="Times New Roman" w:cstheme="minorHAnsi"/>
          <w:szCs w:val="24"/>
        </w:rPr>
        <w:t xml:space="preserve">s when the university conducts research in the US in which subject data is transmitted to a sponsor, </w:t>
      </w:r>
      <w:r w:rsidR="008E0AA0" w:rsidRPr="00AA4677">
        <w:rPr>
          <w:rFonts w:eastAsia="Times New Roman" w:cstheme="minorHAnsi"/>
          <w:szCs w:val="24"/>
        </w:rPr>
        <w:t>server</w:t>
      </w:r>
      <w:r w:rsidRPr="00AA4677">
        <w:rPr>
          <w:rFonts w:eastAsia="Times New Roman" w:cstheme="minorHAnsi"/>
          <w:szCs w:val="24"/>
        </w:rPr>
        <w:t>, or data core facilities in the EU.</w:t>
      </w:r>
    </w:p>
    <w:p w14:paraId="5A3CD119" w14:textId="4AA955FF" w:rsidR="00B72AC3" w:rsidRPr="00AA4677" w:rsidRDefault="00B72AC3" w:rsidP="00C57C98">
      <w:pPr>
        <w:pStyle w:val="Heading3"/>
      </w:pPr>
      <w:bookmarkStart w:id="364" w:name="_Toc522017827"/>
      <w:bookmarkStart w:id="365" w:name="_Toc528074558"/>
      <w:r w:rsidRPr="00AA4677">
        <w:t>Genetic Information Nondiscrimination Act (GINA)</w:t>
      </w:r>
      <w:bookmarkEnd w:id="364"/>
      <w:bookmarkEnd w:id="365"/>
    </w:p>
    <w:p w14:paraId="6A2E8EAF" w14:textId="77777777" w:rsidR="00B72AC3" w:rsidRPr="00AA4677" w:rsidRDefault="00B72AC3" w:rsidP="00B72AC3">
      <w:pPr>
        <w:spacing w:before="100" w:beforeAutospacing="1" w:after="100" w:afterAutospacing="1"/>
        <w:rPr>
          <w:rFonts w:cs="Calibri"/>
        </w:rPr>
      </w:pPr>
      <w:hyperlink r:id="rId147" w:history="1">
        <w:r w:rsidRPr="00AA4677">
          <w:rPr>
            <w:rStyle w:val="Hyperlink"/>
            <w:rFonts w:eastAsia="Calibri" w:cs="Calibri"/>
            <w:color w:val="auto"/>
            <w:u w:val="none"/>
          </w:rPr>
          <w:t>GINA</w:t>
        </w:r>
      </w:hyperlink>
      <w:r w:rsidRPr="00AA4677">
        <w:rPr>
          <w:rFonts w:eastAsia="Calibri" w:cs="Calibri"/>
        </w:rPr>
        <w:t xml:space="preserve"> generally makes it illegal for health insurance companies, group health plans, and most employers to discriminate against individuals based on their genetic information.  This law protects individuals, including research subjects, in the following ways:</w:t>
      </w:r>
    </w:p>
    <w:p w14:paraId="1724D147" w14:textId="77777777" w:rsidR="00B72AC3" w:rsidRPr="00AA4677" w:rsidRDefault="00B72AC3">
      <w:pPr>
        <w:pStyle w:val="ListParagraph"/>
        <w:numPr>
          <w:ilvl w:val="0"/>
          <w:numId w:val="190"/>
        </w:numPr>
        <w:spacing w:before="100" w:beforeAutospacing="1" w:after="100" w:afterAutospacing="1" w:line="240" w:lineRule="auto"/>
        <w:ind w:left="360"/>
        <w:rPr>
          <w:rFonts w:eastAsia="Calibri" w:cs="Calibri"/>
        </w:rPr>
      </w:pPr>
      <w:r w:rsidRPr="00AA4677">
        <w:rPr>
          <w:rFonts w:eastAsia="Calibri" w:cs="Calibri"/>
        </w:rPr>
        <w:t xml:space="preserve">Health insurance companies and health plans are generally prohibited from requesting or requiring genetic information of an individual or their family members, including genetic information generated from </w:t>
      </w:r>
      <w:proofErr w:type="gramStart"/>
      <w:r w:rsidRPr="00AA4677">
        <w:rPr>
          <w:rFonts w:eastAsia="Calibri" w:cs="Calibri"/>
        </w:rPr>
        <w:t>research;</w:t>
      </w:r>
      <w:proofErr w:type="gramEnd"/>
    </w:p>
    <w:p w14:paraId="7A7D5460" w14:textId="77777777" w:rsidR="00B72AC3" w:rsidRPr="00AA4677" w:rsidRDefault="00B72AC3">
      <w:pPr>
        <w:pStyle w:val="ListParagraph"/>
        <w:numPr>
          <w:ilvl w:val="0"/>
          <w:numId w:val="190"/>
        </w:numPr>
        <w:spacing w:before="100" w:beforeAutospacing="1" w:after="100" w:afterAutospacing="1" w:line="240" w:lineRule="auto"/>
        <w:ind w:left="360"/>
        <w:rPr>
          <w:rFonts w:eastAsia="Calibri" w:cs="Calibri"/>
        </w:rPr>
      </w:pPr>
      <w:r w:rsidRPr="00AA4677">
        <w:rPr>
          <w:rFonts w:eastAsia="Calibri" w:cs="Calibri"/>
        </w:rPr>
        <w:t xml:space="preserve">If health insurance companies and health plans do receive such genetic information, they may not use it to make decisions regarding coverage, rates, or preexisting conditions; and </w:t>
      </w:r>
    </w:p>
    <w:p w14:paraId="351AE0EF" w14:textId="77777777" w:rsidR="00B72AC3" w:rsidRPr="00AA4677" w:rsidRDefault="00B72AC3">
      <w:pPr>
        <w:pStyle w:val="ListParagraph"/>
        <w:numPr>
          <w:ilvl w:val="0"/>
          <w:numId w:val="190"/>
        </w:numPr>
        <w:spacing w:after="120" w:line="240" w:lineRule="auto"/>
        <w:ind w:left="360"/>
        <w:rPr>
          <w:rFonts w:eastAsia="Calibri" w:cs="Calibri"/>
        </w:rPr>
      </w:pPr>
      <w:r w:rsidRPr="00AA4677">
        <w:rPr>
          <w:rFonts w:eastAsia="Calibri" w:cs="Calibri"/>
        </w:rPr>
        <w:t>Employers with 15 or more employees generally may not use genetic information for hiring, firing, promotion, or other decisions regarding terms of employment.</w:t>
      </w:r>
    </w:p>
    <w:p w14:paraId="6334069E" w14:textId="77777777" w:rsidR="00B72AC3" w:rsidRPr="00AA4677" w:rsidRDefault="00B72AC3" w:rsidP="00B72AC3">
      <w:pPr>
        <w:rPr>
          <w:rFonts w:eastAsia="Calibri" w:cstheme="minorHAnsi"/>
          <w:lang w:val="en"/>
        </w:rPr>
      </w:pPr>
      <w:r w:rsidRPr="00AA4677">
        <w:rPr>
          <w:rFonts w:eastAsia="Calibri" w:cstheme="minorHAnsi"/>
        </w:rPr>
        <w:t>GINA’s protections do not extend to life insurance, disability insurance, or long-term care insurance.</w:t>
      </w:r>
    </w:p>
    <w:p w14:paraId="5DEEB469" w14:textId="77777777" w:rsidR="00B72AC3" w:rsidRPr="00AA4677" w:rsidRDefault="00B72AC3" w:rsidP="00B72AC3">
      <w:pPr>
        <w:pStyle w:val="BodyText"/>
        <w:rPr>
          <w:rFonts w:asciiTheme="minorHAnsi" w:hAnsiTheme="minorHAnsi" w:cstheme="minorHAnsi"/>
        </w:rPr>
      </w:pPr>
      <w:r w:rsidRPr="00AA4677">
        <w:rPr>
          <w:rFonts w:asciiTheme="minorHAnsi" w:hAnsiTheme="minorHAnsi" w:cstheme="minorHAnsi"/>
        </w:rPr>
        <w:lastRenderedPageBreak/>
        <w:t>GINA defines genetic information as information about:</w:t>
      </w:r>
    </w:p>
    <w:p w14:paraId="298C1842" w14:textId="77777777" w:rsidR="00B72AC3" w:rsidRPr="00AA4677" w:rsidRDefault="00B72AC3">
      <w:pPr>
        <w:pStyle w:val="ListParagraph"/>
        <w:numPr>
          <w:ilvl w:val="0"/>
          <w:numId w:val="190"/>
        </w:numPr>
        <w:spacing w:after="0" w:line="240" w:lineRule="auto"/>
        <w:ind w:left="360"/>
        <w:contextualSpacing w:val="0"/>
        <w:rPr>
          <w:rFonts w:eastAsia="Calibri" w:cstheme="minorHAnsi"/>
        </w:rPr>
      </w:pPr>
      <w:r w:rsidRPr="00AA4677">
        <w:rPr>
          <w:rFonts w:eastAsia="Calibri" w:cstheme="minorHAnsi"/>
        </w:rPr>
        <w:t xml:space="preserve">An individual’s genetic </w:t>
      </w:r>
      <w:proofErr w:type="gramStart"/>
      <w:r w:rsidRPr="00AA4677">
        <w:rPr>
          <w:rFonts w:eastAsia="Calibri" w:cstheme="minorHAnsi"/>
        </w:rPr>
        <w:t>tests;</w:t>
      </w:r>
      <w:proofErr w:type="gramEnd"/>
    </w:p>
    <w:p w14:paraId="7E8B55F8" w14:textId="77777777" w:rsidR="00B72AC3" w:rsidRPr="00AA4677" w:rsidRDefault="00B72AC3">
      <w:pPr>
        <w:pStyle w:val="ListParagraph"/>
        <w:numPr>
          <w:ilvl w:val="0"/>
          <w:numId w:val="190"/>
        </w:numPr>
        <w:spacing w:before="100" w:beforeAutospacing="1" w:after="100" w:afterAutospacing="1" w:line="240" w:lineRule="auto"/>
        <w:ind w:left="360"/>
        <w:rPr>
          <w:rFonts w:eastAsia="Calibri" w:cstheme="minorHAnsi"/>
        </w:rPr>
      </w:pPr>
      <w:r w:rsidRPr="00AA4677">
        <w:rPr>
          <w:rFonts w:eastAsia="Calibri" w:cstheme="minorHAnsi"/>
        </w:rPr>
        <w:t xml:space="preserve">Genetic tests of an individual’s family </w:t>
      </w:r>
      <w:proofErr w:type="gramStart"/>
      <w:r w:rsidRPr="00AA4677">
        <w:rPr>
          <w:rFonts w:eastAsia="Calibri" w:cstheme="minorHAnsi"/>
        </w:rPr>
        <w:t>members;</w:t>
      </w:r>
      <w:proofErr w:type="gramEnd"/>
    </w:p>
    <w:p w14:paraId="426DFB90" w14:textId="77777777" w:rsidR="00B72AC3" w:rsidRPr="00AA4677" w:rsidRDefault="00B72AC3">
      <w:pPr>
        <w:pStyle w:val="ListParagraph"/>
        <w:numPr>
          <w:ilvl w:val="0"/>
          <w:numId w:val="190"/>
        </w:numPr>
        <w:spacing w:before="100" w:beforeAutospacing="1" w:after="100" w:afterAutospacing="1" w:line="240" w:lineRule="auto"/>
        <w:ind w:left="360"/>
        <w:rPr>
          <w:rFonts w:eastAsia="Calibri" w:cstheme="minorHAnsi"/>
        </w:rPr>
      </w:pPr>
      <w:r w:rsidRPr="00AA4677">
        <w:rPr>
          <w:rFonts w:eastAsia="Calibri" w:cstheme="minorHAnsi"/>
        </w:rPr>
        <w:t xml:space="preserve">Genetic tests of any fetus of an individual or family member who is a pregnant woman, and genetic tests of any embryo legally held by an individual or family member utilizing assisted reproductive </w:t>
      </w:r>
      <w:proofErr w:type="gramStart"/>
      <w:r w:rsidRPr="00AA4677">
        <w:rPr>
          <w:rFonts w:eastAsia="Calibri" w:cstheme="minorHAnsi"/>
        </w:rPr>
        <w:t>technology;</w:t>
      </w:r>
      <w:proofErr w:type="gramEnd"/>
    </w:p>
    <w:p w14:paraId="10588F85" w14:textId="77777777" w:rsidR="00B72AC3" w:rsidRPr="00AA4677" w:rsidRDefault="00B72AC3">
      <w:pPr>
        <w:pStyle w:val="ListParagraph"/>
        <w:numPr>
          <w:ilvl w:val="0"/>
          <w:numId w:val="190"/>
        </w:numPr>
        <w:spacing w:before="100" w:beforeAutospacing="1" w:after="100" w:afterAutospacing="1" w:line="240" w:lineRule="auto"/>
        <w:ind w:left="360"/>
        <w:rPr>
          <w:rFonts w:eastAsia="Calibri" w:cstheme="minorHAnsi"/>
        </w:rPr>
      </w:pPr>
      <w:r w:rsidRPr="00AA4677">
        <w:rPr>
          <w:rFonts w:eastAsia="Calibri" w:cstheme="minorHAnsi"/>
        </w:rPr>
        <w:t>The manifestation of a disease or disorder in an individual's family members (family history); or</w:t>
      </w:r>
    </w:p>
    <w:p w14:paraId="30868A61" w14:textId="77777777" w:rsidR="00B72AC3" w:rsidRPr="00AA4677" w:rsidRDefault="00B72AC3">
      <w:pPr>
        <w:pStyle w:val="ListParagraph"/>
        <w:numPr>
          <w:ilvl w:val="0"/>
          <w:numId w:val="190"/>
        </w:numPr>
        <w:spacing w:after="120" w:line="240" w:lineRule="auto"/>
        <w:ind w:left="360"/>
        <w:contextualSpacing w:val="0"/>
        <w:rPr>
          <w:rFonts w:eastAsia="Calibri" w:cstheme="minorHAnsi"/>
        </w:rPr>
      </w:pPr>
      <w:r w:rsidRPr="00AA4677">
        <w:rPr>
          <w:rFonts w:eastAsia="Calibri" w:cstheme="minorHAnsi"/>
        </w:rPr>
        <w:t>Any request for, or receipt of, genetic services or participation in clinical research that includes genetic services (genetic testing, counseling, or education) by an individual or an individual's family members.</w:t>
      </w:r>
    </w:p>
    <w:p w14:paraId="09F1E3D5" w14:textId="40598305" w:rsidR="00B72AC3" w:rsidRPr="00AA4677" w:rsidRDefault="00B72AC3" w:rsidP="002853E1">
      <w:pPr>
        <w:pStyle w:val="BodyText"/>
      </w:pPr>
      <w:r w:rsidRPr="00AA4677">
        <w:rPr>
          <w:rFonts w:asciiTheme="minorHAnsi" w:hAnsiTheme="minorHAnsi" w:cstheme="minorHAnsi"/>
        </w:rPr>
        <w:t xml:space="preserve">GINA includes a “research exception” that allows health insurers and health plans who are engaged in research to request, but not require, that an individual undergo a genetic test so long as certain requirements are satisfied.  Additional information on GINA and this exception are available on this </w:t>
      </w:r>
      <w:hyperlink r:id="rId148" w:history="1">
        <w:r w:rsidRPr="00AA4677">
          <w:rPr>
            <w:rStyle w:val="Hyperlink"/>
            <w:rFonts w:asciiTheme="minorHAnsi" w:hAnsiTheme="minorHAnsi" w:cstheme="minorHAnsi"/>
            <w:color w:val="auto"/>
            <w:u w:val="none"/>
          </w:rPr>
          <w:t>OHRP website</w:t>
        </w:r>
      </w:hyperlink>
      <w:r w:rsidRPr="00AA4677">
        <w:rPr>
          <w:rFonts w:asciiTheme="minorHAnsi" w:hAnsiTheme="minorHAnsi" w:cstheme="minorHAnsi"/>
        </w:rPr>
        <w:t>.</w:t>
      </w:r>
    </w:p>
    <w:p w14:paraId="4E15A7C7" w14:textId="450440B1" w:rsidR="003F0AD6" w:rsidRPr="00AA4677" w:rsidRDefault="00B72AC3" w:rsidP="00F2655A">
      <w:pPr>
        <w:rPr>
          <w:rFonts w:cstheme="minorHAnsi"/>
          <w:szCs w:val="24"/>
        </w:rPr>
      </w:pPr>
      <w:r w:rsidRPr="00AA4677">
        <w:rPr>
          <w:rFonts w:cstheme="minorHAnsi"/>
        </w:rPr>
        <w:t>The Stony Brook University IRB will consider the protections and limitations of GINA when it assesses the risks of research generating or using genetic information and the adequacy of the measures to protect privacy and maintain confidentiality.  Generally, the IRB will also require that the protections and limitations of GINA are disclosed in the consent process when</w:t>
      </w:r>
      <w:r w:rsidRPr="00AA4677">
        <w:t xml:space="preserve"> applicable.  </w:t>
      </w:r>
    </w:p>
    <w:p w14:paraId="7F0F2A99" w14:textId="421CDC50" w:rsidR="00B72AC3" w:rsidRPr="00AA4677" w:rsidRDefault="00B72AC3" w:rsidP="000117C5">
      <w:r w:rsidRPr="00AA4677">
        <w:t>Genomic Data Sharing (GDS)</w:t>
      </w:r>
    </w:p>
    <w:p w14:paraId="03E222E7" w14:textId="5B64E9B4" w:rsidR="00B72AC3" w:rsidRPr="00AA4677" w:rsidRDefault="00B72AC3" w:rsidP="00B72AC3">
      <w:pPr>
        <w:pStyle w:val="BodyText"/>
        <w:rPr>
          <w:rFonts w:cs="Calibri"/>
          <w:i/>
        </w:rPr>
      </w:pPr>
      <w:r w:rsidRPr="00AA4677">
        <w:rPr>
          <w:rFonts w:cs="Calibri"/>
          <w:i/>
        </w:rPr>
        <w:t xml:space="preserve">(The information in this section is largely derived from NIH policy and materials.  While the processes (e.g., for IRB submissions/review) should </w:t>
      </w:r>
      <w:r w:rsidR="003F0AD6" w:rsidRPr="00AA4677">
        <w:rPr>
          <w:rFonts w:cs="Calibri"/>
          <w:i/>
        </w:rPr>
        <w:t>b</w:t>
      </w:r>
      <w:r w:rsidR="00F2655A" w:rsidRPr="00AA4677">
        <w:rPr>
          <w:rFonts w:cs="Calibri"/>
          <w:i/>
        </w:rPr>
        <w:t xml:space="preserve">e </w:t>
      </w:r>
      <w:r w:rsidRPr="00AA4677">
        <w:rPr>
          <w:rFonts w:cs="Calibri"/>
          <w:i/>
        </w:rPr>
        <w:t xml:space="preserve">modified to reflect organizational practice, other substantive changes should be verified against the information on NIH’s websites.  NIH has purposely set a higher standard than is required by regulation: </w:t>
      </w:r>
      <w:r w:rsidRPr="00AA4677">
        <w:rPr>
          <w:rFonts w:cs="Calibri"/>
          <w:i/>
          <w:shd w:val="clear" w:color="auto" w:fill="FFFFFF"/>
        </w:rPr>
        <w:t>"…the NIH GDS Policy requires that informed consent be obtained for the future research use and broad data sharing of de-identified data from biospecimens created or collected after January 25, 2015 (the effective date of the GDS Policy). While the Common Rule does not require informed consent for research with de-identified biospecimens or cell lines, the GDS Policy establishes expectations and protections beyond those of both the current, and the </w:t>
      </w:r>
      <w:r w:rsidRPr="00AA4677">
        <w:rPr>
          <w:i/>
        </w:rPr>
        <w:t xml:space="preserve">revised Common Rule </w:t>
      </w:r>
      <w:r w:rsidRPr="00AA4677">
        <w:t>…</w:t>
      </w:r>
      <w:r w:rsidRPr="00AA4677">
        <w:rPr>
          <w:rFonts w:cs="Calibri"/>
          <w:i/>
          <w:shd w:val="clear" w:color="auto" w:fill="FFFFFF"/>
        </w:rPr>
        <w:t xml:space="preserve"> because the evolution of genomic technology and analytical methods may raise the risk of potential re-identification."</w:t>
      </w:r>
      <w:r w:rsidRPr="00AA4677">
        <w:rPr>
          <w:rFonts w:cs="Calibri"/>
          <w:i/>
        </w:rPr>
        <w:t>)</w:t>
      </w:r>
    </w:p>
    <w:p w14:paraId="176288C4" w14:textId="77777777" w:rsidR="00B72AC3" w:rsidRPr="00AA4677" w:rsidRDefault="00B72AC3" w:rsidP="00B72AC3">
      <w:pPr>
        <w:pStyle w:val="BodyText"/>
      </w:pPr>
    </w:p>
    <w:p w14:paraId="15619A03" w14:textId="744B8F30" w:rsidR="00B72AC3" w:rsidRPr="00AA4677" w:rsidRDefault="00B72AC3" w:rsidP="00B72AC3">
      <w:pPr>
        <w:rPr>
          <w:rFonts w:cs="Calibri"/>
          <w:b/>
          <w:shd w:val="clear" w:color="auto" w:fill="FFFFFF"/>
        </w:rPr>
      </w:pPr>
      <w:r w:rsidRPr="00AA4677">
        <w:t xml:space="preserve">Stony Brook University </w:t>
      </w:r>
      <w:r w:rsidRPr="00AA4677">
        <w:rPr>
          <w:rFonts w:cs="Calibri"/>
          <w:shd w:val="clear" w:color="auto" w:fill="FFFFFF"/>
        </w:rPr>
        <w:t xml:space="preserve">complies with the </w:t>
      </w:r>
      <w:hyperlink r:id="rId149" w:history="1">
        <w:r w:rsidRPr="00AA4677">
          <w:rPr>
            <w:rStyle w:val="Hyperlink"/>
            <w:rFonts w:cs="Calibri"/>
            <w:color w:val="auto"/>
            <w:u w:val="none"/>
            <w:shd w:val="clear" w:color="auto" w:fill="FFFFFF"/>
          </w:rPr>
          <w:t>NIH GDS Policy</w:t>
        </w:r>
      </w:hyperlink>
      <w:r w:rsidRPr="00AA4677">
        <w:rPr>
          <w:rFonts w:cs="Calibri"/>
          <w:shd w:val="clear" w:color="auto" w:fill="FFFFFF"/>
        </w:rPr>
        <w:t xml:space="preserve">, which allows for “broad and responsible sharing of genomic research data”, via submission of said data into an NIH-designated data repository. The intent of NIH’s policy is to speed discoveries to diagnose, treat, and prevent disease. </w:t>
      </w:r>
      <w:r w:rsidRPr="00AA4677">
        <w:rPr>
          <w:rFonts w:cs="Calibri"/>
          <w:b/>
          <w:shd w:val="clear" w:color="auto" w:fill="FFFFFF"/>
        </w:rPr>
        <w:t xml:space="preserve">To ensure consistency in the protection of human subjects, </w:t>
      </w:r>
      <w:r w:rsidR="003A597D" w:rsidRPr="00AA4677">
        <w:rPr>
          <w:b/>
        </w:rPr>
        <w:t>Stony Brook University</w:t>
      </w:r>
      <w:r w:rsidRPr="00AA4677">
        <w:rPr>
          <w:b/>
        </w:rPr>
        <w:t xml:space="preserve"> applies the NIH principles for informed consent and for a genomic data sharing plan to all research that involves or contemplates genomic data sharing.</w:t>
      </w:r>
    </w:p>
    <w:p w14:paraId="5C5E315E" w14:textId="77777777" w:rsidR="00B72AC3" w:rsidRPr="00AA4677" w:rsidRDefault="00B72AC3" w:rsidP="00B72AC3">
      <w:pPr>
        <w:rPr>
          <w:rFonts w:cs="Calibri"/>
          <w:shd w:val="clear" w:color="auto" w:fill="FFFFFF"/>
        </w:rPr>
      </w:pPr>
      <w:r w:rsidRPr="00AA4677">
        <w:rPr>
          <w:rFonts w:cs="Calibri"/>
          <w:shd w:val="clear" w:color="auto" w:fill="FFFFFF"/>
        </w:rPr>
        <w:lastRenderedPageBreak/>
        <w:t xml:space="preserve">The NIH policy applies to grant activities requesting support from NIH for research involving the generation of large-scale human (and/or non-human) genomic data, regardless of funding level, such as: </w:t>
      </w:r>
    </w:p>
    <w:p w14:paraId="2498B98B" w14:textId="77777777" w:rsidR="00B72AC3" w:rsidRPr="00AA4677" w:rsidRDefault="00B72AC3">
      <w:pPr>
        <w:pStyle w:val="ListParagraph"/>
        <w:numPr>
          <w:ilvl w:val="0"/>
          <w:numId w:val="184"/>
        </w:numPr>
        <w:ind w:left="360"/>
        <w:rPr>
          <w:rFonts w:cs="Calibri"/>
          <w:shd w:val="clear" w:color="auto" w:fill="FFFFFF"/>
        </w:rPr>
      </w:pPr>
      <w:r w:rsidRPr="00AA4677">
        <w:rPr>
          <w:rFonts w:cs="Calibri"/>
          <w:shd w:val="clear" w:color="auto" w:fill="FFFFFF"/>
        </w:rPr>
        <w:t>Research project grants (Rs</w:t>
      </w:r>
      <w:proofErr w:type="gramStart"/>
      <w:r w:rsidRPr="00AA4677">
        <w:rPr>
          <w:rFonts w:cs="Calibri"/>
          <w:shd w:val="clear" w:color="auto" w:fill="FFFFFF"/>
        </w:rPr>
        <w:t>);</w:t>
      </w:r>
      <w:proofErr w:type="gramEnd"/>
    </w:p>
    <w:p w14:paraId="1212CD89" w14:textId="77777777" w:rsidR="00B72AC3" w:rsidRPr="00AA4677" w:rsidRDefault="00B72AC3">
      <w:pPr>
        <w:pStyle w:val="ListParagraph"/>
        <w:numPr>
          <w:ilvl w:val="0"/>
          <w:numId w:val="184"/>
        </w:numPr>
        <w:ind w:left="360"/>
        <w:rPr>
          <w:rFonts w:cs="Calibri"/>
          <w:shd w:val="clear" w:color="auto" w:fill="FFFFFF"/>
        </w:rPr>
      </w:pPr>
      <w:r w:rsidRPr="00AA4677">
        <w:rPr>
          <w:rFonts w:cs="Calibri"/>
          <w:shd w:val="clear" w:color="auto" w:fill="FFFFFF"/>
        </w:rPr>
        <w:t>Program projects (Ps) and SCORs (Ss</w:t>
      </w:r>
      <w:proofErr w:type="gramStart"/>
      <w:r w:rsidRPr="00AA4677">
        <w:rPr>
          <w:rFonts w:cs="Calibri"/>
          <w:shd w:val="clear" w:color="auto" w:fill="FFFFFF"/>
        </w:rPr>
        <w:t>);</w:t>
      </w:r>
      <w:proofErr w:type="gramEnd"/>
    </w:p>
    <w:p w14:paraId="7663B18B" w14:textId="77777777" w:rsidR="00B72AC3" w:rsidRPr="00AA4677" w:rsidRDefault="00B72AC3">
      <w:pPr>
        <w:pStyle w:val="ListParagraph"/>
        <w:numPr>
          <w:ilvl w:val="0"/>
          <w:numId w:val="184"/>
        </w:numPr>
        <w:ind w:left="360"/>
        <w:rPr>
          <w:rFonts w:cs="Calibri"/>
          <w:shd w:val="clear" w:color="auto" w:fill="FFFFFF"/>
        </w:rPr>
      </w:pPr>
      <w:r w:rsidRPr="00AA4677">
        <w:rPr>
          <w:rFonts w:cs="Calibri"/>
          <w:shd w:val="clear" w:color="auto" w:fill="FFFFFF"/>
        </w:rPr>
        <w:t>Cooperative agreements for research (Us</w:t>
      </w:r>
      <w:proofErr w:type="gramStart"/>
      <w:r w:rsidRPr="00AA4677">
        <w:rPr>
          <w:rFonts w:cs="Calibri"/>
          <w:shd w:val="clear" w:color="auto" w:fill="FFFFFF"/>
        </w:rPr>
        <w:t>);</w:t>
      </w:r>
      <w:proofErr w:type="gramEnd"/>
    </w:p>
    <w:p w14:paraId="699F2B36" w14:textId="77777777" w:rsidR="00B72AC3" w:rsidRPr="00AA4677" w:rsidRDefault="00B72AC3">
      <w:pPr>
        <w:pStyle w:val="ListParagraph"/>
        <w:numPr>
          <w:ilvl w:val="0"/>
          <w:numId w:val="184"/>
        </w:numPr>
        <w:ind w:left="360"/>
        <w:rPr>
          <w:rFonts w:cs="Calibri"/>
          <w:shd w:val="clear" w:color="auto" w:fill="FFFFFF"/>
        </w:rPr>
      </w:pPr>
      <w:r w:rsidRPr="00AA4677">
        <w:rPr>
          <w:rFonts w:cs="Calibri"/>
          <w:shd w:val="clear" w:color="auto" w:fill="FFFFFF"/>
        </w:rPr>
        <w:t xml:space="preserve">Individual career development awards (Ks) that include </w:t>
      </w:r>
      <w:proofErr w:type="gramStart"/>
      <w:r w:rsidRPr="00AA4677">
        <w:rPr>
          <w:rFonts w:cs="Calibri"/>
          <w:shd w:val="clear" w:color="auto" w:fill="FFFFFF"/>
        </w:rPr>
        <w:t>a research</w:t>
      </w:r>
      <w:proofErr w:type="gramEnd"/>
      <w:r w:rsidRPr="00AA4677">
        <w:rPr>
          <w:rFonts w:cs="Calibri"/>
          <w:shd w:val="clear" w:color="auto" w:fill="FFFFFF"/>
        </w:rPr>
        <w:t xml:space="preserve"> </w:t>
      </w:r>
      <w:proofErr w:type="gramStart"/>
      <w:r w:rsidRPr="00AA4677">
        <w:rPr>
          <w:rFonts w:cs="Calibri"/>
          <w:shd w:val="clear" w:color="auto" w:fill="FFFFFF"/>
        </w:rPr>
        <w:t>component;</w:t>
      </w:r>
      <w:proofErr w:type="gramEnd"/>
    </w:p>
    <w:p w14:paraId="1A49B16D" w14:textId="0FBEE21E" w:rsidR="00B72AC3" w:rsidRPr="00AA4677" w:rsidRDefault="00B72AC3">
      <w:pPr>
        <w:pStyle w:val="ListParagraph"/>
        <w:numPr>
          <w:ilvl w:val="0"/>
          <w:numId w:val="184"/>
        </w:numPr>
        <w:ind w:left="360"/>
        <w:rPr>
          <w:rFonts w:cs="Calibri"/>
          <w:shd w:val="clear" w:color="auto" w:fill="FFFFFF"/>
        </w:rPr>
      </w:pPr>
      <w:r w:rsidRPr="00AA4677">
        <w:rPr>
          <w:rFonts w:cs="Calibri"/>
          <w:shd w:val="clear" w:color="auto" w:fill="FFFFFF"/>
        </w:rPr>
        <w:t>“S” activities that include a research component; and</w:t>
      </w:r>
    </w:p>
    <w:p w14:paraId="18287146" w14:textId="77777777" w:rsidR="00B72AC3" w:rsidRPr="00AA4677" w:rsidRDefault="00B72AC3">
      <w:pPr>
        <w:pStyle w:val="ListParagraph"/>
        <w:numPr>
          <w:ilvl w:val="0"/>
          <w:numId w:val="184"/>
        </w:numPr>
        <w:ind w:left="360"/>
        <w:rPr>
          <w:rFonts w:cs="Calibri"/>
          <w:shd w:val="clear" w:color="auto" w:fill="FFFFFF"/>
        </w:rPr>
      </w:pPr>
      <w:r w:rsidRPr="00AA4677">
        <w:rPr>
          <w:rFonts w:cs="Calibri"/>
          <w:shd w:val="clear" w:color="auto" w:fill="FFFFFF"/>
        </w:rPr>
        <w:t xml:space="preserve">All other activities that include a research component. </w:t>
      </w:r>
    </w:p>
    <w:p w14:paraId="628E59A1" w14:textId="77777777" w:rsidR="00B72AC3" w:rsidRPr="00AA4677" w:rsidRDefault="00B72AC3" w:rsidP="00B72AC3">
      <w:pPr>
        <w:rPr>
          <w:rFonts w:cs="Calibri"/>
          <w:shd w:val="clear" w:color="auto" w:fill="FFFFFF"/>
        </w:rPr>
      </w:pPr>
      <w:r w:rsidRPr="00AA4677">
        <w:rPr>
          <w:rFonts w:cs="Calibri"/>
          <w:shd w:val="clear" w:color="auto" w:fill="FFFFFF"/>
        </w:rPr>
        <w:t>Also covered under this policy is research involving data derived from these activities for subsequent research. All basic and clinical research, including clinical trials, supported by NIH that involves the generation or use of large-scale genomic data fall within the scope of the policy.</w:t>
      </w:r>
    </w:p>
    <w:p w14:paraId="0A114F1B" w14:textId="77777777" w:rsidR="00B72AC3" w:rsidRPr="00AA4677" w:rsidRDefault="00B72AC3" w:rsidP="00B72AC3">
      <w:pPr>
        <w:rPr>
          <w:rFonts w:cs="Calibri"/>
          <w:shd w:val="clear" w:color="auto" w:fill="FFFFFF"/>
        </w:rPr>
      </w:pPr>
      <w:r w:rsidRPr="00AA4677">
        <w:rPr>
          <w:rFonts w:cs="Calibri"/>
          <w:shd w:val="clear" w:color="auto" w:fill="FFFFFF"/>
        </w:rPr>
        <w:t>The policy does not apply to:</w:t>
      </w:r>
    </w:p>
    <w:p w14:paraId="55147B93" w14:textId="77777777" w:rsidR="00B72AC3" w:rsidRPr="00AA4677" w:rsidRDefault="00B72AC3">
      <w:pPr>
        <w:pStyle w:val="ListParagraph"/>
        <w:numPr>
          <w:ilvl w:val="0"/>
          <w:numId w:val="185"/>
        </w:numPr>
        <w:ind w:left="360"/>
        <w:rPr>
          <w:rFonts w:cs="Calibri"/>
          <w:shd w:val="clear" w:color="auto" w:fill="FFFFFF"/>
        </w:rPr>
      </w:pPr>
      <w:r w:rsidRPr="00AA4677">
        <w:rPr>
          <w:rFonts w:cs="Calibri"/>
          <w:shd w:val="clear" w:color="auto" w:fill="FFFFFF"/>
        </w:rPr>
        <w:t>Institutional training grants (T32s, T34s, T35s, and TL2s</w:t>
      </w:r>
      <w:proofErr w:type="gramStart"/>
      <w:r w:rsidRPr="00AA4677">
        <w:rPr>
          <w:rFonts w:cs="Calibri"/>
          <w:shd w:val="clear" w:color="auto" w:fill="FFFFFF"/>
        </w:rPr>
        <w:t>);</w:t>
      </w:r>
      <w:proofErr w:type="gramEnd"/>
    </w:p>
    <w:p w14:paraId="0DD59C29" w14:textId="77777777" w:rsidR="00B72AC3" w:rsidRPr="00AA4677" w:rsidRDefault="00B72AC3">
      <w:pPr>
        <w:pStyle w:val="ListParagraph"/>
        <w:numPr>
          <w:ilvl w:val="0"/>
          <w:numId w:val="185"/>
        </w:numPr>
        <w:ind w:left="360"/>
        <w:rPr>
          <w:rFonts w:cs="Calibri"/>
          <w:shd w:val="clear" w:color="auto" w:fill="FFFFFF"/>
        </w:rPr>
      </w:pPr>
      <w:r w:rsidRPr="00AA4677">
        <w:rPr>
          <w:rFonts w:cs="Calibri"/>
          <w:shd w:val="clear" w:color="auto" w:fill="FFFFFF"/>
        </w:rPr>
        <w:t>K12 career development awards (KL2s</w:t>
      </w:r>
      <w:proofErr w:type="gramStart"/>
      <w:r w:rsidRPr="00AA4677">
        <w:rPr>
          <w:rFonts w:cs="Calibri"/>
          <w:shd w:val="clear" w:color="auto" w:fill="FFFFFF"/>
        </w:rPr>
        <w:t>);</w:t>
      </w:r>
      <w:proofErr w:type="gramEnd"/>
    </w:p>
    <w:p w14:paraId="56D477A2" w14:textId="77777777" w:rsidR="00B72AC3" w:rsidRPr="00AA4677" w:rsidRDefault="00B72AC3">
      <w:pPr>
        <w:pStyle w:val="ListParagraph"/>
        <w:numPr>
          <w:ilvl w:val="0"/>
          <w:numId w:val="185"/>
        </w:numPr>
        <w:ind w:left="360"/>
        <w:rPr>
          <w:rFonts w:cs="Calibri"/>
          <w:shd w:val="clear" w:color="auto" w:fill="FFFFFF"/>
        </w:rPr>
      </w:pPr>
      <w:r w:rsidRPr="00AA4677">
        <w:rPr>
          <w:rFonts w:cs="Calibri"/>
          <w:shd w:val="clear" w:color="auto" w:fill="FFFFFF"/>
        </w:rPr>
        <w:t>Individual fellowships (Fs</w:t>
      </w:r>
      <w:proofErr w:type="gramStart"/>
      <w:r w:rsidRPr="00AA4677">
        <w:rPr>
          <w:rFonts w:cs="Calibri"/>
          <w:shd w:val="clear" w:color="auto" w:fill="FFFFFF"/>
        </w:rPr>
        <w:t>);</w:t>
      </w:r>
      <w:proofErr w:type="gramEnd"/>
    </w:p>
    <w:p w14:paraId="2FFE582C" w14:textId="77777777" w:rsidR="00B72AC3" w:rsidRPr="00AA4677" w:rsidRDefault="00B72AC3">
      <w:pPr>
        <w:pStyle w:val="ListParagraph"/>
        <w:numPr>
          <w:ilvl w:val="0"/>
          <w:numId w:val="185"/>
        </w:numPr>
        <w:ind w:left="360"/>
        <w:rPr>
          <w:rFonts w:cs="Calibri"/>
          <w:shd w:val="clear" w:color="auto" w:fill="FFFFFF"/>
        </w:rPr>
      </w:pPr>
      <w:r w:rsidRPr="00AA4677">
        <w:rPr>
          <w:rFonts w:cs="Calibri"/>
          <w:shd w:val="clear" w:color="auto" w:fill="FFFFFF"/>
        </w:rPr>
        <w:t>Resource grants and contracts (Ss</w:t>
      </w:r>
      <w:proofErr w:type="gramStart"/>
      <w:r w:rsidRPr="00AA4677">
        <w:rPr>
          <w:rFonts w:cs="Calibri"/>
          <w:shd w:val="clear" w:color="auto" w:fill="FFFFFF"/>
        </w:rPr>
        <w:t>);</w:t>
      </w:r>
      <w:proofErr w:type="gramEnd"/>
    </w:p>
    <w:p w14:paraId="4B894D0D" w14:textId="77777777" w:rsidR="00B72AC3" w:rsidRPr="00AA4677" w:rsidRDefault="00B72AC3">
      <w:pPr>
        <w:pStyle w:val="ListParagraph"/>
        <w:numPr>
          <w:ilvl w:val="0"/>
          <w:numId w:val="185"/>
        </w:numPr>
        <w:ind w:left="360"/>
        <w:rPr>
          <w:rFonts w:cs="Calibri"/>
          <w:shd w:val="clear" w:color="auto" w:fill="FFFFFF"/>
        </w:rPr>
      </w:pPr>
      <w:r w:rsidRPr="00AA4677">
        <w:rPr>
          <w:rFonts w:cs="Calibri"/>
          <w:shd w:val="clear" w:color="auto" w:fill="FFFFFF"/>
        </w:rPr>
        <w:t>Linked awards derived from previously reviewed applications (KL1, KL2, RL1, RL2, RL5, RL9, TL1, UL1</w:t>
      </w:r>
      <w:proofErr w:type="gramStart"/>
      <w:r w:rsidRPr="00AA4677">
        <w:rPr>
          <w:rFonts w:cs="Calibri"/>
          <w:shd w:val="clear" w:color="auto" w:fill="FFFFFF"/>
        </w:rPr>
        <w:t>);</w:t>
      </w:r>
      <w:proofErr w:type="gramEnd"/>
    </w:p>
    <w:p w14:paraId="6D5DC6FC" w14:textId="77777777" w:rsidR="00B72AC3" w:rsidRPr="00AA4677" w:rsidRDefault="00B72AC3">
      <w:pPr>
        <w:pStyle w:val="ListParagraph"/>
        <w:numPr>
          <w:ilvl w:val="0"/>
          <w:numId w:val="185"/>
        </w:numPr>
        <w:ind w:left="360"/>
        <w:rPr>
          <w:rFonts w:cs="Calibri"/>
          <w:shd w:val="clear" w:color="auto" w:fill="FFFFFF"/>
        </w:rPr>
      </w:pPr>
      <w:r w:rsidRPr="00AA4677">
        <w:rPr>
          <w:rFonts w:cs="Calibri"/>
          <w:shd w:val="clear" w:color="auto" w:fill="FFFFFF"/>
        </w:rPr>
        <w:t xml:space="preserve">Facilities or coordinating centers </w:t>
      </w:r>
      <w:proofErr w:type="gramStart"/>
      <w:r w:rsidRPr="00AA4677">
        <w:rPr>
          <w:rFonts w:cs="Calibri"/>
          <w:shd w:val="clear" w:color="auto" w:fill="FFFFFF"/>
        </w:rPr>
        <w:t>funded</w:t>
      </w:r>
      <w:proofErr w:type="gramEnd"/>
      <w:r w:rsidRPr="00AA4677">
        <w:rPr>
          <w:rFonts w:cs="Calibri"/>
          <w:shd w:val="clear" w:color="auto" w:fill="FFFFFF"/>
        </w:rPr>
        <w:t xml:space="preserve"> through related initiatives to provide genotyping, sequencing, or other core services in support of GDS.</w:t>
      </w:r>
    </w:p>
    <w:p w14:paraId="41A79487" w14:textId="77777777" w:rsidR="00B72AC3" w:rsidRPr="00AA4677" w:rsidRDefault="00B72AC3" w:rsidP="00B72AC3">
      <w:pPr>
        <w:rPr>
          <w:rFonts w:cs="Calibri"/>
          <w:shd w:val="clear" w:color="auto" w:fill="FFFFFF"/>
        </w:rPr>
      </w:pPr>
      <w:r w:rsidRPr="00AA4677">
        <w:rPr>
          <w:rFonts w:cs="Calibri"/>
          <w:shd w:val="clear" w:color="auto" w:fill="FFFFFF"/>
        </w:rPr>
        <w:t xml:space="preserve">Because of the potential for re-identification of genomic data, Certificates of Confidentiality (CoCs) are automatically issued by the NIH for any research it supports, in part or in whole, that involves </w:t>
      </w:r>
      <w:r w:rsidRPr="00AA4677">
        <w:rPr>
          <w:rFonts w:cs="Calibri"/>
          <w:i/>
          <w:shd w:val="clear" w:color="auto" w:fill="FFFFFF"/>
        </w:rPr>
        <w:t xml:space="preserve">“the generation of individual level, human genomic data from biospecimens, or the use of such data, regardless of whether the data is recorded in such a manner that human subjects can be identified or the identity of the human subjects can readily be ascertained as defined in the Federal Policy for the Protection of Human Subjects (45 CFR 46).”  </w:t>
      </w:r>
      <w:r w:rsidRPr="00AA4677">
        <w:rPr>
          <w:rFonts w:cs="Calibri"/>
          <w:shd w:val="clear" w:color="auto" w:fill="FFFFFF"/>
        </w:rPr>
        <w:t xml:space="preserve">Research covered by the </w:t>
      </w:r>
      <w:hyperlink r:id="rId150" w:history="1">
        <w:r w:rsidRPr="00AA4677">
          <w:rPr>
            <w:rStyle w:val="Hyperlink"/>
            <w:rFonts w:cs="Calibri"/>
            <w:color w:val="auto"/>
            <w:u w:val="none"/>
            <w:shd w:val="clear" w:color="auto" w:fill="FFFFFF"/>
          </w:rPr>
          <w:t>NIH policy</w:t>
        </w:r>
      </w:hyperlink>
      <w:r w:rsidRPr="00AA4677">
        <w:rPr>
          <w:rFonts w:cs="Calibri"/>
          <w:shd w:val="clear" w:color="auto" w:fill="FFFFFF"/>
        </w:rPr>
        <w:t xml:space="preserve"> and/or the underlying </w:t>
      </w:r>
      <w:hyperlink r:id="rId151" w:history="1">
        <w:r w:rsidRPr="00AA4677">
          <w:rPr>
            <w:rStyle w:val="Hyperlink"/>
            <w:rFonts w:cs="Calibri"/>
            <w:color w:val="auto"/>
            <w:u w:val="none"/>
            <w:shd w:val="clear" w:color="auto" w:fill="FFFFFF"/>
          </w:rPr>
          <w:t>PHS Act</w:t>
        </w:r>
      </w:hyperlink>
      <w:r w:rsidRPr="00AA4677">
        <w:rPr>
          <w:rFonts w:cs="Calibri"/>
          <w:shd w:val="clear" w:color="auto" w:fill="FFFFFF"/>
        </w:rPr>
        <w:t xml:space="preserve"> is protected by the CoC in perpetuity; as such any downstream recipients of such information must comply with the requirements of the PHS Act.</w:t>
      </w:r>
    </w:p>
    <w:p w14:paraId="54F9D6EF" w14:textId="04C78458" w:rsidR="00B72AC3" w:rsidRPr="00AA4677" w:rsidRDefault="00B72AC3" w:rsidP="00B72AC3">
      <w:pPr>
        <w:rPr>
          <w:rFonts w:cs="Calibri"/>
          <w:shd w:val="clear" w:color="auto" w:fill="FFFFFF"/>
        </w:rPr>
      </w:pPr>
      <w:r w:rsidRPr="00AA4677">
        <w:rPr>
          <w:rFonts w:cs="Calibri"/>
          <w:shd w:val="clear" w:color="auto" w:fill="FFFFFF"/>
        </w:rPr>
        <w:t>Investigators without NIH support who intend to submit genomic data to a NIH repository are encouraged to obtain a CoC. Investigators conducting research generating or using genomic data are encouraged to obtain a CoC when one is not already in place (e.g., for downstream use of data that was collected under a CoC.</w:t>
      </w:r>
    </w:p>
    <w:p w14:paraId="0A95EF2A" w14:textId="77777777" w:rsidR="00B72AC3" w:rsidRPr="00AA4677" w:rsidRDefault="00B72AC3" w:rsidP="00C57C98">
      <w:pPr>
        <w:pStyle w:val="Heading3"/>
        <w:rPr>
          <w:shd w:val="clear" w:color="auto" w:fill="FFFFFF"/>
        </w:rPr>
      </w:pPr>
      <w:bookmarkStart w:id="366" w:name="_Toc522017834"/>
      <w:bookmarkStart w:id="367" w:name="_Toc528074561"/>
      <w:r w:rsidRPr="00AA4677">
        <w:rPr>
          <w:shd w:val="clear" w:color="auto" w:fill="FFFFFF"/>
        </w:rPr>
        <w:lastRenderedPageBreak/>
        <w:t>Definitions</w:t>
      </w:r>
      <w:bookmarkEnd w:id="366"/>
      <w:bookmarkEnd w:id="367"/>
    </w:p>
    <w:p w14:paraId="3504E2BE" w14:textId="77777777" w:rsidR="00B72AC3" w:rsidRPr="00AA4677" w:rsidRDefault="00B72AC3" w:rsidP="00B72AC3">
      <w:pPr>
        <w:rPr>
          <w:rFonts w:cs="Calibri"/>
          <w:shd w:val="clear" w:color="auto" w:fill="FFFFFF"/>
        </w:rPr>
      </w:pPr>
      <w:r w:rsidRPr="00AA4677">
        <w:rPr>
          <w:rFonts w:cs="Calibri"/>
          <w:b/>
          <w:shd w:val="clear" w:color="auto" w:fill="FFFFFF"/>
        </w:rPr>
        <w:t>Genomic data:</w:t>
      </w:r>
      <w:r w:rsidRPr="00AA4677">
        <w:rPr>
          <w:rFonts w:cs="Calibri"/>
          <w:shd w:val="clear" w:color="auto" w:fill="FFFFFF"/>
        </w:rPr>
        <w:t xml:space="preserve"> information derived from study of an organism’s genome,</w:t>
      </w:r>
      <w:r w:rsidRPr="00AA4677">
        <w:rPr>
          <w:rFonts w:cs="Calibri"/>
          <w:b/>
          <w:shd w:val="clear" w:color="auto" w:fill="FFFFFF"/>
        </w:rPr>
        <w:t xml:space="preserve"> </w:t>
      </w:r>
      <w:r w:rsidRPr="00AA4677">
        <w:rPr>
          <w:rFonts w:cs="Calibri"/>
          <w:shd w:val="clear" w:color="auto" w:fill="FFFFFF"/>
        </w:rPr>
        <w:t xml:space="preserve">i.e., the set of </w:t>
      </w:r>
      <w:proofErr w:type="gramStart"/>
      <w:r w:rsidRPr="00AA4677">
        <w:rPr>
          <w:rFonts w:cs="Calibri"/>
          <w:shd w:val="clear" w:color="auto" w:fill="FFFFFF"/>
        </w:rPr>
        <w:t>DNA</w:t>
      </w:r>
      <w:proofErr w:type="gramEnd"/>
      <w:r w:rsidRPr="00AA4677">
        <w:rPr>
          <w:rFonts w:cs="Calibri"/>
          <w:shd w:val="clear" w:color="auto" w:fill="FFFFFF"/>
        </w:rPr>
        <w:t xml:space="preserve"> (including all the genes within) in every cell that provides </w:t>
      </w:r>
      <w:proofErr w:type="gramStart"/>
      <w:r w:rsidRPr="00AA4677">
        <w:rPr>
          <w:rFonts w:cs="Calibri"/>
          <w:shd w:val="clear" w:color="auto" w:fill="FFFFFF"/>
        </w:rPr>
        <w:t>all of</w:t>
      </w:r>
      <w:proofErr w:type="gramEnd"/>
      <w:r w:rsidRPr="00AA4677">
        <w:rPr>
          <w:rFonts w:cs="Calibri"/>
          <w:shd w:val="clear" w:color="auto" w:fill="FFFFFF"/>
        </w:rPr>
        <w:t xml:space="preserve"> the information needed to build and maintain that organism. </w:t>
      </w:r>
    </w:p>
    <w:p w14:paraId="177B6D9D" w14:textId="3A81FA6C" w:rsidR="00B72AC3" w:rsidRPr="00AA4677" w:rsidRDefault="00B72AC3" w:rsidP="00B72AC3">
      <w:pPr>
        <w:rPr>
          <w:rFonts w:cs="Calibri"/>
          <w:shd w:val="clear" w:color="auto" w:fill="FFFFFF"/>
        </w:rPr>
      </w:pPr>
      <w:r w:rsidRPr="00AA4677">
        <w:rPr>
          <w:rFonts w:cs="Calibri"/>
          <w:b/>
          <w:shd w:val="clear" w:color="auto" w:fill="FFFFFF"/>
        </w:rPr>
        <w:t>Large-scale data</w:t>
      </w:r>
      <w:r w:rsidRPr="00AA4677">
        <w:rPr>
          <w:rFonts w:cs="Calibri"/>
          <w:shd w:val="clear" w:color="auto" w:fill="FFFFFF"/>
        </w:rPr>
        <w:t xml:space="preserve"> include genome-wide association studies (GWAS), single nucleotide polymorphisms (SNP) arrays, and genome sequence, transcriptomic, epigenomic, and gene expression data.  Examples of genomic research projects that are subject to the Policy and the timeline for submission and sharing of data from such projects may be found here: </w:t>
      </w:r>
      <w:hyperlink r:id="rId152" w:history="1">
        <w:r w:rsidRPr="00696B35">
          <w:rPr>
            <w:rStyle w:val="Hyperlink"/>
            <w:rFonts w:cs="Calibri"/>
            <w:shd w:val="clear" w:color="auto" w:fill="FFFFFF"/>
          </w:rPr>
          <w:t>https://osp.od.nih.gov/wp-content/uploads/Supplemental_Info_GDS_Policy.pdf</w:t>
        </w:r>
      </w:hyperlink>
      <w:r w:rsidRPr="00AA4677">
        <w:rPr>
          <w:rFonts w:cs="Calibri"/>
          <w:shd w:val="clear" w:color="auto" w:fill="FFFFFF"/>
        </w:rPr>
        <w:t xml:space="preserve"> </w:t>
      </w:r>
    </w:p>
    <w:p w14:paraId="7528EAA9" w14:textId="3DA547E1" w:rsidR="00B72AC3" w:rsidRPr="00AA4677" w:rsidRDefault="00B72AC3" w:rsidP="00B72AC3">
      <w:pPr>
        <w:rPr>
          <w:rFonts w:cs="Calibri"/>
          <w:shd w:val="clear" w:color="auto" w:fill="FFFFFF"/>
        </w:rPr>
      </w:pPr>
      <w:r w:rsidRPr="00AA4677">
        <w:rPr>
          <w:rFonts w:cs="Calibri"/>
          <w:b/>
          <w:shd w:val="clear" w:color="auto" w:fill="FFFFFF"/>
        </w:rPr>
        <w:t xml:space="preserve">NIH-Designated Data Repository: </w:t>
      </w:r>
      <w:r w:rsidRPr="00AA4677">
        <w:rPr>
          <w:rFonts w:cs="Calibri"/>
          <w:shd w:val="clear" w:color="auto" w:fill="FFFFFF"/>
        </w:rPr>
        <w:t xml:space="preserve">any data repository maintained or supported by NIH either directly or through collaboration. Examples of such repositories is available here: </w:t>
      </w:r>
      <w:hyperlink r:id="rId153" w:history="1">
        <w:r w:rsidRPr="00696B35">
          <w:rPr>
            <w:rStyle w:val="Hyperlink"/>
            <w:rFonts w:cs="Calibri"/>
            <w:shd w:val="clear" w:color="auto" w:fill="FFFFFF"/>
          </w:rPr>
          <w:t>https://osp.od.nih.gov/scientific-sharing/data-repositories-and-trusted-partners/</w:t>
        </w:r>
      </w:hyperlink>
      <w:r w:rsidRPr="00AA4677">
        <w:rPr>
          <w:rFonts w:cs="Calibri"/>
          <w:shd w:val="clear" w:color="auto" w:fill="FFFFFF"/>
        </w:rPr>
        <w:t xml:space="preserve">.  Data may be unrestricted or controlled access: </w:t>
      </w:r>
    </w:p>
    <w:p w14:paraId="3DBF524D" w14:textId="77777777" w:rsidR="00B72AC3" w:rsidRPr="00AA4677" w:rsidRDefault="00B72AC3">
      <w:pPr>
        <w:pStyle w:val="ListParagraph"/>
        <w:numPr>
          <w:ilvl w:val="0"/>
          <w:numId w:val="186"/>
        </w:numPr>
        <w:ind w:left="360"/>
        <w:rPr>
          <w:rFonts w:cs="Calibri"/>
          <w:shd w:val="clear" w:color="auto" w:fill="FFFFFF"/>
        </w:rPr>
      </w:pPr>
      <w:r w:rsidRPr="00AA4677">
        <w:rPr>
          <w:rFonts w:cs="Calibri"/>
          <w:b/>
          <w:shd w:val="clear" w:color="auto" w:fill="FFFFFF"/>
        </w:rPr>
        <w:t xml:space="preserve">Unrestricted-Access (“Open Access”): </w:t>
      </w:r>
      <w:r w:rsidRPr="00AA4677">
        <w:rPr>
          <w:rFonts w:cs="Calibri"/>
          <w:shd w:val="clear" w:color="auto" w:fill="FFFFFF"/>
        </w:rPr>
        <w:t>data are publicly available to anyone (e.g., The 1000 Genomes Project)</w:t>
      </w:r>
    </w:p>
    <w:p w14:paraId="6FC52604" w14:textId="77777777" w:rsidR="00B72AC3" w:rsidRPr="00AA4677" w:rsidRDefault="00B72AC3">
      <w:pPr>
        <w:pStyle w:val="ListParagraph"/>
        <w:numPr>
          <w:ilvl w:val="0"/>
          <w:numId w:val="186"/>
        </w:numPr>
        <w:ind w:left="360"/>
        <w:rPr>
          <w:rFonts w:cs="Calibri"/>
          <w:shd w:val="clear" w:color="auto" w:fill="FFFFFF"/>
        </w:rPr>
      </w:pPr>
      <w:r w:rsidRPr="00AA4677">
        <w:rPr>
          <w:rFonts w:cs="Calibri"/>
          <w:b/>
          <w:shd w:val="clear" w:color="auto" w:fill="FFFFFF"/>
        </w:rPr>
        <w:t xml:space="preserve">Controlled-Access: </w:t>
      </w:r>
      <w:r w:rsidRPr="00AA4677">
        <w:rPr>
          <w:rFonts w:cs="Calibri"/>
          <w:shd w:val="clear" w:color="auto" w:fill="FFFFFF"/>
        </w:rPr>
        <w:t>the data are available to an investigator for a specific project only after the investigators and institution certify to abide by specified terms and conditions and NIH has approved the use (e.g., dbGaP)</w:t>
      </w:r>
    </w:p>
    <w:p w14:paraId="795063AE" w14:textId="77777777" w:rsidR="00B72AC3" w:rsidRPr="00AA4677" w:rsidRDefault="00B72AC3" w:rsidP="00C57C98">
      <w:pPr>
        <w:pStyle w:val="Heading3"/>
        <w:rPr>
          <w:shd w:val="clear" w:color="auto" w:fill="FFFFFF"/>
        </w:rPr>
      </w:pPr>
      <w:bookmarkStart w:id="368" w:name="_Toc522017835"/>
      <w:bookmarkStart w:id="369" w:name="_Toc528074562"/>
      <w:r w:rsidRPr="00AA4677">
        <w:rPr>
          <w:shd w:val="clear" w:color="auto" w:fill="FFFFFF"/>
        </w:rPr>
        <w:t>Procedures</w:t>
      </w:r>
      <w:bookmarkEnd w:id="368"/>
      <w:bookmarkEnd w:id="369"/>
    </w:p>
    <w:p w14:paraId="1C0D10B6" w14:textId="77777777" w:rsidR="00B72AC3" w:rsidRPr="00AA4677" w:rsidRDefault="00B72AC3" w:rsidP="00B72AC3">
      <w:pPr>
        <w:rPr>
          <w:rFonts w:cs="Calibri"/>
          <w:b/>
          <w:shd w:val="clear" w:color="auto" w:fill="FFFFFF"/>
        </w:rPr>
      </w:pPr>
      <w:r w:rsidRPr="00AA4677">
        <w:rPr>
          <w:rFonts w:cs="Calibri"/>
          <w:b/>
          <w:shd w:val="clear" w:color="auto" w:fill="FFFFFF"/>
        </w:rPr>
        <w:t>IRB Submissions and GDS</w:t>
      </w:r>
    </w:p>
    <w:p w14:paraId="3C46CB64" w14:textId="77777777" w:rsidR="00B72AC3" w:rsidRPr="00AA4677" w:rsidRDefault="00B72AC3" w:rsidP="00B72AC3">
      <w:pPr>
        <w:rPr>
          <w:rFonts w:cs="Calibri"/>
          <w:shd w:val="clear" w:color="auto" w:fill="FFFFFF"/>
        </w:rPr>
      </w:pPr>
      <w:r w:rsidRPr="00AA4677">
        <w:rPr>
          <w:rFonts w:cs="Calibri"/>
          <w:shd w:val="clear" w:color="auto" w:fill="FFFFFF"/>
        </w:rPr>
        <w:t xml:space="preserve">For any cell lines created or specimens to be collected, analyzed, and shared subject to the GDS Policy, the IRB expects that informed consent will be obtained from the research subject for the future research uses and broad sharing of data required under the policy. </w:t>
      </w:r>
      <w:r w:rsidRPr="00AA4677">
        <w:rPr>
          <w:rFonts w:cs="Calibri"/>
          <w:b/>
          <w:shd w:val="clear" w:color="auto" w:fill="FFFFFF"/>
        </w:rPr>
        <w:t>This is the case even if the specimens or cell lines are de-identified.</w:t>
      </w:r>
      <w:r w:rsidRPr="00AA4677">
        <w:rPr>
          <w:rFonts w:cs="Calibri"/>
          <w:shd w:val="clear" w:color="auto" w:fill="FFFFFF"/>
        </w:rPr>
        <w:t xml:space="preserve"> If there are compelling scientific or legal reasons that necessitate the use of genomic data from cell lines or clinical specimens that lack consent for research use and data sharing, investigators will need to provide a justification in the funding request to NIH for their use. The funding NIH institute/center will review the justification and decide whether to make an exception to the consent expectation.  Exceptions from the NIH are not required if only some participants decline to consent to broad sharing, rather an exception request must be granted by NIH for research when consent for broad sharing has not or will not be sought.</w:t>
      </w:r>
    </w:p>
    <w:p w14:paraId="02F59ACA" w14:textId="77777777" w:rsidR="00B72AC3" w:rsidRPr="00AA4677" w:rsidRDefault="00B72AC3" w:rsidP="00B72AC3">
      <w:pPr>
        <w:rPr>
          <w:rFonts w:cs="Calibri"/>
          <w:shd w:val="clear" w:color="auto" w:fill="FFFFFF"/>
        </w:rPr>
      </w:pPr>
      <w:r w:rsidRPr="00AA4677">
        <w:rPr>
          <w:rFonts w:cs="Calibri"/>
          <w:shd w:val="clear" w:color="auto" w:fill="FFFFFF"/>
        </w:rPr>
        <w:lastRenderedPageBreak/>
        <w:t xml:space="preserve">Subjects asked to allow for future research uses and broad sharing of their genomic data </w:t>
      </w:r>
      <w:proofErr w:type="gramStart"/>
      <w:r w:rsidRPr="00AA4677">
        <w:rPr>
          <w:rFonts w:cs="Calibri"/>
          <w:shd w:val="clear" w:color="auto" w:fill="FFFFFF"/>
        </w:rPr>
        <w:t>have the ability to</w:t>
      </w:r>
      <w:proofErr w:type="gramEnd"/>
      <w:r w:rsidRPr="00AA4677">
        <w:rPr>
          <w:rFonts w:cs="Calibri"/>
          <w:shd w:val="clear" w:color="auto" w:fill="FFFFFF"/>
        </w:rPr>
        <w:t xml:space="preserve"> </w:t>
      </w:r>
      <w:proofErr w:type="gramStart"/>
      <w:r w:rsidRPr="00AA4677">
        <w:rPr>
          <w:rFonts w:cs="Calibri"/>
          <w:shd w:val="clear" w:color="auto" w:fill="FFFFFF"/>
        </w:rPr>
        <w:t>decline, and</w:t>
      </w:r>
      <w:proofErr w:type="gramEnd"/>
      <w:r w:rsidRPr="00AA4677">
        <w:rPr>
          <w:rFonts w:cs="Calibri"/>
          <w:shd w:val="clear" w:color="auto" w:fill="FFFFFF"/>
        </w:rPr>
        <w:t xml:space="preserve"> still remain in the research (however their data cannot be placed into a repository or otherwise broadly shared).  The only exception to this is when sharing of the data is intrinsic to the study (e.g., the purpose of the study is to establish a repository for sharing biological specimens and/or data for future research).</w:t>
      </w:r>
    </w:p>
    <w:p w14:paraId="233FFA98" w14:textId="77777777" w:rsidR="00B72AC3" w:rsidRPr="00AA4677" w:rsidRDefault="00B72AC3" w:rsidP="00B72AC3">
      <w:pPr>
        <w:rPr>
          <w:rFonts w:cs="Calibri"/>
          <w:shd w:val="clear" w:color="auto" w:fill="FFFFFF"/>
        </w:rPr>
      </w:pPr>
      <w:r w:rsidRPr="00AA4677">
        <w:rPr>
          <w:rFonts w:cs="Calibri"/>
          <w:shd w:val="clear" w:color="auto" w:fill="FFFFFF"/>
        </w:rPr>
        <w:t xml:space="preserve">Sample consent language for studies subject to GDS is available in the consent template, from the HRPP/IRB Office. </w:t>
      </w:r>
    </w:p>
    <w:p w14:paraId="687D706F" w14:textId="490178C0" w:rsidR="00B72AC3" w:rsidRPr="00AA4677" w:rsidRDefault="00B72AC3" w:rsidP="00B72AC3">
      <w:pPr>
        <w:rPr>
          <w:rFonts w:cs="Calibri"/>
          <w:shd w:val="clear" w:color="auto" w:fill="FFFFFF"/>
        </w:rPr>
      </w:pPr>
      <w:r w:rsidRPr="00AA4677">
        <w:rPr>
          <w:rFonts w:cs="Calibri"/>
          <w:shd w:val="clear" w:color="auto" w:fill="FFFFFF"/>
        </w:rPr>
        <w:t xml:space="preserve">Applications to the </w:t>
      </w:r>
      <w:r w:rsidR="003A597D" w:rsidRPr="00AA4677">
        <w:t>Stony Brook University</w:t>
      </w:r>
      <w:r w:rsidRPr="00AA4677">
        <w:t xml:space="preserve"> </w:t>
      </w:r>
      <w:r w:rsidRPr="00AA4677">
        <w:rPr>
          <w:rFonts w:cs="Calibri"/>
          <w:shd w:val="clear" w:color="auto" w:fill="FFFFFF"/>
        </w:rPr>
        <w:t>IRB should include information about the proposed generation or use of genomic data including, as applicable:</w:t>
      </w:r>
    </w:p>
    <w:p w14:paraId="2F4F53A7" w14:textId="77777777" w:rsidR="00B72AC3" w:rsidRPr="00AA4677" w:rsidRDefault="00B72AC3">
      <w:pPr>
        <w:pStyle w:val="ListParagraph"/>
        <w:numPr>
          <w:ilvl w:val="0"/>
          <w:numId w:val="187"/>
        </w:numPr>
        <w:ind w:left="450" w:hanging="450"/>
        <w:rPr>
          <w:rFonts w:cs="Calibri"/>
          <w:shd w:val="clear" w:color="auto" w:fill="FFFFFF"/>
        </w:rPr>
      </w:pPr>
      <w:r w:rsidRPr="00AA4677">
        <w:rPr>
          <w:rFonts w:cs="Calibri"/>
          <w:shd w:val="clear" w:color="auto" w:fill="FFFFFF"/>
        </w:rPr>
        <w:t xml:space="preserve">Whether the research will generate or use data subject to the NIH GDS </w:t>
      </w:r>
      <w:proofErr w:type="gramStart"/>
      <w:r w:rsidRPr="00AA4677">
        <w:rPr>
          <w:rFonts w:cs="Calibri"/>
          <w:shd w:val="clear" w:color="auto" w:fill="FFFFFF"/>
        </w:rPr>
        <w:t>policy;</w:t>
      </w:r>
      <w:proofErr w:type="gramEnd"/>
    </w:p>
    <w:p w14:paraId="1148F4C7" w14:textId="77777777" w:rsidR="00B72AC3" w:rsidRPr="00AA4677" w:rsidRDefault="00B72AC3">
      <w:pPr>
        <w:pStyle w:val="ListParagraph"/>
        <w:numPr>
          <w:ilvl w:val="0"/>
          <w:numId w:val="187"/>
        </w:numPr>
        <w:ind w:left="450" w:hanging="450"/>
        <w:rPr>
          <w:rFonts w:cs="Calibri"/>
          <w:shd w:val="clear" w:color="auto" w:fill="FFFFFF"/>
        </w:rPr>
      </w:pPr>
      <w:r w:rsidRPr="00AA4677">
        <w:rPr>
          <w:rFonts w:cs="Calibri"/>
          <w:shd w:val="clear" w:color="auto" w:fill="FFFFFF"/>
        </w:rPr>
        <w:t xml:space="preserve">The name of the </w:t>
      </w:r>
      <w:hyperlink r:id="rId154" w:history="1">
        <w:r w:rsidRPr="00AA4677">
          <w:rPr>
            <w:rStyle w:val="Hyperlink"/>
            <w:rFonts w:cs="Calibri"/>
            <w:color w:val="auto"/>
            <w:u w:val="none"/>
            <w:shd w:val="clear" w:color="auto" w:fill="FFFFFF"/>
          </w:rPr>
          <w:t>NIH data repository/database</w:t>
        </w:r>
      </w:hyperlink>
      <w:r w:rsidRPr="00AA4677">
        <w:rPr>
          <w:rFonts w:cs="Calibri"/>
          <w:shd w:val="clear" w:color="auto" w:fill="FFFFFF"/>
        </w:rPr>
        <w:t>, or other repository or database, that data will be submitted to or acquired from;</w:t>
      </w:r>
    </w:p>
    <w:p w14:paraId="36E3383B" w14:textId="77777777" w:rsidR="00B72AC3" w:rsidRPr="00AA4677" w:rsidRDefault="00B72AC3">
      <w:pPr>
        <w:pStyle w:val="ListParagraph"/>
        <w:numPr>
          <w:ilvl w:val="0"/>
          <w:numId w:val="187"/>
        </w:numPr>
        <w:ind w:left="450" w:hanging="450"/>
        <w:rPr>
          <w:rFonts w:cs="Calibri"/>
          <w:shd w:val="clear" w:color="auto" w:fill="FFFFFF"/>
        </w:rPr>
      </w:pPr>
      <w:r w:rsidRPr="00AA4677">
        <w:rPr>
          <w:rFonts w:cs="Calibri"/>
          <w:shd w:val="clear" w:color="auto" w:fill="FFFFFF"/>
        </w:rPr>
        <w:t xml:space="preserve">Whether the data is restricted access or unrestricted </w:t>
      </w:r>
      <w:proofErr w:type="gramStart"/>
      <w:r w:rsidRPr="00AA4677">
        <w:rPr>
          <w:rFonts w:cs="Calibri"/>
          <w:shd w:val="clear" w:color="auto" w:fill="FFFFFF"/>
        </w:rPr>
        <w:t>access;</w:t>
      </w:r>
      <w:proofErr w:type="gramEnd"/>
    </w:p>
    <w:p w14:paraId="45F10347" w14:textId="77777777" w:rsidR="00B72AC3" w:rsidRPr="00AA4677" w:rsidRDefault="00B72AC3">
      <w:pPr>
        <w:pStyle w:val="ListParagraph"/>
        <w:numPr>
          <w:ilvl w:val="0"/>
          <w:numId w:val="187"/>
        </w:numPr>
        <w:ind w:left="450" w:hanging="450"/>
        <w:rPr>
          <w:rFonts w:cs="Calibri"/>
          <w:shd w:val="clear" w:color="auto" w:fill="FFFFFF"/>
        </w:rPr>
      </w:pPr>
      <w:r w:rsidRPr="00AA4677">
        <w:rPr>
          <w:rFonts w:cs="Calibri"/>
          <w:shd w:val="clear" w:color="auto" w:fill="FFFFFF"/>
        </w:rPr>
        <w:t>Whether there are any data use limitations or modifiers (e.g., use limited to a specific disease, restricted to not-for-profit organizations, IRB approval requirement, etc.</w:t>
      </w:r>
      <w:proofErr w:type="gramStart"/>
      <w:r w:rsidRPr="00AA4677">
        <w:rPr>
          <w:rFonts w:cs="Calibri"/>
          <w:shd w:val="clear" w:color="auto" w:fill="FFFFFF"/>
        </w:rPr>
        <w:t>);</w:t>
      </w:r>
      <w:proofErr w:type="gramEnd"/>
    </w:p>
    <w:p w14:paraId="4A179E73" w14:textId="77777777" w:rsidR="00B72AC3" w:rsidRPr="00AA4677" w:rsidRDefault="00B72AC3">
      <w:pPr>
        <w:pStyle w:val="ListParagraph"/>
        <w:numPr>
          <w:ilvl w:val="0"/>
          <w:numId w:val="187"/>
        </w:numPr>
        <w:ind w:left="450" w:hanging="450"/>
        <w:rPr>
          <w:rFonts w:cs="Calibri"/>
          <w:shd w:val="clear" w:color="auto" w:fill="FFFFFF"/>
        </w:rPr>
      </w:pPr>
      <w:r w:rsidRPr="00AA4677">
        <w:rPr>
          <w:rFonts w:cs="Calibri"/>
          <w:shd w:val="clear" w:color="auto" w:fill="FFFFFF"/>
        </w:rPr>
        <w:t xml:space="preserve">The plan for informed consent and the proposed consent </w:t>
      </w:r>
      <w:proofErr w:type="gramStart"/>
      <w:r w:rsidRPr="00AA4677">
        <w:rPr>
          <w:rFonts w:cs="Calibri"/>
          <w:shd w:val="clear" w:color="auto" w:fill="FFFFFF"/>
        </w:rPr>
        <w:t>language;</w:t>
      </w:r>
      <w:proofErr w:type="gramEnd"/>
    </w:p>
    <w:p w14:paraId="07266B96" w14:textId="34A20FFD" w:rsidR="00B72AC3" w:rsidRPr="00AA4677" w:rsidRDefault="003A597D">
      <w:pPr>
        <w:pStyle w:val="ListParagraph"/>
        <w:numPr>
          <w:ilvl w:val="0"/>
          <w:numId w:val="187"/>
        </w:numPr>
        <w:ind w:left="450" w:hanging="450"/>
        <w:rPr>
          <w:rFonts w:cs="Calibri"/>
          <w:shd w:val="clear" w:color="auto" w:fill="FFFFFF"/>
        </w:rPr>
      </w:pPr>
      <w:r w:rsidRPr="00AA4677">
        <w:rPr>
          <w:rFonts w:cs="Calibri"/>
          <w:shd w:val="clear" w:color="auto" w:fill="FFFFFF"/>
        </w:rPr>
        <w:t>Details regarding the s</w:t>
      </w:r>
      <w:r w:rsidR="00B72AC3" w:rsidRPr="00AA4677">
        <w:rPr>
          <w:rFonts w:cs="Calibri"/>
          <w:shd w:val="clear" w:color="auto" w:fill="FFFFFF"/>
        </w:rPr>
        <w:t>tor</w:t>
      </w:r>
      <w:r w:rsidRPr="00AA4677">
        <w:rPr>
          <w:rFonts w:cs="Calibri"/>
          <w:shd w:val="clear" w:color="auto" w:fill="FFFFFF"/>
        </w:rPr>
        <w:t>age of</w:t>
      </w:r>
      <w:r w:rsidR="00B72AC3" w:rsidRPr="00AA4677">
        <w:rPr>
          <w:rFonts w:cs="Calibri"/>
          <w:shd w:val="clear" w:color="auto" w:fill="FFFFFF"/>
        </w:rPr>
        <w:t xml:space="preserve"> </w:t>
      </w:r>
      <w:r w:rsidRPr="00AA4677">
        <w:rPr>
          <w:rFonts w:cs="Calibri"/>
          <w:shd w:val="clear" w:color="auto" w:fill="FFFFFF"/>
        </w:rPr>
        <w:t>d</w:t>
      </w:r>
      <w:r w:rsidR="00B72AC3" w:rsidRPr="00AA4677">
        <w:rPr>
          <w:rFonts w:cs="Calibri"/>
          <w:shd w:val="clear" w:color="auto" w:fill="FFFFFF"/>
        </w:rPr>
        <w:t xml:space="preserve">ata or </w:t>
      </w:r>
      <w:r w:rsidRPr="00AA4677">
        <w:rPr>
          <w:rFonts w:cs="Calibri"/>
          <w:shd w:val="clear" w:color="auto" w:fill="FFFFFF"/>
        </w:rPr>
        <w:t>s</w:t>
      </w:r>
      <w:r w:rsidR="00B72AC3" w:rsidRPr="00AA4677">
        <w:rPr>
          <w:rFonts w:cs="Calibri"/>
          <w:shd w:val="clear" w:color="auto" w:fill="FFFFFF"/>
        </w:rPr>
        <w:t xml:space="preserve">pecimens for </w:t>
      </w:r>
      <w:r w:rsidRPr="00AA4677">
        <w:rPr>
          <w:rFonts w:cs="Calibri"/>
          <w:shd w:val="clear" w:color="auto" w:fill="FFFFFF"/>
        </w:rPr>
        <w:t>f</w:t>
      </w:r>
      <w:r w:rsidR="00B72AC3" w:rsidRPr="00AA4677">
        <w:rPr>
          <w:rFonts w:cs="Calibri"/>
          <w:shd w:val="clear" w:color="auto" w:fill="FFFFFF"/>
        </w:rPr>
        <w:t xml:space="preserve">uture </w:t>
      </w:r>
      <w:r w:rsidRPr="00AA4677">
        <w:rPr>
          <w:rFonts w:cs="Calibri"/>
          <w:shd w:val="clear" w:color="auto" w:fill="FFFFFF"/>
        </w:rPr>
        <w:t>u</w:t>
      </w:r>
      <w:r w:rsidR="00B72AC3" w:rsidRPr="00AA4677">
        <w:rPr>
          <w:rFonts w:cs="Calibri"/>
          <w:shd w:val="clear" w:color="auto" w:fill="FFFFFF"/>
        </w:rPr>
        <w:t>se; and</w:t>
      </w:r>
    </w:p>
    <w:p w14:paraId="67FA09BE" w14:textId="77777777" w:rsidR="00B72AC3" w:rsidRPr="00AA4677" w:rsidRDefault="00B72AC3">
      <w:pPr>
        <w:pStyle w:val="ListParagraph"/>
        <w:numPr>
          <w:ilvl w:val="0"/>
          <w:numId w:val="187"/>
        </w:numPr>
        <w:ind w:left="450" w:hanging="450"/>
        <w:rPr>
          <w:rFonts w:cs="Calibri"/>
          <w:shd w:val="clear" w:color="auto" w:fill="FFFFFF"/>
        </w:rPr>
      </w:pPr>
      <w:r w:rsidRPr="00AA4677">
        <w:rPr>
          <w:rFonts w:cs="Calibri"/>
          <w:shd w:val="clear" w:color="auto" w:fill="FFFFFF"/>
        </w:rPr>
        <w:t>A copy of the genomic data sharing plan.</w:t>
      </w:r>
    </w:p>
    <w:p w14:paraId="7E54BD53" w14:textId="77777777" w:rsidR="00B72AC3" w:rsidRPr="00AA4677" w:rsidRDefault="00B72AC3" w:rsidP="00B72AC3">
      <w:pPr>
        <w:jc w:val="both"/>
        <w:rPr>
          <w:rFonts w:cs="Calibri"/>
          <w:shd w:val="clear" w:color="auto" w:fill="FFFFFF"/>
        </w:rPr>
      </w:pPr>
      <w:r w:rsidRPr="00AA4677">
        <w:rPr>
          <w:rFonts w:cs="Calibri"/>
          <w:shd w:val="clear" w:color="auto" w:fill="FFFFFF"/>
        </w:rPr>
        <w:t xml:space="preserve">The IRB will review the proposal for genomic data sharing or subsequent use of such genomic data in accordance with the criteria for approval of research and the </w:t>
      </w:r>
      <w:hyperlink r:id="rId155" w:history="1">
        <w:r w:rsidRPr="00AA4677">
          <w:rPr>
            <w:rStyle w:val="Hyperlink"/>
            <w:rFonts w:cs="Calibri"/>
            <w:color w:val="auto"/>
            <w:u w:val="none"/>
            <w:shd w:val="clear" w:color="auto" w:fill="FFFFFF"/>
          </w:rPr>
          <w:t>guidelines for IRBs</w:t>
        </w:r>
      </w:hyperlink>
      <w:r w:rsidRPr="00AA4677">
        <w:rPr>
          <w:rFonts w:cs="Calibri"/>
          <w:shd w:val="clear" w:color="auto" w:fill="FFFFFF"/>
        </w:rPr>
        <w:t xml:space="preserve"> provided by NIH.  </w:t>
      </w:r>
    </w:p>
    <w:p w14:paraId="13F00A4C" w14:textId="15A0741B" w:rsidR="00B72AC3" w:rsidRPr="00AA4677" w:rsidRDefault="00B72AC3" w:rsidP="00B72AC3">
      <w:pPr>
        <w:jc w:val="both"/>
        <w:rPr>
          <w:rFonts w:cs="Calibri"/>
          <w:shd w:val="clear" w:color="auto" w:fill="FFFFFF"/>
        </w:rPr>
      </w:pPr>
      <w:r w:rsidRPr="00AA4677">
        <w:rPr>
          <w:rFonts w:cs="Calibri"/>
          <w:shd w:val="clear" w:color="auto" w:fill="FFFFFF"/>
        </w:rPr>
        <w:t xml:space="preserve">When </w:t>
      </w:r>
      <w:r w:rsidR="0005151A" w:rsidRPr="00AA4677">
        <w:rPr>
          <w:rFonts w:cs="Calibri"/>
          <w:shd w:val="clear" w:color="auto" w:fill="FFFFFF"/>
        </w:rPr>
        <w:t>Stony Brook University</w:t>
      </w:r>
      <w:r w:rsidRPr="00AA4677">
        <w:rPr>
          <w:rFonts w:cs="Calibri"/>
          <w:shd w:val="clear" w:color="auto" w:fill="FFFFFF"/>
        </w:rPr>
        <w:t xml:space="preserve"> is responsible for NIH Institutional Certification (see below), the IRB review will specifically address the required assurances outlined on the </w:t>
      </w:r>
      <w:hyperlink r:id="rId156" w:history="1">
        <w:r w:rsidRPr="00AA4677">
          <w:rPr>
            <w:rStyle w:val="Hyperlink"/>
            <w:rFonts w:cs="Calibri"/>
            <w:color w:val="auto"/>
            <w:u w:val="none"/>
            <w:shd w:val="clear" w:color="auto" w:fill="FFFFFF"/>
          </w:rPr>
          <w:t>Extramural Institutional Certification</w:t>
        </w:r>
      </w:hyperlink>
      <w:r w:rsidRPr="00AA4677">
        <w:rPr>
          <w:rFonts w:cs="Calibri"/>
          <w:shd w:val="clear" w:color="auto" w:fill="FFFFFF"/>
        </w:rPr>
        <w:t xml:space="preserve">.  When appropriate, if the IRB is unable to confirm that a certification element is satisfied (e.g., because the IRB has not yet granted final approval), </w:t>
      </w:r>
      <w:hyperlink r:id="rId157" w:history="1">
        <w:r w:rsidRPr="00AA4677">
          <w:rPr>
            <w:rStyle w:val="Hyperlink"/>
            <w:rFonts w:cs="Calibri"/>
            <w:color w:val="auto"/>
            <w:u w:val="none"/>
            <w:shd w:val="clear" w:color="auto" w:fill="FFFFFF"/>
          </w:rPr>
          <w:t>Provisional Institutional Certification</w:t>
        </w:r>
      </w:hyperlink>
      <w:r w:rsidRPr="00AA4677">
        <w:rPr>
          <w:rFonts w:cs="Calibri"/>
          <w:shd w:val="clear" w:color="auto" w:fill="FFFFFF"/>
        </w:rPr>
        <w:t xml:space="preserve"> will be provided.</w:t>
      </w:r>
    </w:p>
    <w:p w14:paraId="7AC7C3DF" w14:textId="77777777" w:rsidR="00B72AC3" w:rsidRPr="00AA4677" w:rsidRDefault="00B72AC3" w:rsidP="00B72AC3">
      <w:pPr>
        <w:jc w:val="both"/>
        <w:rPr>
          <w:rFonts w:cs="Calibri"/>
          <w:b/>
          <w:shd w:val="clear" w:color="auto" w:fill="FFFFFF"/>
        </w:rPr>
      </w:pPr>
      <w:r w:rsidRPr="00AA4677">
        <w:rPr>
          <w:rFonts w:cs="Calibri"/>
          <w:b/>
          <w:shd w:val="clear" w:color="auto" w:fill="FFFFFF"/>
        </w:rPr>
        <w:t>Grant Applications and GDS</w:t>
      </w:r>
    </w:p>
    <w:p w14:paraId="3D4FAD8E" w14:textId="6542EC65" w:rsidR="00B72AC3" w:rsidRPr="00AA4677" w:rsidRDefault="00B72AC3" w:rsidP="0005151A">
      <w:pPr>
        <w:jc w:val="both"/>
        <w:rPr>
          <w:rFonts w:cs="Calibri"/>
          <w:shd w:val="clear" w:color="auto" w:fill="FFFFFF"/>
        </w:rPr>
      </w:pPr>
      <w:r w:rsidRPr="00AA4677">
        <w:rPr>
          <w:rFonts w:cs="Calibri"/>
          <w:shd w:val="clear" w:color="auto" w:fill="FFFFFF"/>
        </w:rPr>
        <w:t>Investigators planning to apply to NIH for research that will generate large-scale human genomic data as defined above should contact the appropriate NIH Program/Project officials to discuss expectations and timelines for complying with this policy. Along with the grant, the following will need to be submitted:</w:t>
      </w:r>
    </w:p>
    <w:p w14:paraId="34C1E5F8" w14:textId="77777777" w:rsidR="00B72AC3" w:rsidRPr="00AA4677" w:rsidRDefault="00B72AC3">
      <w:pPr>
        <w:pStyle w:val="ListParagraph"/>
        <w:numPr>
          <w:ilvl w:val="0"/>
          <w:numId w:val="188"/>
        </w:numPr>
        <w:ind w:left="360"/>
        <w:rPr>
          <w:rFonts w:cs="Calibri"/>
          <w:shd w:val="clear" w:color="auto" w:fill="FFFFFF"/>
        </w:rPr>
      </w:pPr>
      <w:r w:rsidRPr="00AA4677">
        <w:rPr>
          <w:rFonts w:cs="Calibri"/>
          <w:b/>
          <w:shd w:val="clear" w:color="auto" w:fill="FFFFFF"/>
        </w:rPr>
        <w:t>Notification in a cover letter</w:t>
      </w:r>
      <w:r w:rsidRPr="00AA4677">
        <w:rPr>
          <w:rFonts w:cs="Calibri"/>
          <w:shd w:val="clear" w:color="auto" w:fill="FFFFFF"/>
        </w:rPr>
        <w:t xml:space="preserve"> of the intent to generate large-scale human genomic data</w:t>
      </w:r>
    </w:p>
    <w:p w14:paraId="0DA03C94" w14:textId="4CCCBB79" w:rsidR="00B72AC3" w:rsidRPr="00AA4677" w:rsidRDefault="00B72AC3">
      <w:pPr>
        <w:pStyle w:val="ListParagraph"/>
        <w:numPr>
          <w:ilvl w:val="0"/>
          <w:numId w:val="188"/>
        </w:numPr>
        <w:ind w:left="360"/>
        <w:rPr>
          <w:rFonts w:cs="Calibri"/>
          <w:shd w:val="clear" w:color="auto" w:fill="FFFFFF"/>
        </w:rPr>
      </w:pPr>
      <w:r w:rsidRPr="00AA4677">
        <w:rPr>
          <w:rFonts w:cs="Calibri"/>
          <w:b/>
          <w:shd w:val="clear" w:color="auto" w:fill="FFFFFF"/>
        </w:rPr>
        <w:lastRenderedPageBreak/>
        <w:t>A genomic data sharing plan,</w:t>
      </w:r>
      <w:r w:rsidRPr="00AA4677">
        <w:rPr>
          <w:rFonts w:cs="Calibri"/>
          <w:shd w:val="clear" w:color="auto" w:fill="FFFFFF"/>
        </w:rPr>
        <w:t xml:space="preserve"> within the grant’s resource sharing plan section (NIH guidance on these plans is available here: </w:t>
      </w:r>
      <w:hyperlink r:id="rId158" w:history="1">
        <w:r w:rsidRPr="00696B35">
          <w:rPr>
            <w:rStyle w:val="Hyperlink"/>
            <w:rFonts w:cs="Calibri"/>
            <w:shd w:val="clear" w:color="auto" w:fill="FFFFFF"/>
          </w:rPr>
          <w:t>https://osp.od.nih.gov/wp-content/uploads/NIH_Guidance_Developing-GDS_Plans.pdf</w:t>
        </w:r>
      </w:hyperlink>
      <w:r w:rsidRPr="00AA4677">
        <w:rPr>
          <w:rFonts w:cs="Calibri"/>
          <w:shd w:val="clear" w:color="auto" w:fill="FFFFFF"/>
        </w:rPr>
        <w:t>)</w:t>
      </w:r>
    </w:p>
    <w:p w14:paraId="5740B94E" w14:textId="438FFE24" w:rsidR="00B72AC3" w:rsidRPr="00AA4677" w:rsidRDefault="00B72AC3">
      <w:pPr>
        <w:pStyle w:val="ListParagraph"/>
        <w:numPr>
          <w:ilvl w:val="0"/>
          <w:numId w:val="188"/>
        </w:numPr>
        <w:ind w:left="360"/>
        <w:rPr>
          <w:rFonts w:cs="Calibri"/>
          <w:shd w:val="clear" w:color="auto" w:fill="FFFFFF"/>
        </w:rPr>
      </w:pPr>
      <w:r w:rsidRPr="00AA4677">
        <w:rPr>
          <w:rFonts w:cs="Calibri"/>
          <w:b/>
          <w:shd w:val="clear" w:color="auto" w:fill="FFFFFF"/>
        </w:rPr>
        <w:t>Institutional Certification</w:t>
      </w:r>
      <w:r w:rsidRPr="00AA4677">
        <w:rPr>
          <w:rFonts w:cs="Calibri"/>
          <w:shd w:val="clear" w:color="auto" w:fill="FFFFFF"/>
        </w:rPr>
        <w:t xml:space="preserve"> from the Office of Sponsored Programs (templates available here: </w:t>
      </w:r>
      <w:hyperlink r:id="rId159" w:history="1">
        <w:r w:rsidRPr="00696B35">
          <w:rPr>
            <w:rStyle w:val="Hyperlink"/>
            <w:rFonts w:cs="Calibri"/>
            <w:shd w:val="clear" w:color="auto" w:fill="FFFFFF"/>
          </w:rPr>
          <w:t>https://osp.od.nih.gov/scientific-sharing/institutional-certifications/</w:t>
        </w:r>
      </w:hyperlink>
      <w:r w:rsidRPr="00AA4677">
        <w:rPr>
          <w:rFonts w:cs="Calibri"/>
          <w:shd w:val="clear" w:color="auto" w:fill="FFFFFF"/>
        </w:rPr>
        <w:t xml:space="preserve">). Certification must be provided for all sites contributing samples.  If more than one site is contributing samples, the primary site may submit one certification on behalf of all collaborating sites (or each site may provide their own certification if this is the site’s preference).  This certification assures that: </w:t>
      </w:r>
    </w:p>
    <w:p w14:paraId="6911C05F" w14:textId="77777777" w:rsidR="00B72AC3" w:rsidRPr="00AA4677" w:rsidRDefault="00B72AC3">
      <w:pPr>
        <w:pStyle w:val="ListParagraph"/>
        <w:numPr>
          <w:ilvl w:val="1"/>
          <w:numId w:val="188"/>
        </w:numPr>
        <w:ind w:left="720"/>
        <w:rPr>
          <w:rFonts w:cs="Calibri"/>
          <w:shd w:val="clear" w:color="auto" w:fill="FFFFFF"/>
        </w:rPr>
      </w:pPr>
      <w:r w:rsidRPr="00AA4677">
        <w:rPr>
          <w:rFonts w:cs="Calibri"/>
          <w:shd w:val="clear" w:color="auto" w:fill="FFFFFF"/>
        </w:rPr>
        <w:t xml:space="preserve">The data submission is consistent with applicable national, tribal, and state laws and regulations, and institutional </w:t>
      </w:r>
      <w:proofErr w:type="gramStart"/>
      <w:r w:rsidRPr="00AA4677">
        <w:rPr>
          <w:rFonts w:cs="Calibri"/>
          <w:shd w:val="clear" w:color="auto" w:fill="FFFFFF"/>
        </w:rPr>
        <w:t>policies;</w:t>
      </w:r>
      <w:proofErr w:type="gramEnd"/>
    </w:p>
    <w:p w14:paraId="690DF0F3" w14:textId="77777777" w:rsidR="00B72AC3" w:rsidRPr="00AA4677" w:rsidRDefault="00B72AC3">
      <w:pPr>
        <w:pStyle w:val="ListParagraph"/>
        <w:numPr>
          <w:ilvl w:val="1"/>
          <w:numId w:val="188"/>
        </w:numPr>
        <w:ind w:left="720"/>
        <w:rPr>
          <w:rFonts w:cs="Calibri"/>
          <w:shd w:val="clear" w:color="auto" w:fill="FFFFFF"/>
        </w:rPr>
      </w:pPr>
      <w:r w:rsidRPr="00AA4677">
        <w:rPr>
          <w:rFonts w:cs="Calibri"/>
          <w:shd w:val="clear" w:color="auto" w:fill="FFFFFF"/>
        </w:rPr>
        <w:t xml:space="preserve">Any limitations on the research use of the data, as expressed in the informed consent documents, are delineated within the </w:t>
      </w:r>
      <w:proofErr w:type="gramStart"/>
      <w:r w:rsidRPr="00AA4677">
        <w:rPr>
          <w:rFonts w:cs="Calibri"/>
          <w:shd w:val="clear" w:color="auto" w:fill="FFFFFF"/>
        </w:rPr>
        <w:t>certification;</w:t>
      </w:r>
      <w:proofErr w:type="gramEnd"/>
    </w:p>
    <w:p w14:paraId="56E17E75" w14:textId="77777777" w:rsidR="00B72AC3" w:rsidRPr="00AA4677" w:rsidRDefault="00B72AC3">
      <w:pPr>
        <w:pStyle w:val="ListParagraph"/>
        <w:numPr>
          <w:ilvl w:val="1"/>
          <w:numId w:val="188"/>
        </w:numPr>
        <w:ind w:left="720"/>
        <w:rPr>
          <w:rFonts w:cs="Calibri"/>
          <w:shd w:val="clear" w:color="auto" w:fill="FFFFFF"/>
        </w:rPr>
      </w:pPr>
      <w:r w:rsidRPr="00AA4677">
        <w:rPr>
          <w:rFonts w:cs="Calibri"/>
          <w:shd w:val="clear" w:color="auto" w:fill="FFFFFF"/>
        </w:rPr>
        <w:t xml:space="preserve">The identities of research participants will not be disclosed to the </w:t>
      </w:r>
      <w:proofErr w:type="gramStart"/>
      <w:r w:rsidRPr="00AA4677">
        <w:rPr>
          <w:rFonts w:cs="Calibri"/>
          <w:shd w:val="clear" w:color="auto" w:fill="FFFFFF"/>
        </w:rPr>
        <w:t>repositories;</w:t>
      </w:r>
      <w:proofErr w:type="gramEnd"/>
    </w:p>
    <w:p w14:paraId="23BD22BA" w14:textId="77777777" w:rsidR="00B72AC3" w:rsidRPr="00AA4677" w:rsidRDefault="00B72AC3">
      <w:pPr>
        <w:pStyle w:val="ListParagraph"/>
        <w:numPr>
          <w:ilvl w:val="1"/>
          <w:numId w:val="188"/>
        </w:numPr>
        <w:ind w:left="720"/>
        <w:rPr>
          <w:rFonts w:cs="Calibri"/>
          <w:shd w:val="clear" w:color="auto" w:fill="FFFFFF"/>
        </w:rPr>
      </w:pPr>
      <w:r w:rsidRPr="00AA4677">
        <w:rPr>
          <w:rFonts w:cs="Calibri"/>
          <w:shd w:val="clear" w:color="auto" w:fill="FFFFFF"/>
        </w:rPr>
        <w:t>An IRB and/or Privacy Board has reviewed the investigator’s proposal for data submission and assures that:</w:t>
      </w:r>
    </w:p>
    <w:p w14:paraId="29E9F357" w14:textId="77777777" w:rsidR="00B72AC3" w:rsidRPr="00AA4677" w:rsidRDefault="00B72AC3">
      <w:pPr>
        <w:pStyle w:val="ListParagraph"/>
        <w:numPr>
          <w:ilvl w:val="2"/>
          <w:numId w:val="188"/>
        </w:numPr>
        <w:ind w:left="1080"/>
        <w:rPr>
          <w:rFonts w:cs="Calibri"/>
          <w:shd w:val="clear" w:color="auto" w:fill="FFFFFF"/>
        </w:rPr>
      </w:pPr>
      <w:r w:rsidRPr="00AA4677">
        <w:rPr>
          <w:rFonts w:cs="Calibri"/>
          <w:shd w:val="clear" w:color="auto" w:fill="FFFFFF"/>
        </w:rPr>
        <w:t xml:space="preserve">the protocol for the collection of genomic and phenotypic data is consistent with human subjects </w:t>
      </w:r>
      <w:proofErr w:type="gramStart"/>
      <w:r w:rsidRPr="00AA4677">
        <w:rPr>
          <w:rFonts w:cs="Calibri"/>
          <w:shd w:val="clear" w:color="auto" w:fill="FFFFFF"/>
        </w:rPr>
        <w:t>regulations;</w:t>
      </w:r>
      <w:proofErr w:type="gramEnd"/>
      <w:r w:rsidRPr="00AA4677">
        <w:rPr>
          <w:rFonts w:cs="Calibri"/>
          <w:shd w:val="clear" w:color="auto" w:fill="FFFFFF"/>
        </w:rPr>
        <w:t xml:space="preserve">  </w:t>
      </w:r>
    </w:p>
    <w:p w14:paraId="0F292C2C" w14:textId="77777777" w:rsidR="00B72AC3" w:rsidRPr="00AA4677" w:rsidRDefault="00B72AC3">
      <w:pPr>
        <w:pStyle w:val="ListParagraph"/>
        <w:numPr>
          <w:ilvl w:val="2"/>
          <w:numId w:val="188"/>
        </w:numPr>
        <w:ind w:left="1080"/>
        <w:rPr>
          <w:rFonts w:cs="Calibri"/>
          <w:shd w:val="clear" w:color="auto" w:fill="FFFFFF"/>
        </w:rPr>
      </w:pPr>
      <w:r w:rsidRPr="00AA4677">
        <w:rPr>
          <w:rFonts w:cs="Calibri"/>
          <w:shd w:val="clear" w:color="auto" w:fill="FFFFFF"/>
        </w:rPr>
        <w:t xml:space="preserve">data submission and subsequent data sharing for research purposes are consistent with the informed consent of study participants from whom the data were </w:t>
      </w:r>
      <w:proofErr w:type="gramStart"/>
      <w:r w:rsidRPr="00AA4677">
        <w:rPr>
          <w:rFonts w:cs="Calibri"/>
          <w:shd w:val="clear" w:color="auto" w:fill="FFFFFF"/>
        </w:rPr>
        <w:t>obtained;</w:t>
      </w:r>
      <w:proofErr w:type="gramEnd"/>
      <w:r w:rsidRPr="00AA4677">
        <w:rPr>
          <w:rFonts w:cs="Calibri"/>
          <w:shd w:val="clear" w:color="auto" w:fill="FFFFFF"/>
        </w:rPr>
        <w:t xml:space="preserve"> </w:t>
      </w:r>
    </w:p>
    <w:p w14:paraId="3990461D" w14:textId="77777777" w:rsidR="00B72AC3" w:rsidRPr="00AA4677" w:rsidRDefault="00B72AC3">
      <w:pPr>
        <w:pStyle w:val="ListParagraph"/>
        <w:numPr>
          <w:ilvl w:val="2"/>
          <w:numId w:val="188"/>
        </w:numPr>
        <w:ind w:left="1080"/>
        <w:rPr>
          <w:rFonts w:cs="Calibri"/>
          <w:shd w:val="clear" w:color="auto" w:fill="FFFFFF"/>
        </w:rPr>
      </w:pPr>
      <w:r w:rsidRPr="00AA4677">
        <w:rPr>
          <w:rFonts w:cs="Calibri"/>
          <w:shd w:val="clear" w:color="auto" w:fill="FFFFFF"/>
        </w:rPr>
        <w:t>consideration was given to the risks to participants and their families, and, to the extent relevant and possible, to groups or populations associated with the submission and subsequent sharing of the data; and</w:t>
      </w:r>
    </w:p>
    <w:p w14:paraId="6EDE8DDD" w14:textId="77777777" w:rsidR="00B72AC3" w:rsidRPr="00AA4677" w:rsidRDefault="00B72AC3">
      <w:pPr>
        <w:pStyle w:val="ListParagraph"/>
        <w:numPr>
          <w:ilvl w:val="2"/>
          <w:numId w:val="188"/>
        </w:numPr>
        <w:ind w:left="1080"/>
        <w:rPr>
          <w:rFonts w:cs="Calibri"/>
          <w:shd w:val="clear" w:color="auto" w:fill="FFFFFF"/>
        </w:rPr>
      </w:pPr>
      <w:r w:rsidRPr="00AA4677">
        <w:rPr>
          <w:rFonts w:cs="Calibri"/>
          <w:shd w:val="clear" w:color="auto" w:fill="FFFFFF"/>
        </w:rPr>
        <w:t>that the investigator’s plan for de-identifying datasets is consistent with the standards outlined in the NIH Genomic Data Sharing (GDS) Policy.</w:t>
      </w:r>
    </w:p>
    <w:p w14:paraId="6AF5547D" w14:textId="77777777" w:rsidR="00B72AC3" w:rsidRPr="00AA4677" w:rsidRDefault="00B72AC3">
      <w:pPr>
        <w:pStyle w:val="ListParagraph"/>
        <w:numPr>
          <w:ilvl w:val="0"/>
          <w:numId w:val="188"/>
        </w:numPr>
        <w:ind w:left="360"/>
        <w:rPr>
          <w:rFonts w:cs="Calibri"/>
          <w:shd w:val="clear" w:color="auto" w:fill="FFFFFF"/>
        </w:rPr>
      </w:pPr>
      <w:r w:rsidRPr="00AA4677">
        <w:rPr>
          <w:rFonts w:cs="Calibri"/>
          <w:b/>
          <w:shd w:val="clear" w:color="auto" w:fill="FFFFFF"/>
        </w:rPr>
        <w:t>In situations where the sharing of human data is not possible</w:t>
      </w:r>
      <w:r w:rsidRPr="00AA4677">
        <w:rPr>
          <w:rFonts w:cs="Calibri"/>
          <w:shd w:val="clear" w:color="auto" w:fill="FFFFFF"/>
        </w:rPr>
        <w:t xml:space="preserve"> (i.e., the Institutional Certification criteria cannot be met), a justification is required to explain why these data cannot be shared, and an alternative data sharing plan will need to be provided.  Exceptions to NIH expectations for data submission to an NIH-designated data repository will be considered on a case-by-case basis by the NIH funding Institute or Center (IC).  </w:t>
      </w:r>
    </w:p>
    <w:p w14:paraId="60B72D54" w14:textId="7ACF2C99" w:rsidR="00B72AC3" w:rsidRPr="00AA4677" w:rsidRDefault="00B72AC3" w:rsidP="00B72AC3">
      <w:pPr>
        <w:rPr>
          <w:rFonts w:cs="Calibri"/>
          <w:shd w:val="clear" w:color="auto" w:fill="FFFFFF"/>
        </w:rPr>
      </w:pPr>
      <w:r w:rsidRPr="00AA4677">
        <w:rPr>
          <w:rFonts w:cs="Calibri"/>
          <w:shd w:val="clear" w:color="auto" w:fill="FFFFFF"/>
        </w:rPr>
        <w:t>Investigators who wish to use controlled-access human genomic data from NIH-designated data repositories (e.g., dbGaP</w:t>
      </w:r>
      <w:proofErr w:type="gramStart"/>
      <w:r w:rsidRPr="00AA4677">
        <w:rPr>
          <w:rFonts w:cs="Calibri"/>
          <w:shd w:val="clear" w:color="auto" w:fill="FFFFFF"/>
        </w:rPr>
        <w:t>) should</w:t>
      </w:r>
      <w:proofErr w:type="gramEnd"/>
      <w:r w:rsidRPr="00AA4677">
        <w:rPr>
          <w:rFonts w:cs="Calibri"/>
          <w:shd w:val="clear" w:color="auto" w:fill="FFFFFF"/>
        </w:rPr>
        <w:t xml:space="preserve"> briefly address their plans for requesting access to the data and state their intention to abide by the NIH Genomic Data User Code of Conduct in the Research Plan of the application. The code of conduct is available here: </w:t>
      </w:r>
      <w:hyperlink r:id="rId160" w:history="1">
        <w:r w:rsidRPr="00696B35">
          <w:rPr>
            <w:rStyle w:val="Hyperlink"/>
            <w:rFonts w:cs="Calibri"/>
            <w:shd w:val="clear" w:color="auto" w:fill="FFFFFF"/>
          </w:rPr>
          <w:t>https://osp.od.nih.gov/wp-content/uploads/Genomic_Data_User_Code_of_Conduct.pdf</w:t>
        </w:r>
      </w:hyperlink>
      <w:r w:rsidRPr="00AA4677">
        <w:rPr>
          <w:rFonts w:cs="Calibri"/>
          <w:shd w:val="clear" w:color="auto" w:fill="FFFFFF"/>
        </w:rPr>
        <w:t xml:space="preserve">. Access to controlled-access data is dependent on an approval process that involves the relevant NIH Data Access Committee(s). Applicants may wish to secure access to the data prior to submitting their application for NIH </w:t>
      </w:r>
      <w:r w:rsidRPr="00AA4677">
        <w:rPr>
          <w:rFonts w:cs="Calibri"/>
          <w:shd w:val="clear" w:color="auto" w:fill="FFFFFF"/>
        </w:rPr>
        <w:lastRenderedPageBreak/>
        <w:t>support.  Secondary users of controlled-access data are not expected to deposit their findings into NIH-designated data repositories, unless appropriate.</w:t>
      </w:r>
    </w:p>
    <w:p w14:paraId="6E52DB56" w14:textId="77777777" w:rsidR="00B72AC3" w:rsidRPr="00AA4677" w:rsidRDefault="00B72AC3" w:rsidP="00B72AC3">
      <w:pPr>
        <w:rPr>
          <w:rFonts w:cs="Calibri"/>
          <w:shd w:val="clear" w:color="auto" w:fill="FFFFFF"/>
        </w:rPr>
      </w:pPr>
      <w:r w:rsidRPr="00AA4677">
        <w:rPr>
          <w:rFonts w:cs="Calibri"/>
          <w:shd w:val="clear" w:color="auto" w:fill="FFFFFF"/>
        </w:rPr>
        <w:t>Investigators who wish to use/download data NIH unrestricted-access repositories should not attempt to identify individual human research participants from whom the data were obtained, and, in all oral and written presentations, disclosures, or publications, acknowledge the specific dataset or accession numbers and the repository through which the data were accessed.</w:t>
      </w:r>
    </w:p>
    <w:p w14:paraId="7CDE1B07" w14:textId="66F4B852" w:rsidR="00B72AC3" w:rsidRPr="00AA4677" w:rsidRDefault="00B72AC3" w:rsidP="00B72AC3">
      <w:pPr>
        <w:rPr>
          <w:rFonts w:cs="Calibri"/>
          <w:shd w:val="clear" w:color="auto" w:fill="FFFFFF"/>
        </w:rPr>
      </w:pPr>
      <w:r w:rsidRPr="00AA4677">
        <w:rPr>
          <w:rFonts w:cs="Calibri"/>
          <w:shd w:val="clear" w:color="auto" w:fill="FFFFFF"/>
        </w:rPr>
        <w:t xml:space="preserve">Procedures for submitting data into, or requesting access for data from an NIH-designated repository, are available here: </w:t>
      </w:r>
      <w:hyperlink r:id="rId161" w:history="1">
        <w:r w:rsidRPr="00696B35">
          <w:rPr>
            <w:rStyle w:val="Hyperlink"/>
            <w:rFonts w:cs="Calibri"/>
            <w:shd w:val="clear" w:color="auto" w:fill="FFFFFF"/>
          </w:rPr>
          <w:t>https://osp.od.nih.gov/scientific-sharing/researchers-institutional-certifications/</w:t>
        </w:r>
      </w:hyperlink>
      <w:r w:rsidRPr="00AA4677">
        <w:rPr>
          <w:rStyle w:val="CommentReference"/>
        </w:rPr>
        <w:t>.</w:t>
      </w:r>
    </w:p>
    <w:p w14:paraId="47801395" w14:textId="4A6D5FE0" w:rsidR="008E550A" w:rsidRPr="00AA4677" w:rsidRDefault="00675799" w:rsidP="00785476">
      <w:pPr>
        <w:pStyle w:val="Heading1"/>
      </w:pPr>
      <w:bookmarkStart w:id="370" w:name="_Toc192678287"/>
      <w:bookmarkStart w:id="371" w:name="_Hlk160541588"/>
      <w:r w:rsidRPr="00AA4677">
        <w:t xml:space="preserve">17.13 </w:t>
      </w:r>
      <w:r w:rsidR="008E550A" w:rsidRPr="00AA4677">
        <w:t>NIH Data Management and Sharing Policy</w:t>
      </w:r>
      <w:bookmarkEnd w:id="370"/>
    </w:p>
    <w:p w14:paraId="5BB58775" w14:textId="77777777" w:rsidR="00C24F6A" w:rsidRPr="00AA4677" w:rsidRDefault="00C24F6A" w:rsidP="00E14B38">
      <w:pPr>
        <w:shd w:val="clear" w:color="auto" w:fill="FFFFFF"/>
        <w:spacing w:after="0" w:line="240" w:lineRule="auto"/>
        <w:rPr>
          <w:rFonts w:cstheme="minorHAnsi"/>
        </w:rPr>
      </w:pPr>
    </w:p>
    <w:p w14:paraId="41321520" w14:textId="690761E6" w:rsidR="008E550A" w:rsidRPr="00AA4677" w:rsidRDefault="008E550A" w:rsidP="00E14B38">
      <w:pPr>
        <w:shd w:val="clear" w:color="auto" w:fill="FFFFFF"/>
        <w:spacing w:after="0" w:line="240" w:lineRule="auto"/>
        <w:rPr>
          <w:rFonts w:cstheme="minorHAnsi"/>
          <w:color w:val="222222"/>
        </w:rPr>
      </w:pPr>
      <w:r w:rsidRPr="00AA4677">
        <w:rPr>
          <w:rFonts w:cstheme="minorHAnsi"/>
        </w:rPr>
        <w:t>Th</w:t>
      </w:r>
      <w:r w:rsidR="00C64B17" w:rsidRPr="00AA4677">
        <w:rPr>
          <w:rFonts w:cstheme="minorHAnsi"/>
        </w:rPr>
        <w:t>e</w:t>
      </w:r>
      <w:r w:rsidR="00C24F6A" w:rsidRPr="00AA4677">
        <w:rPr>
          <w:rFonts w:cstheme="minorHAnsi"/>
        </w:rPr>
        <w:t xml:space="preserve"> NIH Data Management and Sharing</w:t>
      </w:r>
      <w:r w:rsidRPr="00AA4677">
        <w:rPr>
          <w:rFonts w:cstheme="minorHAnsi"/>
        </w:rPr>
        <w:t xml:space="preserve"> </w:t>
      </w:r>
      <w:r w:rsidR="00C24F6A" w:rsidRPr="00AA4677">
        <w:rPr>
          <w:rFonts w:cstheme="minorHAnsi"/>
        </w:rPr>
        <w:t>P</w:t>
      </w:r>
      <w:r w:rsidRPr="00AA4677">
        <w:rPr>
          <w:rFonts w:cstheme="minorHAnsi"/>
        </w:rPr>
        <w:t>olicy applies only to research grants, not training grants, fellowships, infrastructure grants, instrument grants, nor non-copetitive renewals. The policy d</w:t>
      </w:r>
      <w:r w:rsidRPr="00AA4677">
        <w:rPr>
          <w:rFonts w:cstheme="minorHAnsi"/>
          <w:color w:val="222222"/>
        </w:rPr>
        <w:t>ictates how data generated using support from these grants must be managed and shared. </w:t>
      </w:r>
      <w:r w:rsidRPr="00AA4677">
        <w:rPr>
          <w:rStyle w:val="Strong"/>
          <w:rFonts w:cstheme="minorHAnsi"/>
          <w:color w:val="222222"/>
        </w:rPr>
        <w:t>Scientific Data is defined as </w:t>
      </w:r>
      <w:r w:rsidRPr="00AA4677">
        <w:rPr>
          <w:rStyle w:val="Emphasis"/>
          <w:rFonts w:cstheme="minorHAnsi"/>
          <w:b/>
          <w:bCs/>
          <w:color w:val="222222"/>
        </w:rPr>
        <w:t>“</w:t>
      </w:r>
      <w:r w:rsidRPr="00AA4677">
        <w:rPr>
          <w:rStyle w:val="Strong"/>
          <w:rFonts w:cstheme="minorHAnsi"/>
          <w:color w:val="222222"/>
        </w:rPr>
        <w:t>recorded factual material commonly accepted in the scientific community as of sufficient quality to validate and replicate research findings, regardless of whether the data are used to support scholarly publications.</w:t>
      </w:r>
      <w:r w:rsidRPr="00AA4677">
        <w:rPr>
          <w:rStyle w:val="Emphasis"/>
          <w:rFonts w:cstheme="minorHAnsi"/>
          <w:b/>
          <w:bCs/>
          <w:color w:val="222222"/>
        </w:rPr>
        <w:t>”</w:t>
      </w:r>
      <w:r w:rsidRPr="00AA4677">
        <w:rPr>
          <w:rFonts w:cstheme="minorHAnsi"/>
          <w:color w:val="222222"/>
        </w:rPr>
        <w:t> The NIH definition excludes “data not necessary (or of sufficient quality) to validate and replicate research findings”, laboratory notebooks,</w:t>
      </w:r>
      <w:r w:rsidR="00755C63" w:rsidRPr="00AA4677">
        <w:rPr>
          <w:rFonts w:cstheme="minorHAnsi"/>
          <w:color w:val="222222"/>
        </w:rPr>
        <w:t xml:space="preserve"> preliminary analyses, completed case report forms, peer reviews, communications wlith colleagues</w:t>
      </w:r>
      <w:r w:rsidRPr="00AA4677">
        <w:rPr>
          <w:rFonts w:cstheme="minorHAnsi"/>
          <w:color w:val="222222"/>
        </w:rPr>
        <w:t>, and physical objects.</w:t>
      </w:r>
    </w:p>
    <w:p w14:paraId="50C09CCF" w14:textId="033B921C" w:rsidR="00C64B17" w:rsidRPr="00AA4677" w:rsidRDefault="00C64B17" w:rsidP="00E14B38">
      <w:pPr>
        <w:shd w:val="clear" w:color="auto" w:fill="FFFFFF"/>
        <w:spacing w:after="0" w:line="240" w:lineRule="auto"/>
        <w:rPr>
          <w:rFonts w:cstheme="minorHAnsi"/>
          <w:color w:val="222222"/>
        </w:rPr>
      </w:pPr>
      <w:r w:rsidRPr="00AA4677">
        <w:t>The Data Management and Sharing policy encourages respect for participants by requiring researchers /award recipients to:</w:t>
      </w:r>
    </w:p>
    <w:p w14:paraId="64218780" w14:textId="7B92D0AB" w:rsidR="008E550A" w:rsidRPr="00AA4677" w:rsidRDefault="008E550A">
      <w:pPr>
        <w:numPr>
          <w:ilvl w:val="0"/>
          <w:numId w:val="333"/>
        </w:numPr>
        <w:shd w:val="clear" w:color="auto" w:fill="FFFFFF"/>
        <w:tabs>
          <w:tab w:val="clear" w:pos="720"/>
          <w:tab w:val="num" w:pos="360"/>
        </w:tabs>
        <w:spacing w:after="0" w:line="240" w:lineRule="auto"/>
        <w:ind w:left="360"/>
        <w:rPr>
          <w:rFonts w:cstheme="minorHAnsi"/>
          <w:color w:val="222222"/>
          <w:szCs w:val="24"/>
        </w:rPr>
      </w:pPr>
      <w:r w:rsidRPr="00AA4677">
        <w:rPr>
          <w:rFonts w:cstheme="minorHAnsi"/>
          <w:color w:val="222222"/>
          <w:szCs w:val="24"/>
        </w:rPr>
        <w:t>Address data management and sharing plans during the informed consent process to ensure prospective participants understand how their data will be managed and shared. The</w:t>
      </w:r>
      <w:r w:rsidR="00755C63" w:rsidRPr="00AA4677">
        <w:rPr>
          <w:rFonts w:cstheme="minorHAnsi"/>
          <w:color w:val="222222"/>
          <w:szCs w:val="24"/>
        </w:rPr>
        <w:t xml:space="preserve"> Human Research Protection Program consent template </w:t>
      </w:r>
      <w:r w:rsidRPr="00AA4677">
        <w:rPr>
          <w:rFonts w:cstheme="minorHAnsi"/>
          <w:color w:val="222222"/>
          <w:szCs w:val="24"/>
        </w:rPr>
        <w:t>includes language about how deidentified information may be shared for research puposes. </w:t>
      </w:r>
    </w:p>
    <w:p w14:paraId="0A3CE013" w14:textId="7692CB6A" w:rsidR="00755C63" w:rsidRPr="00AA4677" w:rsidRDefault="00F9083B">
      <w:pPr>
        <w:numPr>
          <w:ilvl w:val="0"/>
          <w:numId w:val="333"/>
        </w:numPr>
        <w:shd w:val="clear" w:color="auto" w:fill="FFFFFF"/>
        <w:tabs>
          <w:tab w:val="clear" w:pos="720"/>
          <w:tab w:val="num" w:pos="360"/>
        </w:tabs>
        <w:spacing w:after="0" w:line="240" w:lineRule="auto"/>
        <w:ind w:left="360"/>
        <w:rPr>
          <w:rFonts w:cstheme="minorHAnsi"/>
          <w:color w:val="222222"/>
          <w:szCs w:val="24"/>
        </w:rPr>
      </w:pPr>
      <w:r w:rsidRPr="00AA4677">
        <w:rPr>
          <w:rFonts w:cstheme="minorHAnsi"/>
          <w:color w:val="222222"/>
          <w:szCs w:val="24"/>
        </w:rPr>
        <w:t>Include i</w:t>
      </w:r>
      <w:r w:rsidR="00755C63" w:rsidRPr="00AA4677">
        <w:rPr>
          <w:rFonts w:cstheme="minorHAnsi"/>
          <w:color w:val="222222"/>
          <w:szCs w:val="24"/>
        </w:rPr>
        <w:t xml:space="preserve">nformation in the myResearch IRB application that addresses limitations on future use of data </w:t>
      </w:r>
      <w:r w:rsidR="003C106E" w:rsidRPr="00AA4677">
        <w:rPr>
          <w:rFonts w:cstheme="minorHAnsi"/>
          <w:color w:val="222222"/>
          <w:szCs w:val="24"/>
        </w:rPr>
        <w:t xml:space="preserve">and data sharing as well as general </w:t>
      </w:r>
      <w:r w:rsidR="00785476" w:rsidRPr="00AA4677">
        <w:rPr>
          <w:rFonts w:cstheme="minorHAnsi"/>
          <w:color w:val="222222"/>
          <w:szCs w:val="24"/>
        </w:rPr>
        <w:t>information</w:t>
      </w:r>
      <w:r w:rsidR="003C106E" w:rsidRPr="00AA4677">
        <w:rPr>
          <w:rFonts w:cstheme="minorHAnsi"/>
          <w:color w:val="222222"/>
          <w:szCs w:val="24"/>
        </w:rPr>
        <w:t xml:space="preserve"> regarding how data will be managed</w:t>
      </w:r>
      <w:r w:rsidRPr="00AA4677">
        <w:rPr>
          <w:rFonts w:cstheme="minorHAnsi"/>
          <w:color w:val="222222"/>
          <w:szCs w:val="24"/>
        </w:rPr>
        <w:t>.</w:t>
      </w:r>
    </w:p>
    <w:p w14:paraId="75583308" w14:textId="23A10802" w:rsidR="008E550A" w:rsidRPr="00AA4677" w:rsidRDefault="008E550A">
      <w:pPr>
        <w:numPr>
          <w:ilvl w:val="0"/>
          <w:numId w:val="333"/>
        </w:numPr>
        <w:shd w:val="clear" w:color="auto" w:fill="FFFFFF"/>
        <w:tabs>
          <w:tab w:val="clear" w:pos="720"/>
          <w:tab w:val="num" w:pos="360"/>
        </w:tabs>
        <w:spacing w:after="0" w:line="240" w:lineRule="auto"/>
        <w:ind w:left="360"/>
        <w:rPr>
          <w:rFonts w:cstheme="minorHAnsi"/>
          <w:color w:val="222222"/>
          <w:szCs w:val="24"/>
        </w:rPr>
      </w:pPr>
      <w:r w:rsidRPr="00AA4677">
        <w:rPr>
          <w:rFonts w:cstheme="minorHAnsi"/>
          <w:color w:val="222222"/>
          <w:szCs w:val="24"/>
        </w:rPr>
        <w:t>Outline steps th</w:t>
      </w:r>
      <w:r w:rsidR="003C106E" w:rsidRPr="00AA4677">
        <w:rPr>
          <w:rFonts w:cstheme="minorHAnsi"/>
          <w:color w:val="222222"/>
          <w:szCs w:val="24"/>
        </w:rPr>
        <w:t>at</w:t>
      </w:r>
      <w:r w:rsidRPr="00AA4677">
        <w:rPr>
          <w:rFonts w:cstheme="minorHAnsi"/>
          <w:color w:val="222222"/>
          <w:szCs w:val="24"/>
        </w:rPr>
        <w:t xml:space="preserve"> will </w:t>
      </w:r>
      <w:r w:rsidR="003C106E" w:rsidRPr="00AA4677">
        <w:rPr>
          <w:rFonts w:cstheme="minorHAnsi"/>
          <w:color w:val="222222"/>
          <w:szCs w:val="24"/>
        </w:rPr>
        <w:t xml:space="preserve">be </w:t>
      </w:r>
      <w:r w:rsidRPr="00AA4677">
        <w:rPr>
          <w:rFonts w:cstheme="minorHAnsi"/>
          <w:color w:val="222222"/>
          <w:szCs w:val="24"/>
        </w:rPr>
        <w:t>take</w:t>
      </w:r>
      <w:r w:rsidR="003C106E" w:rsidRPr="00AA4677">
        <w:rPr>
          <w:rFonts w:cstheme="minorHAnsi"/>
          <w:color w:val="222222"/>
          <w:szCs w:val="24"/>
        </w:rPr>
        <w:t>n</w:t>
      </w:r>
      <w:r w:rsidRPr="00AA4677">
        <w:rPr>
          <w:rFonts w:cstheme="minorHAnsi"/>
          <w:color w:val="222222"/>
          <w:szCs w:val="24"/>
        </w:rPr>
        <w:t xml:space="preserve"> </w:t>
      </w:r>
      <w:proofErr w:type="gramStart"/>
      <w:r w:rsidRPr="00AA4677">
        <w:rPr>
          <w:rFonts w:cstheme="minorHAnsi"/>
          <w:color w:val="222222"/>
          <w:szCs w:val="24"/>
        </w:rPr>
        <w:t>for protecting</w:t>
      </w:r>
      <w:proofErr w:type="gramEnd"/>
      <w:r w:rsidRPr="00AA4677">
        <w:rPr>
          <w:rFonts w:cstheme="minorHAnsi"/>
          <w:color w:val="222222"/>
          <w:szCs w:val="24"/>
        </w:rPr>
        <w:t xml:space="preserve"> the privacy, rights, and confidentiality of prospective participants (i.e., through de-identification,</w:t>
      </w:r>
      <w:r w:rsidR="00755C63" w:rsidRPr="00AA4677">
        <w:rPr>
          <w:rFonts w:cstheme="minorHAnsi"/>
          <w:color w:val="222222"/>
          <w:szCs w:val="24"/>
        </w:rPr>
        <w:t xml:space="preserve"> </w:t>
      </w:r>
      <w:r w:rsidR="00755C63" w:rsidRPr="00AA4677">
        <w:t>Certificates of Confidentiality</w:t>
      </w:r>
      <w:r w:rsidRPr="00AA4677">
        <w:rPr>
          <w:rFonts w:cstheme="minorHAnsi"/>
          <w:color w:val="222222"/>
          <w:szCs w:val="24"/>
        </w:rPr>
        <w:t>, and other protective measures)</w:t>
      </w:r>
      <w:r w:rsidR="00F9083B" w:rsidRPr="00AA4677">
        <w:rPr>
          <w:rFonts w:cstheme="minorHAnsi"/>
          <w:color w:val="222222"/>
          <w:szCs w:val="24"/>
        </w:rPr>
        <w:t>.</w:t>
      </w:r>
    </w:p>
    <w:p w14:paraId="53AAAB92" w14:textId="4AEBE4BD" w:rsidR="008E550A" w:rsidRPr="00AA4677" w:rsidRDefault="008E550A">
      <w:pPr>
        <w:numPr>
          <w:ilvl w:val="0"/>
          <w:numId w:val="333"/>
        </w:numPr>
        <w:shd w:val="clear" w:color="auto" w:fill="FFFFFF"/>
        <w:tabs>
          <w:tab w:val="clear" w:pos="720"/>
          <w:tab w:val="num" w:pos="360"/>
        </w:tabs>
        <w:spacing w:after="0" w:line="240" w:lineRule="auto"/>
        <w:ind w:left="360"/>
        <w:rPr>
          <w:rFonts w:cstheme="minorHAnsi"/>
          <w:color w:val="222222"/>
          <w:szCs w:val="24"/>
        </w:rPr>
      </w:pPr>
      <w:r w:rsidRPr="00AA4677">
        <w:rPr>
          <w:rFonts w:cstheme="minorHAnsi"/>
          <w:color w:val="222222"/>
          <w:szCs w:val="24"/>
        </w:rPr>
        <w:t>Assess limitations on subsequent use of data and communicate these limitations to the individuals or entities (e.g., repositories) preserving and sharing the data</w:t>
      </w:r>
      <w:r w:rsidR="00F9083B" w:rsidRPr="00AA4677">
        <w:rPr>
          <w:rFonts w:cstheme="minorHAnsi"/>
          <w:color w:val="222222"/>
          <w:szCs w:val="24"/>
        </w:rPr>
        <w:t>.</w:t>
      </w:r>
    </w:p>
    <w:p w14:paraId="792CC760" w14:textId="77777777" w:rsidR="003C106E" w:rsidRPr="00AA4677" w:rsidRDefault="008E550A" w:rsidP="00F9083B">
      <w:pPr>
        <w:shd w:val="clear" w:color="auto" w:fill="FFFFFF"/>
        <w:tabs>
          <w:tab w:val="num" w:pos="0"/>
        </w:tabs>
        <w:spacing w:after="0" w:line="240" w:lineRule="auto"/>
        <w:rPr>
          <w:rFonts w:cstheme="minorHAnsi"/>
          <w:color w:val="222222"/>
          <w:szCs w:val="24"/>
        </w:rPr>
      </w:pPr>
      <w:r w:rsidRPr="00AA4677">
        <w:rPr>
          <w:rFonts w:cstheme="minorHAnsi"/>
          <w:color w:val="222222"/>
          <w:szCs w:val="24"/>
        </w:rPr>
        <w:t>Consider whether access to shared scientific data derived from humans should be controlled, even if de-identified and lacking explicit limitations on subsequent use. Sharing via controlled access may be specified by certain funding opportunity announcements (FOAs) or the funding NIH ICO(s).</w:t>
      </w:r>
    </w:p>
    <w:p w14:paraId="1CD5EE88" w14:textId="7BD54F76" w:rsidR="003C106E" w:rsidRPr="00AA4677" w:rsidRDefault="003C106E">
      <w:pPr>
        <w:pStyle w:val="ListParagraph"/>
        <w:numPr>
          <w:ilvl w:val="0"/>
          <w:numId w:val="334"/>
        </w:numPr>
        <w:shd w:val="clear" w:color="auto" w:fill="FFFFFF"/>
        <w:tabs>
          <w:tab w:val="left" w:pos="360"/>
        </w:tabs>
        <w:spacing w:after="0" w:line="240" w:lineRule="auto"/>
        <w:ind w:left="360"/>
        <w:rPr>
          <w:rFonts w:cstheme="minorHAnsi"/>
          <w:color w:val="222222"/>
          <w:szCs w:val="24"/>
        </w:rPr>
      </w:pPr>
      <w:r w:rsidRPr="00AA4677">
        <w:rPr>
          <w:rFonts w:cstheme="minorHAnsi"/>
          <w:color w:val="212529"/>
        </w:rPr>
        <w:lastRenderedPageBreak/>
        <w:t>Assess sharing participants’ scientific data through controlled-access repositories if data could be considered sensitive, such as including information regarding potentially stigmatizing traits, illegal behaviors, or other information that could be perceived as causing group harm or used for discriminatory purposes. Sensitive data may also include data from individuals, groups, or populations with unique attributes that increase the risk of re-identification. Even if data are sensitive, it may be possible to de-identify the data in ways that would allow appropriate</w:t>
      </w:r>
      <w:r w:rsidR="006A750A" w:rsidRPr="00AA4677">
        <w:rPr>
          <w:rFonts w:cstheme="minorHAnsi"/>
          <w:color w:val="212529"/>
        </w:rPr>
        <w:t xml:space="preserve"> </w:t>
      </w:r>
      <w:r w:rsidRPr="00AA4677">
        <w:rPr>
          <w:rFonts w:cstheme="minorHAnsi"/>
          <w:color w:val="212529"/>
        </w:rPr>
        <w:t>sharing. When possible, researchers are encouraged to engage with communities affected by sharing sensitive data to discuss approaches for appropriate use and risk mitigation.</w:t>
      </w:r>
    </w:p>
    <w:p w14:paraId="28DACB6D" w14:textId="77777777" w:rsidR="006A750A" w:rsidRPr="00AA4677" w:rsidRDefault="006A750A" w:rsidP="006A750A">
      <w:pPr>
        <w:shd w:val="clear" w:color="auto" w:fill="FFFFFF"/>
        <w:spacing w:after="0" w:line="240" w:lineRule="auto"/>
        <w:rPr>
          <w:rFonts w:cstheme="minorHAnsi"/>
          <w:color w:val="212529"/>
        </w:rPr>
      </w:pPr>
    </w:p>
    <w:p w14:paraId="4C8FDEB4" w14:textId="41565A81" w:rsidR="006A750A" w:rsidRPr="00AA4677" w:rsidRDefault="006A750A" w:rsidP="006A750A">
      <w:pPr>
        <w:shd w:val="clear" w:color="auto" w:fill="FFFFFF"/>
        <w:spacing w:after="0" w:line="240" w:lineRule="auto"/>
        <w:rPr>
          <w:rFonts w:cstheme="minorHAnsi"/>
          <w:color w:val="212529"/>
        </w:rPr>
      </w:pPr>
      <w:r w:rsidRPr="00AA4677">
        <w:rPr>
          <w:rFonts w:cstheme="minorHAnsi"/>
          <w:color w:val="212529"/>
        </w:rPr>
        <w:t xml:space="preserve">American Indian/Alaska Native (AI/AN) communities bear a significant burden of health disparities, yet there remains a lack of meaningful research to alleviate this burden. Inclusivity of AI/AN </w:t>
      </w:r>
      <w:proofErr w:type="gramStart"/>
      <w:r w:rsidRPr="00AA4677">
        <w:rPr>
          <w:rFonts w:cstheme="minorHAnsi"/>
          <w:color w:val="212529"/>
        </w:rPr>
        <w:t>communities</w:t>
      </w:r>
      <w:proofErr w:type="gramEnd"/>
      <w:r w:rsidRPr="00AA4677">
        <w:rPr>
          <w:rFonts w:cstheme="minorHAnsi"/>
          <w:color w:val="212529"/>
        </w:rPr>
        <w:t xml:space="preserve"> in biomedical research is essential for benefitting from research outcomes, developing prevention and treatment strategies responsive to AI/AN community members’ health needs, and learning from these communities’ strengths and resiliencies. NIH is committed to supporting trustworthy and responsible biomedical research practices, prioritizing research participants as partners in the research enterprise, and supporting respectful, sustained relationships with AI/AN Tribes. Below are some best practices to consider when developing research studies with AI/AN participants.</w:t>
      </w:r>
    </w:p>
    <w:p w14:paraId="6F34AF61" w14:textId="4F2B44E7" w:rsidR="006A750A" w:rsidRPr="00AA4677" w:rsidRDefault="006A750A">
      <w:pPr>
        <w:pStyle w:val="ListParagraph"/>
        <w:numPr>
          <w:ilvl w:val="0"/>
          <w:numId w:val="334"/>
        </w:numPr>
        <w:shd w:val="clear" w:color="auto" w:fill="FFFFFF"/>
        <w:tabs>
          <w:tab w:val="left" w:pos="360"/>
        </w:tabs>
        <w:spacing w:after="0" w:line="240" w:lineRule="auto"/>
        <w:ind w:left="360"/>
        <w:rPr>
          <w:rFonts w:cstheme="minorHAnsi"/>
          <w:color w:val="222222"/>
          <w:szCs w:val="24"/>
        </w:rPr>
      </w:pPr>
      <w:r w:rsidRPr="00AA4677">
        <w:rPr>
          <w:rFonts w:cstheme="minorHAnsi"/>
          <w:color w:val="212529"/>
          <w:shd w:val="clear" w:color="auto" w:fill="FFFFFF"/>
        </w:rPr>
        <w:t>Understand tribal sovereignty and laws, regulations, policies, and preferences. If working with multiple Tribes, researchers should engage with each Tribe to understand their expectations before conducting research.</w:t>
      </w:r>
    </w:p>
    <w:p w14:paraId="5C2A8F90" w14:textId="560CCCD7" w:rsidR="006A750A" w:rsidRPr="00AA4677" w:rsidRDefault="006A750A">
      <w:pPr>
        <w:pStyle w:val="ListParagraph"/>
        <w:numPr>
          <w:ilvl w:val="0"/>
          <w:numId w:val="334"/>
        </w:numPr>
        <w:shd w:val="clear" w:color="auto" w:fill="FFFFFF"/>
        <w:tabs>
          <w:tab w:val="left" w:pos="360"/>
        </w:tabs>
        <w:spacing w:after="0" w:line="240" w:lineRule="auto"/>
        <w:ind w:left="360"/>
        <w:rPr>
          <w:rFonts w:cstheme="minorHAnsi"/>
          <w:szCs w:val="24"/>
        </w:rPr>
      </w:pPr>
      <w:r w:rsidRPr="00AA4677">
        <w:rPr>
          <w:rFonts w:cstheme="minorHAnsi"/>
          <w:shd w:val="clear" w:color="auto" w:fill="FFFFFF"/>
        </w:rPr>
        <w:t>Engage early with Tribes when developing a data management and sharing plan, before research begins, and continue throughout research. This is an important step toward building trust, facilitating mutually beneficial and equitable partnerships, and developing a culturally appropriate </w:t>
      </w:r>
      <w:hyperlink r:id="rId162" w:history="1">
        <w:r w:rsidRPr="00AA4677">
          <w:rPr>
            <w:rStyle w:val="Hyperlink"/>
            <w:rFonts w:cstheme="minorHAnsi"/>
            <w:color w:val="auto"/>
            <w:u w:val="none"/>
          </w:rPr>
          <w:t>Data Management and Sharing (DMS) Plan</w:t>
        </w:r>
      </w:hyperlink>
      <w:r w:rsidRPr="00AA4677">
        <w:rPr>
          <w:rFonts w:cstheme="minorHAnsi"/>
          <w:shd w:val="clear" w:color="auto" w:fill="FFFFFF"/>
        </w:rPr>
        <w:t>.</w:t>
      </w:r>
    </w:p>
    <w:p w14:paraId="6A15DEA6" w14:textId="6EECA18B" w:rsidR="006A750A" w:rsidRPr="00AA4677" w:rsidRDefault="006A750A">
      <w:pPr>
        <w:pStyle w:val="ListParagraph"/>
        <w:numPr>
          <w:ilvl w:val="0"/>
          <w:numId w:val="334"/>
        </w:numPr>
        <w:shd w:val="clear" w:color="auto" w:fill="FFFFFF"/>
        <w:tabs>
          <w:tab w:val="left" w:pos="360"/>
        </w:tabs>
        <w:spacing w:after="0" w:line="240" w:lineRule="auto"/>
        <w:ind w:left="360"/>
        <w:rPr>
          <w:rFonts w:cstheme="minorHAnsi"/>
          <w:szCs w:val="24"/>
        </w:rPr>
      </w:pPr>
      <w:r w:rsidRPr="00AA4677">
        <w:rPr>
          <w:rFonts w:cstheme="minorHAnsi"/>
          <w:color w:val="212529"/>
          <w:shd w:val="clear" w:color="auto" w:fill="FFFFFF"/>
        </w:rPr>
        <w:t>Establish mutually beneficial partnerships. While the goals of a research project may be well documented, it is also important for researchers to understand the motivations and expectations of research participants/communities.</w:t>
      </w:r>
    </w:p>
    <w:p w14:paraId="41A3FB32" w14:textId="4AE0C3CA" w:rsidR="006A750A" w:rsidRPr="00AA4677" w:rsidRDefault="006A750A">
      <w:pPr>
        <w:pStyle w:val="ListParagraph"/>
        <w:numPr>
          <w:ilvl w:val="0"/>
          <w:numId w:val="334"/>
        </w:numPr>
        <w:shd w:val="clear" w:color="auto" w:fill="FFFFFF"/>
        <w:tabs>
          <w:tab w:val="left" w:pos="360"/>
        </w:tabs>
        <w:spacing w:after="0" w:line="240" w:lineRule="auto"/>
        <w:ind w:left="360"/>
        <w:rPr>
          <w:rFonts w:cstheme="minorHAnsi"/>
          <w:szCs w:val="24"/>
        </w:rPr>
      </w:pPr>
      <w:r w:rsidRPr="00AA4677">
        <w:rPr>
          <w:rFonts w:cstheme="minorHAnsi"/>
          <w:color w:val="212529"/>
          <w:shd w:val="clear" w:color="auto" w:fill="FFFFFF"/>
        </w:rPr>
        <w:t>Agree on who will manage data (e.g., Tribe, researcher, trusted 3rd party). Research agreements should describe planned data management and sharing practices, including when data sharing limitations are appropriate, to ensure mutual agreement about data management and sharing that aligns with AI/AN Tribes’ preferences.</w:t>
      </w:r>
    </w:p>
    <w:p w14:paraId="344C0783" w14:textId="668093CC" w:rsidR="006A750A" w:rsidRPr="00AA4677" w:rsidRDefault="006A750A">
      <w:pPr>
        <w:pStyle w:val="ListParagraph"/>
        <w:numPr>
          <w:ilvl w:val="0"/>
          <w:numId w:val="334"/>
        </w:numPr>
        <w:shd w:val="clear" w:color="auto" w:fill="FFFFFF"/>
        <w:tabs>
          <w:tab w:val="left" w:pos="360"/>
        </w:tabs>
        <w:spacing w:after="0" w:line="240" w:lineRule="auto"/>
        <w:ind w:left="360"/>
        <w:rPr>
          <w:rFonts w:cstheme="minorHAnsi"/>
          <w:szCs w:val="24"/>
        </w:rPr>
      </w:pPr>
      <w:r w:rsidRPr="00AA4677">
        <w:rPr>
          <w:rFonts w:cstheme="minorHAnsi"/>
          <w:color w:val="212529"/>
          <w:shd w:val="clear" w:color="auto" w:fill="FFFFFF"/>
        </w:rPr>
        <w:t xml:space="preserve">Consider additional protections, as necessary. The DMS Policy recognizes that other factors (e.g., ethical, legal, and technical) may shape permissibility of data sharing, and these factors should be described in the Plans. In addition, to mitigate the potential for group harm to AI/AN Tribes, both individual and community data </w:t>
      </w:r>
      <w:proofErr w:type="gramStart"/>
      <w:r w:rsidRPr="00AA4677">
        <w:rPr>
          <w:rFonts w:cstheme="minorHAnsi"/>
          <w:color w:val="212529"/>
          <w:shd w:val="clear" w:color="auto" w:fill="FFFFFF"/>
        </w:rPr>
        <w:t>protections</w:t>
      </w:r>
      <w:proofErr w:type="gramEnd"/>
      <w:r w:rsidRPr="00AA4677">
        <w:rPr>
          <w:rFonts w:cstheme="minorHAnsi"/>
          <w:color w:val="212529"/>
          <w:shd w:val="clear" w:color="auto" w:fill="FFFFFF"/>
        </w:rPr>
        <w:t xml:space="preserve"> (e.g., deidentification of Tribal affiliation or other group identifiers and controlled access review) should be considered.</w:t>
      </w:r>
    </w:p>
    <w:p w14:paraId="6C4F13AC" w14:textId="62886EB0" w:rsidR="008E550A" w:rsidRPr="00AA4677" w:rsidRDefault="00C64B17" w:rsidP="00E14B38">
      <w:pPr>
        <w:shd w:val="clear" w:color="auto" w:fill="FFFFFF"/>
        <w:tabs>
          <w:tab w:val="num" w:pos="0"/>
        </w:tabs>
        <w:spacing w:after="0" w:line="240" w:lineRule="auto"/>
        <w:rPr>
          <w:rFonts w:cstheme="minorHAnsi"/>
          <w:color w:val="222222"/>
          <w:szCs w:val="24"/>
        </w:rPr>
      </w:pPr>
      <w:r w:rsidRPr="004129F5">
        <w:rPr>
          <w:rFonts w:cstheme="minorHAnsi"/>
          <w:szCs w:val="24"/>
        </w:rPr>
        <w:t xml:space="preserve">NOTE: </w:t>
      </w:r>
      <w:r w:rsidR="008E550A" w:rsidRPr="004129F5">
        <w:rPr>
          <w:rFonts w:cstheme="minorHAnsi"/>
          <w:szCs w:val="24"/>
        </w:rPr>
        <w:t xml:space="preserve">Some </w:t>
      </w:r>
      <w:r w:rsidR="008E550A" w:rsidRPr="00AA4677">
        <w:rPr>
          <w:rFonts w:cstheme="minorHAnsi"/>
          <w:color w:val="222222"/>
          <w:szCs w:val="24"/>
        </w:rPr>
        <w:t>data may not be able to be shared due to justifiable ethical, legal, and technical</w:t>
      </w:r>
      <w:r w:rsidR="00E14B38" w:rsidRPr="00AA4677">
        <w:rPr>
          <w:rFonts w:cstheme="minorHAnsi"/>
          <w:color w:val="222222"/>
          <w:szCs w:val="24"/>
        </w:rPr>
        <w:t xml:space="preserve"> </w:t>
      </w:r>
      <w:r w:rsidR="008E550A" w:rsidRPr="00AA4677">
        <w:rPr>
          <w:rFonts w:cstheme="minorHAnsi"/>
          <w:color w:val="222222"/>
          <w:szCs w:val="24"/>
        </w:rPr>
        <w:t>reasons.</w:t>
      </w:r>
    </w:p>
    <w:bookmarkEnd w:id="371"/>
    <w:p w14:paraId="4A27C573" w14:textId="77777777" w:rsidR="00C24F6A" w:rsidRPr="00AA4677" w:rsidRDefault="00C24F6A" w:rsidP="00E14B38">
      <w:pPr>
        <w:shd w:val="clear" w:color="auto" w:fill="FFFFFF"/>
        <w:tabs>
          <w:tab w:val="num" w:pos="0"/>
        </w:tabs>
        <w:spacing w:after="0" w:line="240" w:lineRule="auto"/>
        <w:rPr>
          <w:rFonts w:cstheme="minorHAnsi"/>
          <w:color w:val="222222"/>
          <w:szCs w:val="24"/>
        </w:rPr>
      </w:pPr>
    </w:p>
    <w:p w14:paraId="4E463D7A" w14:textId="6D3B7825" w:rsidR="00391334" w:rsidRPr="00AA4677" w:rsidRDefault="00391334" w:rsidP="00696B35">
      <w:pPr>
        <w:pStyle w:val="Heading2"/>
      </w:pPr>
      <w:bookmarkStart w:id="372" w:name="_Toc192678288"/>
      <w:r w:rsidRPr="00AA4677">
        <w:t>17.1</w:t>
      </w:r>
      <w:r w:rsidR="00675799" w:rsidRPr="00AA4677">
        <w:t>4</w:t>
      </w:r>
      <w:r w:rsidRPr="00AA4677">
        <w:t xml:space="preserve"> ResearchMatch as a Recruitment Tool</w:t>
      </w:r>
      <w:bookmarkEnd w:id="372"/>
      <w:r w:rsidRPr="00AA4677">
        <w:t xml:space="preserve"> </w:t>
      </w:r>
    </w:p>
    <w:p w14:paraId="1C42B9A9" w14:textId="77777777" w:rsidR="005A48F3" w:rsidRPr="00AA4677" w:rsidRDefault="005A48F3" w:rsidP="00391334">
      <w:pPr>
        <w:pStyle w:val="NormalWeb"/>
        <w:spacing w:before="0" w:beforeAutospacing="0" w:after="0" w:afterAutospacing="0"/>
        <w:rPr>
          <w:rFonts w:asciiTheme="minorHAnsi" w:hAnsiTheme="minorHAnsi"/>
          <w:shd w:val="clear" w:color="auto" w:fill="FFFFFF"/>
        </w:rPr>
      </w:pPr>
    </w:p>
    <w:p w14:paraId="0A9069FA" w14:textId="01079DF0" w:rsidR="00391334" w:rsidRPr="00AA4677" w:rsidRDefault="00F87FCD" w:rsidP="00391334">
      <w:pPr>
        <w:pStyle w:val="NormalWeb"/>
        <w:spacing w:before="0" w:beforeAutospacing="0" w:after="0" w:afterAutospacing="0"/>
        <w:rPr>
          <w:rFonts w:asciiTheme="minorHAnsi" w:hAnsiTheme="minorHAnsi"/>
          <w:shd w:val="clear" w:color="auto" w:fill="FFFFFF"/>
        </w:rPr>
      </w:pPr>
      <w:r w:rsidRPr="00AA4677">
        <w:rPr>
          <w:rFonts w:asciiTheme="minorHAnsi" w:hAnsiTheme="minorHAnsi"/>
          <w:shd w:val="clear" w:color="auto" w:fill="FFFFFF"/>
        </w:rPr>
        <w:t xml:space="preserve">The University is a part of </w:t>
      </w:r>
      <w:r w:rsidR="00391334" w:rsidRPr="00AA4677">
        <w:rPr>
          <w:rFonts w:asciiTheme="minorHAnsi" w:hAnsiTheme="minorHAnsi"/>
          <w:shd w:val="clear" w:color="auto" w:fill="FFFFFF"/>
        </w:rPr>
        <w:t xml:space="preserve">ResearchMatch (RM), </w:t>
      </w:r>
      <w:r w:rsidRPr="00AA4677">
        <w:rPr>
          <w:rFonts w:asciiTheme="minorHAnsi" w:hAnsiTheme="minorHAnsi"/>
          <w:shd w:val="clear" w:color="auto" w:fill="FFFFFF"/>
        </w:rPr>
        <w:t xml:space="preserve">the national registry </w:t>
      </w:r>
      <w:r w:rsidR="00391334" w:rsidRPr="00AA4677">
        <w:rPr>
          <w:rFonts w:asciiTheme="minorHAnsi" w:hAnsiTheme="minorHAnsi"/>
          <w:shd w:val="clear" w:color="auto" w:fill="FFFFFF"/>
        </w:rPr>
        <w:t>that connects researchers with volunteers who wish to get involved in research studies. This national registry provides a secure, web-based approach to address a key barrier to advancing research: participant recruitment.</w:t>
      </w:r>
    </w:p>
    <w:p w14:paraId="3AE8F972" w14:textId="77777777" w:rsidR="00AD1C1F" w:rsidRPr="00AA4677" w:rsidRDefault="00AD1C1F" w:rsidP="00391334">
      <w:pPr>
        <w:pStyle w:val="NormalWeb"/>
        <w:spacing w:before="0" w:beforeAutospacing="0" w:after="0" w:afterAutospacing="0"/>
        <w:rPr>
          <w:rFonts w:asciiTheme="minorHAnsi" w:hAnsiTheme="minorHAnsi"/>
        </w:rPr>
      </w:pPr>
    </w:p>
    <w:p w14:paraId="5B2B4EB8" w14:textId="6C35EBB0" w:rsidR="00F87FCD" w:rsidRPr="00AA4677" w:rsidRDefault="00391334" w:rsidP="00391334">
      <w:pPr>
        <w:pStyle w:val="NormalWeb"/>
        <w:spacing w:before="0" w:beforeAutospacing="0" w:after="0" w:afterAutospacing="0"/>
        <w:rPr>
          <w:rFonts w:asciiTheme="minorHAnsi" w:hAnsiTheme="minorHAnsi"/>
          <w:shd w:val="clear" w:color="auto" w:fill="FFFFFF"/>
        </w:rPr>
      </w:pPr>
      <w:r w:rsidRPr="00AA4677">
        <w:rPr>
          <w:rFonts w:asciiTheme="minorHAnsi" w:hAnsiTheme="minorHAnsi"/>
          <w:shd w:val="clear" w:color="auto" w:fill="FFFFFF"/>
        </w:rPr>
        <w:t xml:space="preserve">This new tool allows </w:t>
      </w:r>
      <w:r w:rsidR="00F87FCD" w:rsidRPr="00AA4677">
        <w:rPr>
          <w:rFonts w:asciiTheme="minorHAnsi" w:hAnsiTheme="minorHAnsi"/>
          <w:shd w:val="clear" w:color="auto" w:fill="FFFFFF"/>
        </w:rPr>
        <w:t>investigators</w:t>
      </w:r>
      <w:r w:rsidRPr="00AA4677">
        <w:rPr>
          <w:rFonts w:asciiTheme="minorHAnsi" w:hAnsiTheme="minorHAnsi"/>
          <w:shd w:val="clear" w:color="auto" w:fill="FFFFFF"/>
        </w:rPr>
        <w:t xml:space="preserve"> to conduct targeted searches for potential volunteers based on location and specific demographics. </w:t>
      </w:r>
    </w:p>
    <w:p w14:paraId="3A34F112" w14:textId="77777777" w:rsidR="00F87FCD" w:rsidRPr="00AA4677" w:rsidRDefault="00F87FCD" w:rsidP="00391334">
      <w:pPr>
        <w:pStyle w:val="NormalWeb"/>
        <w:spacing w:before="0" w:beforeAutospacing="0" w:after="0" w:afterAutospacing="0"/>
        <w:rPr>
          <w:rFonts w:asciiTheme="minorHAnsi" w:hAnsiTheme="minorHAnsi"/>
          <w:shd w:val="clear" w:color="auto" w:fill="FFFFFF"/>
        </w:rPr>
      </w:pPr>
    </w:p>
    <w:p w14:paraId="70CBA511" w14:textId="55CBDBF0" w:rsidR="00BE30EC" w:rsidRPr="00AA4677" w:rsidRDefault="00F87FCD" w:rsidP="00391334">
      <w:pPr>
        <w:pStyle w:val="NormalWeb"/>
        <w:spacing w:before="0" w:beforeAutospacing="0" w:after="0" w:afterAutospacing="0"/>
        <w:rPr>
          <w:rFonts w:asciiTheme="minorHAnsi" w:hAnsiTheme="minorHAnsi"/>
          <w:shd w:val="clear" w:color="auto" w:fill="FFFFFF"/>
        </w:rPr>
      </w:pPr>
      <w:r w:rsidRPr="00AA4677">
        <w:rPr>
          <w:rFonts w:asciiTheme="minorHAnsi" w:hAnsiTheme="minorHAnsi"/>
          <w:shd w:val="clear" w:color="auto" w:fill="FFFFFF"/>
        </w:rPr>
        <w:t xml:space="preserve">Investigators may </w:t>
      </w:r>
      <w:r w:rsidR="00391334" w:rsidRPr="00AA4677">
        <w:rPr>
          <w:rFonts w:asciiTheme="minorHAnsi" w:hAnsiTheme="minorHAnsi"/>
          <w:shd w:val="clear" w:color="auto" w:fill="FFFFFF"/>
        </w:rPr>
        <w:t>register for feasibility access</w:t>
      </w:r>
      <w:r w:rsidRPr="00AA4677">
        <w:rPr>
          <w:rFonts w:asciiTheme="minorHAnsi" w:hAnsiTheme="minorHAnsi"/>
          <w:shd w:val="clear" w:color="auto" w:fill="FFFFFF"/>
        </w:rPr>
        <w:t xml:space="preserve"> to assess the functionality of the reg</w:t>
      </w:r>
      <w:r w:rsidR="00BE30EC" w:rsidRPr="00AA4677">
        <w:rPr>
          <w:rFonts w:asciiTheme="minorHAnsi" w:hAnsiTheme="minorHAnsi"/>
          <w:shd w:val="clear" w:color="auto" w:fill="FFFFFF"/>
        </w:rPr>
        <w:t xml:space="preserve">istry and explore the database to determine </w:t>
      </w:r>
      <w:r w:rsidR="00391334" w:rsidRPr="00AA4677">
        <w:rPr>
          <w:rFonts w:asciiTheme="minorHAnsi" w:hAnsiTheme="minorHAnsi"/>
          <w:shd w:val="clear" w:color="auto" w:fill="FFFFFF"/>
        </w:rPr>
        <w:t>how many people registered</w:t>
      </w:r>
      <w:r w:rsidRPr="00AA4677">
        <w:rPr>
          <w:rFonts w:asciiTheme="minorHAnsi" w:hAnsiTheme="minorHAnsi"/>
          <w:shd w:val="clear" w:color="auto" w:fill="FFFFFF"/>
        </w:rPr>
        <w:t xml:space="preserve"> in ResearchMatch</w:t>
      </w:r>
      <w:r w:rsidR="00391334" w:rsidRPr="00AA4677">
        <w:rPr>
          <w:rFonts w:asciiTheme="minorHAnsi" w:hAnsiTheme="minorHAnsi"/>
          <w:shd w:val="clear" w:color="auto" w:fill="FFFFFF"/>
        </w:rPr>
        <w:t xml:space="preserve"> might fit the criteria for a </w:t>
      </w:r>
      <w:r w:rsidR="00BE30EC" w:rsidRPr="00AA4677">
        <w:rPr>
          <w:rFonts w:asciiTheme="minorHAnsi" w:hAnsiTheme="minorHAnsi"/>
          <w:shd w:val="clear" w:color="auto" w:fill="FFFFFF"/>
        </w:rPr>
        <w:t xml:space="preserve">future </w:t>
      </w:r>
      <w:r w:rsidR="00391334" w:rsidRPr="00AA4677">
        <w:rPr>
          <w:rFonts w:asciiTheme="minorHAnsi" w:hAnsiTheme="minorHAnsi"/>
          <w:shd w:val="clear" w:color="auto" w:fill="FFFFFF"/>
        </w:rPr>
        <w:t>study</w:t>
      </w:r>
      <w:r w:rsidR="00BE30EC" w:rsidRPr="00AA4677">
        <w:rPr>
          <w:rFonts w:asciiTheme="minorHAnsi" w:hAnsiTheme="minorHAnsi"/>
          <w:shd w:val="clear" w:color="auto" w:fill="FFFFFF"/>
        </w:rPr>
        <w:t xml:space="preserve"> or one that is</w:t>
      </w:r>
      <w:r w:rsidR="00391334" w:rsidRPr="00AA4677">
        <w:rPr>
          <w:rFonts w:asciiTheme="minorHAnsi" w:hAnsiTheme="minorHAnsi"/>
          <w:shd w:val="clear" w:color="auto" w:fill="FFFFFF"/>
        </w:rPr>
        <w:t xml:space="preserve"> currently ongoing</w:t>
      </w:r>
      <w:r w:rsidR="00BE30EC" w:rsidRPr="00AA4677">
        <w:rPr>
          <w:rFonts w:asciiTheme="minorHAnsi" w:hAnsiTheme="minorHAnsi"/>
          <w:shd w:val="clear" w:color="auto" w:fill="FFFFFF"/>
        </w:rPr>
        <w:t>:</w:t>
      </w:r>
    </w:p>
    <w:p w14:paraId="613E47CD" w14:textId="08C163ED" w:rsidR="00391334" w:rsidRPr="00AA4677" w:rsidRDefault="00391334" w:rsidP="00391334">
      <w:pPr>
        <w:pStyle w:val="NormalWeb"/>
        <w:spacing w:before="0" w:beforeAutospacing="0" w:after="0" w:afterAutospacing="0"/>
        <w:rPr>
          <w:rFonts w:asciiTheme="minorHAnsi" w:hAnsiTheme="minorHAnsi"/>
        </w:rPr>
      </w:pPr>
    </w:p>
    <w:p w14:paraId="2D557537" w14:textId="2576B255" w:rsidR="00391334" w:rsidRPr="00AA4677" w:rsidRDefault="00391334" w:rsidP="000D48AF">
      <w:pPr>
        <w:pStyle w:val="NormalWeb"/>
        <w:spacing w:before="0" w:beforeAutospacing="0" w:after="0" w:afterAutospacing="0"/>
        <w:ind w:left="360" w:hanging="360"/>
        <w:rPr>
          <w:rStyle w:val="Hyperlink"/>
          <w:rFonts w:asciiTheme="minorHAnsi" w:hAnsiTheme="minorHAnsi"/>
          <w:color w:val="auto"/>
          <w:u w:val="none"/>
          <w:shd w:val="clear" w:color="auto" w:fill="FFFFFF"/>
        </w:rPr>
      </w:pPr>
      <w:r w:rsidRPr="00AA4677">
        <w:rPr>
          <w:rFonts w:asciiTheme="minorHAnsi" w:hAnsiTheme="minorHAnsi"/>
          <w:shd w:val="clear" w:color="auto" w:fill="FFFFFF"/>
        </w:rPr>
        <w:t>1. Go to</w:t>
      </w:r>
      <w:r w:rsidR="00AD1C1F" w:rsidRPr="00AA4677">
        <w:rPr>
          <w:rFonts w:asciiTheme="minorHAnsi" w:hAnsiTheme="minorHAnsi"/>
          <w:shd w:val="clear" w:color="auto" w:fill="FFFFFF"/>
        </w:rPr>
        <w:t xml:space="preserve"> </w:t>
      </w:r>
      <w:hyperlink r:id="rId163" w:history="1">
        <w:r w:rsidR="00AD1C1F" w:rsidRPr="00696B35">
          <w:rPr>
            <w:rStyle w:val="Hyperlink"/>
            <w:rFonts w:asciiTheme="minorHAnsi" w:hAnsiTheme="minorHAnsi" w:cstheme="minorHAnsi"/>
            <w:bCs/>
            <w:bdr w:val="none" w:sz="0" w:space="0" w:color="auto" w:frame="1"/>
          </w:rPr>
          <w:t>https://www.researchmatch.org/</w:t>
        </w:r>
      </w:hyperlink>
    </w:p>
    <w:p w14:paraId="427E8E7B" w14:textId="77777777" w:rsidR="00391334" w:rsidRPr="00AA4677" w:rsidRDefault="00391334" w:rsidP="000D48AF">
      <w:pPr>
        <w:pStyle w:val="NormalWeb"/>
        <w:spacing w:before="0" w:beforeAutospacing="0" w:after="0" w:afterAutospacing="0"/>
        <w:ind w:left="360" w:hanging="360"/>
        <w:rPr>
          <w:rFonts w:asciiTheme="minorHAnsi" w:hAnsiTheme="minorHAnsi"/>
        </w:rPr>
      </w:pPr>
      <w:r w:rsidRPr="00AA4677">
        <w:rPr>
          <w:rFonts w:asciiTheme="minorHAnsi" w:hAnsiTheme="minorHAnsi"/>
          <w:shd w:val="clear" w:color="auto" w:fill="FFFFFF"/>
        </w:rPr>
        <w:t>2. Click “Researchers” at the top of the page</w:t>
      </w:r>
    </w:p>
    <w:p w14:paraId="0C2CD3D0" w14:textId="77777777" w:rsidR="00391334" w:rsidRPr="00AA4677" w:rsidRDefault="00391334" w:rsidP="000D48AF">
      <w:pPr>
        <w:pStyle w:val="NormalWeb"/>
        <w:spacing w:before="0" w:beforeAutospacing="0" w:after="0" w:afterAutospacing="0"/>
        <w:ind w:left="360" w:hanging="360"/>
        <w:rPr>
          <w:rFonts w:asciiTheme="minorHAnsi" w:hAnsiTheme="minorHAnsi"/>
        </w:rPr>
      </w:pPr>
      <w:r w:rsidRPr="00AA4677">
        <w:rPr>
          <w:rFonts w:asciiTheme="minorHAnsi" w:hAnsiTheme="minorHAnsi"/>
          <w:shd w:val="clear" w:color="auto" w:fill="FFFFFF"/>
        </w:rPr>
        <w:t>3. Green button “Register Now” (If you think you’ll need help registering, click on the tutorial link below the green button)</w:t>
      </w:r>
    </w:p>
    <w:p w14:paraId="2EC67ED9" w14:textId="77777777" w:rsidR="00391334" w:rsidRPr="00AA4677" w:rsidRDefault="00391334" w:rsidP="000D48AF">
      <w:pPr>
        <w:pStyle w:val="NormalWeb"/>
        <w:spacing w:before="0" w:beforeAutospacing="0" w:after="0" w:afterAutospacing="0"/>
        <w:ind w:left="360" w:hanging="360"/>
        <w:rPr>
          <w:rFonts w:asciiTheme="minorHAnsi" w:hAnsiTheme="minorHAnsi"/>
        </w:rPr>
      </w:pPr>
      <w:r w:rsidRPr="00AA4677">
        <w:rPr>
          <w:rFonts w:asciiTheme="minorHAnsi" w:hAnsiTheme="minorHAnsi"/>
          <w:shd w:val="clear" w:color="auto" w:fill="FFFFFF"/>
        </w:rPr>
        <w:t>4. Select “Stony Brook University” as the institution</w:t>
      </w:r>
    </w:p>
    <w:p w14:paraId="7F54D364" w14:textId="40E27014" w:rsidR="00BE30EC" w:rsidRPr="00AA4677" w:rsidRDefault="00391334" w:rsidP="000D48AF">
      <w:pPr>
        <w:pStyle w:val="NormalWeb"/>
        <w:spacing w:before="0" w:beforeAutospacing="0" w:after="0" w:afterAutospacing="0"/>
        <w:ind w:left="360" w:hanging="360"/>
        <w:rPr>
          <w:rFonts w:asciiTheme="minorHAnsi" w:hAnsiTheme="minorHAnsi"/>
          <w:shd w:val="clear" w:color="auto" w:fill="FFFFFF"/>
        </w:rPr>
      </w:pPr>
      <w:r w:rsidRPr="00AA4677">
        <w:rPr>
          <w:rFonts w:asciiTheme="minorHAnsi" w:hAnsiTheme="minorHAnsi"/>
          <w:shd w:val="clear" w:color="auto" w:fill="FFFFFF"/>
        </w:rPr>
        <w:t>5. Type in you</w:t>
      </w:r>
      <w:r w:rsidR="00BE30EC" w:rsidRPr="00AA4677">
        <w:rPr>
          <w:rFonts w:asciiTheme="minorHAnsi" w:hAnsiTheme="minorHAnsi"/>
          <w:shd w:val="clear" w:color="auto" w:fill="FFFFFF"/>
        </w:rPr>
        <w:t>r Stony Brook email address</w:t>
      </w:r>
    </w:p>
    <w:p w14:paraId="79B77738" w14:textId="77777777" w:rsidR="00391334" w:rsidRPr="00AA4677" w:rsidRDefault="00391334" w:rsidP="000D48AF">
      <w:pPr>
        <w:pStyle w:val="NormalWeb"/>
        <w:spacing w:before="0" w:beforeAutospacing="0" w:after="0" w:afterAutospacing="0"/>
        <w:ind w:left="360" w:hanging="360"/>
        <w:rPr>
          <w:rFonts w:asciiTheme="minorHAnsi" w:hAnsiTheme="minorHAnsi"/>
        </w:rPr>
      </w:pPr>
      <w:r w:rsidRPr="00AA4677">
        <w:rPr>
          <w:rFonts w:asciiTheme="minorHAnsi" w:hAnsiTheme="minorHAnsi"/>
          <w:shd w:val="clear" w:color="auto" w:fill="FFFFFF"/>
        </w:rPr>
        <w:t>6. Retrieve verification code from your email, cut and paste it into RM</w:t>
      </w:r>
    </w:p>
    <w:p w14:paraId="0E659655" w14:textId="77777777" w:rsidR="00391334" w:rsidRPr="00AA4677" w:rsidRDefault="00391334" w:rsidP="000D48AF">
      <w:pPr>
        <w:pStyle w:val="NormalWeb"/>
        <w:spacing w:before="0" w:beforeAutospacing="0" w:after="0" w:afterAutospacing="0"/>
        <w:ind w:left="360" w:hanging="360"/>
        <w:rPr>
          <w:rFonts w:asciiTheme="minorHAnsi" w:hAnsiTheme="minorHAnsi"/>
        </w:rPr>
      </w:pPr>
      <w:r w:rsidRPr="00AA4677">
        <w:rPr>
          <w:rFonts w:asciiTheme="minorHAnsi" w:hAnsiTheme="minorHAnsi"/>
          <w:shd w:val="clear" w:color="auto" w:fill="FFFFFF"/>
        </w:rPr>
        <w:t>7. Read site instructions</w:t>
      </w:r>
    </w:p>
    <w:p w14:paraId="6A44FF70" w14:textId="77777777" w:rsidR="00391334" w:rsidRPr="00AA4677" w:rsidRDefault="00391334" w:rsidP="000D48AF">
      <w:pPr>
        <w:pStyle w:val="NormalWeb"/>
        <w:spacing w:before="0" w:beforeAutospacing="0" w:after="0" w:afterAutospacing="0"/>
        <w:ind w:left="360" w:hanging="360"/>
        <w:rPr>
          <w:rFonts w:asciiTheme="minorHAnsi" w:hAnsiTheme="minorHAnsi"/>
        </w:rPr>
      </w:pPr>
      <w:r w:rsidRPr="00AA4677">
        <w:rPr>
          <w:rFonts w:asciiTheme="minorHAnsi" w:hAnsiTheme="minorHAnsi"/>
          <w:shd w:val="clear" w:color="auto" w:fill="FFFFFF"/>
        </w:rPr>
        <w:t>8. Read Researcher Acknowledgement form and “ACCEPT”</w:t>
      </w:r>
    </w:p>
    <w:p w14:paraId="3FBAE0F4" w14:textId="77777777" w:rsidR="00BE30EC" w:rsidRPr="00AA4677" w:rsidRDefault="00BE30EC" w:rsidP="00391334">
      <w:pPr>
        <w:pStyle w:val="NormalWeb"/>
        <w:spacing w:before="0" w:beforeAutospacing="0" w:after="0" w:afterAutospacing="0"/>
        <w:rPr>
          <w:rFonts w:asciiTheme="minorHAnsi" w:hAnsiTheme="minorHAnsi"/>
          <w:shd w:val="clear" w:color="auto" w:fill="FFFFFF"/>
        </w:rPr>
      </w:pPr>
    </w:p>
    <w:p w14:paraId="74084D3E" w14:textId="47E73B86" w:rsidR="00391334" w:rsidRPr="00AA4677" w:rsidRDefault="00BE30EC" w:rsidP="00391334">
      <w:pPr>
        <w:pStyle w:val="NormalWeb"/>
        <w:spacing w:before="0" w:beforeAutospacing="0" w:after="0" w:afterAutospacing="0"/>
        <w:rPr>
          <w:rFonts w:asciiTheme="minorHAnsi" w:hAnsiTheme="minorHAnsi"/>
        </w:rPr>
      </w:pPr>
      <w:r w:rsidRPr="00AA4677">
        <w:rPr>
          <w:rFonts w:asciiTheme="minorHAnsi" w:hAnsiTheme="minorHAnsi"/>
          <w:shd w:val="clear" w:color="auto" w:fill="FFFFFF"/>
        </w:rPr>
        <w:t xml:space="preserve">To use this recruitment tool, researchers are required to submit individual requests for approval by the IRB. </w:t>
      </w:r>
      <w:r w:rsidR="00391334" w:rsidRPr="00AA4677">
        <w:rPr>
          <w:rFonts w:asciiTheme="minorHAnsi" w:hAnsiTheme="minorHAnsi"/>
          <w:shd w:val="clear" w:color="auto" w:fill="FFFFFF"/>
        </w:rPr>
        <w:t xml:space="preserve">The “ResearchMatch Recruitment Method Instructions”, available in the </w:t>
      </w:r>
      <w:r w:rsidR="00DC5138" w:rsidRPr="00AA4677">
        <w:rPr>
          <w:rFonts w:asciiTheme="minorHAnsi" w:hAnsiTheme="minorHAnsi"/>
          <w:shd w:val="clear" w:color="auto" w:fill="FFFFFF"/>
        </w:rPr>
        <w:t>electronic management system</w:t>
      </w:r>
      <w:r w:rsidRPr="00AA4677">
        <w:rPr>
          <w:rFonts w:asciiTheme="minorHAnsi" w:hAnsiTheme="minorHAnsi"/>
          <w:shd w:val="clear" w:color="auto" w:fill="FFFFFF"/>
        </w:rPr>
        <w:t xml:space="preserve"> library,</w:t>
      </w:r>
      <w:r w:rsidR="00391334" w:rsidRPr="00AA4677">
        <w:rPr>
          <w:rFonts w:asciiTheme="minorHAnsi" w:hAnsiTheme="minorHAnsi"/>
          <w:shd w:val="clear" w:color="auto" w:fill="FFFFFF"/>
        </w:rPr>
        <w:t xml:space="preserve"> provides the details for adding this recruitment method to both new and existing studies. Once you have IRB approval for your study, including an approved RM contact message, one of </w:t>
      </w:r>
      <w:r w:rsidRPr="00AA4677">
        <w:rPr>
          <w:rFonts w:asciiTheme="minorHAnsi" w:hAnsiTheme="minorHAnsi"/>
          <w:shd w:val="clear" w:color="auto" w:fill="FFFFFF"/>
        </w:rPr>
        <w:t xml:space="preserve">the </w:t>
      </w:r>
      <w:r w:rsidR="00391334" w:rsidRPr="00AA4677">
        <w:rPr>
          <w:rFonts w:asciiTheme="minorHAnsi" w:hAnsiTheme="minorHAnsi"/>
          <w:shd w:val="clear" w:color="auto" w:fill="FFFFFF"/>
        </w:rPr>
        <w:t>RM liaisons can approve your message to be sent to registered RM users (i.e., potential subjects). If a user is interested in volunteering for your study, they accept your invitation and release their information to you for direct contact.</w:t>
      </w:r>
    </w:p>
    <w:p w14:paraId="18AF421C" w14:textId="77777777" w:rsidR="005A48F3" w:rsidRPr="00AA4677" w:rsidRDefault="005A48F3" w:rsidP="00696B35">
      <w:pPr>
        <w:pStyle w:val="Heading2"/>
      </w:pPr>
    </w:p>
    <w:p w14:paraId="7BDDDEBA" w14:textId="61100DD4" w:rsidR="00DE520C" w:rsidRPr="00AA4677" w:rsidRDefault="00DE520C" w:rsidP="00696B35">
      <w:pPr>
        <w:pStyle w:val="Heading2"/>
      </w:pPr>
      <w:bookmarkStart w:id="373" w:name="_Toc192678289"/>
      <w:r w:rsidRPr="00AA4677">
        <w:t>17.1</w:t>
      </w:r>
      <w:r w:rsidR="00675799" w:rsidRPr="00AA4677">
        <w:t>5</w:t>
      </w:r>
      <w:r w:rsidRPr="00AA4677">
        <w:t xml:space="preserve"> Conducting Research in a Clinical Setting (e.g., University Hospital): Special Considerations</w:t>
      </w:r>
      <w:bookmarkEnd w:id="373"/>
    </w:p>
    <w:p w14:paraId="74CF9E28" w14:textId="77777777" w:rsidR="005A48F3" w:rsidRPr="00AA4677" w:rsidRDefault="005A48F3" w:rsidP="00C705C0">
      <w:pPr>
        <w:autoSpaceDE w:val="0"/>
        <w:autoSpaceDN w:val="0"/>
        <w:adjustRightInd w:val="0"/>
        <w:spacing w:after="0" w:line="240" w:lineRule="auto"/>
        <w:rPr>
          <w:rFonts w:cs="Times New Roman"/>
          <w:szCs w:val="24"/>
        </w:rPr>
      </w:pPr>
    </w:p>
    <w:p w14:paraId="225F829B" w14:textId="1687DA55" w:rsidR="00C705C0" w:rsidRPr="00AA4677" w:rsidRDefault="00C705C0" w:rsidP="00C705C0">
      <w:pPr>
        <w:autoSpaceDE w:val="0"/>
        <w:autoSpaceDN w:val="0"/>
        <w:adjustRightInd w:val="0"/>
        <w:spacing w:after="0" w:line="240" w:lineRule="auto"/>
        <w:rPr>
          <w:rFonts w:cs="Times New Roman"/>
          <w:szCs w:val="24"/>
        </w:rPr>
      </w:pPr>
      <w:r w:rsidRPr="00AA4677">
        <w:rPr>
          <w:rFonts w:cs="Times New Roman"/>
          <w:szCs w:val="24"/>
        </w:rPr>
        <w:t xml:space="preserve">Hospitals are unique settings in which to conduct research, as the responsibilities and priorities of research teams and clinicians must be carefully balanced when it comes to interacting with patients who may be, or may be approached </w:t>
      </w:r>
      <w:proofErr w:type="gramStart"/>
      <w:r w:rsidRPr="00AA4677">
        <w:rPr>
          <w:rFonts w:cs="Times New Roman"/>
          <w:szCs w:val="24"/>
        </w:rPr>
        <w:t>to become</w:t>
      </w:r>
      <w:proofErr w:type="gramEnd"/>
      <w:r w:rsidRPr="00AA4677">
        <w:rPr>
          <w:rFonts w:cs="Times New Roman"/>
          <w:szCs w:val="24"/>
        </w:rPr>
        <w:t xml:space="preserve">, subjects. </w:t>
      </w:r>
    </w:p>
    <w:p w14:paraId="45223725" w14:textId="77777777" w:rsidR="00C705C0" w:rsidRPr="00AA4677" w:rsidRDefault="00C705C0" w:rsidP="00C705C0">
      <w:pPr>
        <w:autoSpaceDE w:val="0"/>
        <w:autoSpaceDN w:val="0"/>
        <w:adjustRightInd w:val="0"/>
        <w:spacing w:after="0" w:line="240" w:lineRule="auto"/>
        <w:rPr>
          <w:rFonts w:cs="Times New Roman"/>
          <w:szCs w:val="24"/>
        </w:rPr>
      </w:pPr>
      <w:r w:rsidRPr="00AA4677">
        <w:rPr>
          <w:rFonts w:cs="Times New Roman"/>
          <w:szCs w:val="24"/>
        </w:rPr>
        <w:t xml:space="preserve">Key points to keep in mind are: </w:t>
      </w:r>
    </w:p>
    <w:p w14:paraId="4CAA612E" w14:textId="0519B0A9" w:rsidR="00C705C0" w:rsidRPr="00AA4677" w:rsidRDefault="00C705C0">
      <w:pPr>
        <w:pStyle w:val="ListParagraph"/>
        <w:numPr>
          <w:ilvl w:val="0"/>
          <w:numId w:val="136"/>
        </w:numPr>
        <w:autoSpaceDE w:val="0"/>
        <w:autoSpaceDN w:val="0"/>
        <w:adjustRightInd w:val="0"/>
        <w:spacing w:after="31" w:line="240" w:lineRule="auto"/>
        <w:ind w:left="360"/>
        <w:rPr>
          <w:rFonts w:cs="Times New Roman"/>
          <w:szCs w:val="24"/>
        </w:rPr>
      </w:pPr>
      <w:r w:rsidRPr="00AA4677">
        <w:rPr>
          <w:rFonts w:cs="Times New Roman"/>
          <w:szCs w:val="24"/>
        </w:rPr>
        <w:lastRenderedPageBreak/>
        <w:t xml:space="preserve">Clinical management always takes precedence over the requirements of a research protocol. </w:t>
      </w:r>
      <w:proofErr w:type="gramStart"/>
      <w:r w:rsidRPr="00AA4677">
        <w:rPr>
          <w:rFonts w:cs="Times New Roman"/>
          <w:szCs w:val="24"/>
        </w:rPr>
        <w:t>That being said, if</w:t>
      </w:r>
      <w:proofErr w:type="gramEnd"/>
      <w:r w:rsidRPr="00AA4677">
        <w:rPr>
          <w:rFonts w:cs="Times New Roman"/>
          <w:szCs w:val="24"/>
        </w:rPr>
        <w:t xml:space="preserve"> a protocol deviation occurs (whether due to competing clinical management or for any other reason), it should be reported to the IRB</w:t>
      </w:r>
      <w:r w:rsidR="00606526" w:rsidRPr="00AA4677">
        <w:rPr>
          <w:rFonts w:cs="Times New Roman"/>
          <w:szCs w:val="24"/>
        </w:rPr>
        <w:t>, as soon as possible</w:t>
      </w:r>
      <w:r w:rsidRPr="00AA4677">
        <w:rPr>
          <w:rFonts w:cs="Times New Roman"/>
          <w:szCs w:val="24"/>
        </w:rPr>
        <w:t xml:space="preserve">. </w:t>
      </w:r>
    </w:p>
    <w:p w14:paraId="3F5EFA47" w14:textId="5F960169" w:rsidR="00C705C0" w:rsidRPr="00AA4677" w:rsidRDefault="00C705C0">
      <w:pPr>
        <w:pStyle w:val="ListParagraph"/>
        <w:numPr>
          <w:ilvl w:val="0"/>
          <w:numId w:val="136"/>
        </w:numPr>
        <w:autoSpaceDE w:val="0"/>
        <w:autoSpaceDN w:val="0"/>
        <w:adjustRightInd w:val="0"/>
        <w:spacing w:after="0" w:line="240" w:lineRule="auto"/>
        <w:ind w:left="360"/>
        <w:rPr>
          <w:rFonts w:cs="Times New Roman"/>
          <w:szCs w:val="24"/>
        </w:rPr>
      </w:pPr>
      <w:r w:rsidRPr="00AA4677">
        <w:rPr>
          <w:rFonts w:cs="Times New Roman"/>
          <w:szCs w:val="24"/>
        </w:rPr>
        <w:t xml:space="preserve">Communication between researchers and clinicians is important: </w:t>
      </w:r>
    </w:p>
    <w:p w14:paraId="39B44418" w14:textId="7E36CBD0" w:rsidR="00C705C0" w:rsidRPr="00AA4677" w:rsidRDefault="00C705C0">
      <w:pPr>
        <w:pStyle w:val="ListParagraph"/>
        <w:numPr>
          <w:ilvl w:val="0"/>
          <w:numId w:val="195"/>
        </w:numPr>
        <w:autoSpaceDE w:val="0"/>
        <w:autoSpaceDN w:val="0"/>
        <w:adjustRightInd w:val="0"/>
        <w:spacing w:after="19" w:line="240" w:lineRule="auto"/>
        <w:ind w:left="720"/>
        <w:rPr>
          <w:rFonts w:cs="Times New Roman"/>
          <w:szCs w:val="24"/>
        </w:rPr>
      </w:pPr>
      <w:r w:rsidRPr="00AA4677">
        <w:rPr>
          <w:rFonts w:cs="Times New Roman"/>
          <w:szCs w:val="24"/>
        </w:rPr>
        <w:t xml:space="preserve">Researchers should consult with the patient's nurse or other health care provider before approaching the patient for recruitment, consent process, or for the conduct of research procedures. </w:t>
      </w:r>
    </w:p>
    <w:p w14:paraId="53A51F70" w14:textId="78287110" w:rsidR="00C705C0" w:rsidRPr="00AA4677" w:rsidRDefault="00C705C0">
      <w:pPr>
        <w:pStyle w:val="ListParagraph"/>
        <w:numPr>
          <w:ilvl w:val="0"/>
          <w:numId w:val="195"/>
        </w:numPr>
        <w:autoSpaceDE w:val="0"/>
        <w:autoSpaceDN w:val="0"/>
        <w:adjustRightInd w:val="0"/>
        <w:spacing w:after="19" w:line="240" w:lineRule="auto"/>
        <w:ind w:left="720"/>
        <w:rPr>
          <w:rFonts w:cs="Times New Roman"/>
          <w:szCs w:val="24"/>
        </w:rPr>
      </w:pPr>
      <w:r w:rsidRPr="00AA4677">
        <w:rPr>
          <w:rFonts w:cs="Times New Roman"/>
          <w:szCs w:val="24"/>
        </w:rPr>
        <w:t xml:space="preserve">A copy of the research consent must be in the EMR. </w:t>
      </w:r>
    </w:p>
    <w:p w14:paraId="04302EA0" w14:textId="7610B731" w:rsidR="00C705C0" w:rsidRPr="00AA4677" w:rsidRDefault="00C705C0">
      <w:pPr>
        <w:pStyle w:val="ListParagraph"/>
        <w:numPr>
          <w:ilvl w:val="0"/>
          <w:numId w:val="195"/>
        </w:numPr>
        <w:autoSpaceDE w:val="0"/>
        <w:autoSpaceDN w:val="0"/>
        <w:adjustRightInd w:val="0"/>
        <w:spacing w:after="0" w:line="240" w:lineRule="auto"/>
        <w:ind w:left="720"/>
        <w:rPr>
          <w:rFonts w:cs="Times New Roman"/>
          <w:szCs w:val="24"/>
        </w:rPr>
      </w:pPr>
      <w:r w:rsidRPr="00AA4677">
        <w:rPr>
          <w:rFonts w:cs="Times New Roman"/>
          <w:szCs w:val="24"/>
        </w:rPr>
        <w:t xml:space="preserve">A copy of the current protocol must be on the unit or be readily available for clinical staff to review if necessary. Cerner Powertrials should be in use by Study Coordinators to post the protocol and I/E criteria for their respective studies as well as note when a patient is a participant </w:t>
      </w:r>
      <w:proofErr w:type="gramStart"/>
      <w:r w:rsidRPr="00AA4677">
        <w:rPr>
          <w:rFonts w:cs="Times New Roman"/>
          <w:szCs w:val="24"/>
        </w:rPr>
        <w:t>on</w:t>
      </w:r>
      <w:proofErr w:type="gramEnd"/>
      <w:r w:rsidRPr="00AA4677">
        <w:rPr>
          <w:rFonts w:cs="Times New Roman"/>
          <w:szCs w:val="24"/>
        </w:rPr>
        <w:t xml:space="preserve"> a study. </w:t>
      </w:r>
    </w:p>
    <w:p w14:paraId="4779609A" w14:textId="0138A4D3" w:rsidR="00C705C0" w:rsidRPr="00AA4677" w:rsidRDefault="00C705C0">
      <w:pPr>
        <w:pStyle w:val="ListParagraph"/>
        <w:numPr>
          <w:ilvl w:val="0"/>
          <w:numId w:val="137"/>
        </w:numPr>
        <w:autoSpaceDE w:val="0"/>
        <w:autoSpaceDN w:val="0"/>
        <w:adjustRightInd w:val="0"/>
        <w:spacing w:after="33" w:line="240" w:lineRule="auto"/>
        <w:ind w:left="360"/>
        <w:rPr>
          <w:rFonts w:cs="Times New Roman"/>
          <w:szCs w:val="24"/>
        </w:rPr>
      </w:pPr>
      <w:r w:rsidRPr="00AA4677">
        <w:rPr>
          <w:rFonts w:cs="Times New Roman"/>
          <w:szCs w:val="24"/>
        </w:rPr>
        <w:t xml:space="preserve">If issues or questions arise and cannot be readily resolved, contact should be made with the unit supervisor, Assistant Director of Nursing, PI and/or treating MD. </w:t>
      </w:r>
    </w:p>
    <w:p w14:paraId="6DAE996B" w14:textId="2B76FD8C" w:rsidR="00EE4B55" w:rsidRPr="00AA4677" w:rsidRDefault="00C705C0">
      <w:pPr>
        <w:pStyle w:val="ListParagraph"/>
        <w:numPr>
          <w:ilvl w:val="0"/>
          <w:numId w:val="137"/>
        </w:numPr>
        <w:autoSpaceDE w:val="0"/>
        <w:autoSpaceDN w:val="0"/>
        <w:adjustRightInd w:val="0"/>
        <w:spacing w:after="0" w:line="240" w:lineRule="auto"/>
        <w:ind w:left="360"/>
        <w:rPr>
          <w:rFonts w:cs="Times New Roman"/>
          <w:szCs w:val="24"/>
        </w:rPr>
      </w:pPr>
      <w:r w:rsidRPr="00AA4677">
        <w:rPr>
          <w:rFonts w:cs="Times New Roman"/>
          <w:szCs w:val="24"/>
        </w:rPr>
        <w:t xml:space="preserve">All research visits must be thoroughly documented in EMR, so all parties are aware of all procedures, clinical or research that have been conducted on the patient/subject. </w:t>
      </w:r>
    </w:p>
    <w:p w14:paraId="0EE9BADB" w14:textId="77777777" w:rsidR="009D2FBB" w:rsidRPr="00AA4677" w:rsidRDefault="009D2FBB" w:rsidP="009D2FBB">
      <w:pPr>
        <w:pStyle w:val="ListParagraph"/>
        <w:autoSpaceDE w:val="0"/>
        <w:autoSpaceDN w:val="0"/>
        <w:adjustRightInd w:val="0"/>
        <w:spacing w:after="0" w:line="240" w:lineRule="auto"/>
        <w:rPr>
          <w:rFonts w:cs="Times New Roman"/>
          <w:szCs w:val="24"/>
        </w:rPr>
      </w:pPr>
    </w:p>
    <w:p w14:paraId="0A975EB1" w14:textId="58E11D4B" w:rsidR="007C6C11" w:rsidRPr="00AA4677" w:rsidRDefault="00356ED6">
      <w:pPr>
        <w:pStyle w:val="Heading1"/>
        <w:numPr>
          <w:ilvl w:val="1"/>
          <w:numId w:val="340"/>
        </w:numPr>
      </w:pPr>
      <w:bookmarkStart w:id="374" w:name="_Toc192678290"/>
      <w:r w:rsidRPr="00AA4677">
        <w:t>A</w:t>
      </w:r>
      <w:r w:rsidR="00F2286C" w:rsidRPr="00AA4677">
        <w:t>dditional Requirements for Studies Funded by the Department of Defense</w:t>
      </w:r>
      <w:bookmarkEnd w:id="374"/>
    </w:p>
    <w:p w14:paraId="57BE8F71" w14:textId="77777777" w:rsidR="00406FCE" w:rsidRPr="00AA4677" w:rsidRDefault="00406FCE" w:rsidP="00D40EFC">
      <w:pPr>
        <w:spacing w:after="0" w:line="240" w:lineRule="auto"/>
      </w:pPr>
    </w:p>
    <w:p w14:paraId="1D3F6966" w14:textId="08C66606" w:rsidR="00961BBC" w:rsidRPr="00AA4677" w:rsidRDefault="00961BBC" w:rsidP="00961BBC">
      <w:pPr>
        <w:shd w:val="clear" w:color="auto" w:fill="FFFFFF"/>
        <w:spacing w:after="0" w:line="240" w:lineRule="auto"/>
        <w:rPr>
          <w:rFonts w:cstheme="minorHAnsi"/>
          <w:szCs w:val="24"/>
        </w:rPr>
      </w:pPr>
      <w:r w:rsidRPr="00AA4677">
        <w:rPr>
          <w:rFonts w:cstheme="minorHAnsi"/>
          <w:szCs w:val="24"/>
        </w:rPr>
        <w:t xml:space="preserve">When following DoD requirements Stony Brook University complies with all requirements in Subparts B, C, and D. Research involving pregnant women, prisoners, and children are subject to the DHHS Subparts B, C, and D, except </w:t>
      </w:r>
      <w:proofErr w:type="gramStart"/>
      <w:r w:rsidRPr="00AA4677">
        <w:rPr>
          <w:rFonts w:cstheme="minorHAnsi"/>
          <w:szCs w:val="24"/>
        </w:rPr>
        <w:t>where</w:t>
      </w:r>
      <w:proofErr w:type="gramEnd"/>
      <w:r w:rsidRPr="00AA4677">
        <w:rPr>
          <w:rFonts w:cstheme="minorHAnsi"/>
          <w:szCs w:val="24"/>
        </w:rPr>
        <w:t xml:space="preserve"> modified by DoDI 3216.02.</w:t>
      </w:r>
      <w:r w:rsidR="00356ED6" w:rsidRPr="00AA4677">
        <w:rPr>
          <w:rFonts w:cstheme="minorHAnsi"/>
          <w:szCs w:val="24"/>
        </w:rPr>
        <w:t xml:space="preserve"> </w:t>
      </w:r>
      <w:r w:rsidR="00957912" w:rsidRPr="00AA4677">
        <w:rPr>
          <w:rFonts w:cstheme="minorHAnsi"/>
          <w:szCs w:val="24"/>
        </w:rPr>
        <w:t>T</w:t>
      </w:r>
      <w:r w:rsidR="00356ED6" w:rsidRPr="00AA4677">
        <w:rPr>
          <w:rFonts w:cstheme="minorHAnsi"/>
          <w:szCs w:val="24"/>
        </w:rPr>
        <w:t>his includes research</w:t>
      </w:r>
      <w:r w:rsidR="00957912" w:rsidRPr="00AA4677">
        <w:rPr>
          <w:rFonts w:cstheme="minorHAnsi"/>
          <w:szCs w:val="24"/>
        </w:rPr>
        <w:t xml:space="preserve"> involving prisoners</w:t>
      </w:r>
      <w:r w:rsidR="00356ED6" w:rsidRPr="00AA4677">
        <w:rPr>
          <w:rFonts w:cstheme="minorHAnsi"/>
          <w:szCs w:val="24"/>
        </w:rPr>
        <w:t xml:space="preserve"> that would otherwise meet exemption criteria. In this case, the research </w:t>
      </w:r>
      <w:r w:rsidR="00957912" w:rsidRPr="00AA4677">
        <w:rPr>
          <w:rFonts w:cstheme="minorHAnsi"/>
          <w:szCs w:val="24"/>
        </w:rPr>
        <w:t xml:space="preserve">may be </w:t>
      </w:r>
      <w:proofErr w:type="gramStart"/>
      <w:r w:rsidR="00957912" w:rsidRPr="00AA4677">
        <w:rPr>
          <w:rFonts w:cstheme="minorHAnsi"/>
          <w:szCs w:val="24"/>
        </w:rPr>
        <w:t>conducted, but</w:t>
      </w:r>
      <w:proofErr w:type="gramEnd"/>
      <w:r w:rsidR="00957912" w:rsidRPr="00AA4677">
        <w:rPr>
          <w:rFonts w:cstheme="minorHAnsi"/>
          <w:szCs w:val="24"/>
        </w:rPr>
        <w:t xml:space="preserve"> </w:t>
      </w:r>
      <w:r w:rsidR="00356ED6" w:rsidRPr="00AA4677">
        <w:rPr>
          <w:rFonts w:cstheme="minorHAnsi"/>
          <w:szCs w:val="24"/>
        </w:rPr>
        <w:t xml:space="preserve">must </w:t>
      </w:r>
      <w:r w:rsidR="0035789E" w:rsidRPr="00AA4677">
        <w:rPr>
          <w:rFonts w:cstheme="minorHAnsi"/>
          <w:szCs w:val="24"/>
        </w:rPr>
        <w:t xml:space="preserve">first </w:t>
      </w:r>
      <w:r w:rsidR="00356ED6" w:rsidRPr="00AA4677">
        <w:rPr>
          <w:rFonts w:cstheme="minorHAnsi"/>
          <w:szCs w:val="24"/>
        </w:rPr>
        <w:t>be reviewed and approved by an IRB.</w:t>
      </w:r>
    </w:p>
    <w:p w14:paraId="733079BB" w14:textId="204D5529" w:rsidR="00961BBC" w:rsidRPr="00AA4677" w:rsidRDefault="00961BBC" w:rsidP="00D40EFC">
      <w:pPr>
        <w:spacing w:after="0" w:line="240" w:lineRule="auto"/>
      </w:pPr>
    </w:p>
    <w:p w14:paraId="282840AA" w14:textId="300CB961" w:rsidR="00A16B4D" w:rsidRPr="00AA4677" w:rsidRDefault="00A16B4D" w:rsidP="00D40EFC">
      <w:pPr>
        <w:spacing w:after="0" w:line="240" w:lineRule="auto"/>
      </w:pPr>
      <w:r w:rsidRPr="00AA4677">
        <w:t>The Department of Defense defines the term “experime</w:t>
      </w:r>
      <w:r w:rsidR="00A67C61" w:rsidRPr="00AA4677">
        <w:t>ntal subject” as an activity for research purposes, where there is an intervention or interaction with a hu</w:t>
      </w:r>
      <w:r w:rsidRPr="00AA4677">
        <w:t>man being for the primary purpo</w:t>
      </w:r>
      <w:r w:rsidR="00A67C61" w:rsidRPr="00AA4677">
        <w:t>se of obtaining data regarding the effect of th</w:t>
      </w:r>
      <w:r w:rsidR="00AE682E" w:rsidRPr="00AA4677">
        <w:t xml:space="preserve">e intervention or interaction. </w:t>
      </w:r>
      <w:r w:rsidR="00AE682E" w:rsidRPr="00AA4677">
        <w:rPr>
          <w:rFonts w:cstheme="minorHAnsi"/>
          <w:szCs w:val="24"/>
        </w:rPr>
        <w:t xml:space="preserve">According to </w:t>
      </w:r>
      <w:r w:rsidR="00FD23BA" w:rsidRPr="00AA4677">
        <w:rPr>
          <w:rFonts w:cstheme="minorHAnsi"/>
          <w:szCs w:val="24"/>
        </w:rPr>
        <w:t>10 U.S.C.</w:t>
      </w:r>
      <w:r w:rsidR="00D40EFC" w:rsidRPr="00AA4677">
        <w:rPr>
          <w:rFonts w:cstheme="minorHAnsi"/>
          <w:szCs w:val="24"/>
        </w:rPr>
        <w:t xml:space="preserve"> </w:t>
      </w:r>
      <w:r w:rsidR="00FD23BA" w:rsidRPr="00AA4677">
        <w:rPr>
          <w:rFonts w:cstheme="minorHAnsi"/>
          <w:szCs w:val="24"/>
        </w:rPr>
        <w:t xml:space="preserve">980 </w:t>
      </w:r>
      <w:r w:rsidR="00AE682E" w:rsidRPr="00AA4677">
        <w:rPr>
          <w:rFonts w:cstheme="minorHAnsi"/>
          <w:szCs w:val="24"/>
        </w:rPr>
        <w:t xml:space="preserve">there is a </w:t>
      </w:r>
      <w:r w:rsidR="00FD23BA" w:rsidRPr="00AA4677">
        <w:rPr>
          <w:rFonts w:cstheme="minorHAnsi"/>
          <w:szCs w:val="24"/>
        </w:rPr>
        <w:t>prohib</w:t>
      </w:r>
      <w:r w:rsidR="00AE682E" w:rsidRPr="00AA4677">
        <w:rPr>
          <w:rFonts w:cstheme="minorHAnsi"/>
          <w:szCs w:val="24"/>
        </w:rPr>
        <w:t>ition</w:t>
      </w:r>
      <w:r w:rsidR="007550CC" w:rsidRPr="00AA4677">
        <w:rPr>
          <w:rFonts w:cstheme="minorHAnsi"/>
          <w:szCs w:val="24"/>
        </w:rPr>
        <w:t>, subject to very limited exceptions,</w:t>
      </w:r>
      <w:r w:rsidR="00AE682E" w:rsidRPr="00AA4677">
        <w:rPr>
          <w:rFonts w:cstheme="minorHAnsi"/>
          <w:szCs w:val="24"/>
        </w:rPr>
        <w:t xml:space="preserve"> of</w:t>
      </w:r>
      <w:r w:rsidR="007550CC" w:rsidRPr="00AA4677">
        <w:rPr>
          <w:rFonts w:cstheme="minorHAnsi"/>
          <w:szCs w:val="24"/>
        </w:rPr>
        <w:t xml:space="preserve"> the use of DoD funds for research involving a human b</w:t>
      </w:r>
      <w:r w:rsidR="00AE682E" w:rsidRPr="00AA4677">
        <w:rPr>
          <w:rFonts w:cstheme="minorHAnsi"/>
          <w:szCs w:val="24"/>
        </w:rPr>
        <w:t>eing as an experimental subject</w:t>
      </w:r>
      <w:r w:rsidR="007550CC" w:rsidRPr="00AA4677">
        <w:rPr>
          <w:rFonts w:cstheme="minorHAnsi"/>
          <w:szCs w:val="24"/>
        </w:rPr>
        <w:t xml:space="preserve"> except with th</w:t>
      </w:r>
      <w:r w:rsidR="00A67C61" w:rsidRPr="00AA4677">
        <w:rPr>
          <w:rFonts w:cstheme="minorHAnsi"/>
          <w:szCs w:val="24"/>
        </w:rPr>
        <w:t>e</w:t>
      </w:r>
      <w:r w:rsidR="007550CC" w:rsidRPr="00AA4677">
        <w:rPr>
          <w:rFonts w:cstheme="minorHAnsi"/>
          <w:szCs w:val="24"/>
        </w:rPr>
        <w:t xml:space="preserve"> informed consent of the subject</w:t>
      </w:r>
      <w:r w:rsidR="00781DA3" w:rsidRPr="00AA4677">
        <w:rPr>
          <w:rFonts w:cstheme="minorHAnsi"/>
          <w:szCs w:val="24"/>
        </w:rPr>
        <w:t xml:space="preserve"> or the legal representative</w:t>
      </w:r>
      <w:r w:rsidR="00A67C61" w:rsidRPr="00AA4677">
        <w:rPr>
          <w:rFonts w:cstheme="minorHAnsi"/>
          <w:szCs w:val="24"/>
        </w:rPr>
        <w:t>. If the research participant does not meet the definition of “experimental subject,” the IRB</w:t>
      </w:r>
      <w:r w:rsidR="00A67C61" w:rsidRPr="00AA4677">
        <w:rPr>
          <w:rFonts w:cstheme="minorHAnsi"/>
        </w:rPr>
        <w:t xml:space="preserve"> is allowed to waive the consent process.</w:t>
      </w:r>
      <w:r w:rsidR="00D40EFC" w:rsidRPr="00AA4677">
        <w:rPr>
          <w:rFonts w:cstheme="minorHAnsi"/>
        </w:rPr>
        <w:t xml:space="preserve"> Stony Brook University d</w:t>
      </w:r>
      <w:r w:rsidR="00853756" w:rsidRPr="00AA4677">
        <w:rPr>
          <w:rFonts w:cstheme="minorHAnsi"/>
        </w:rPr>
        <w:t>oes not conduct researc</w:t>
      </w:r>
      <w:r w:rsidR="00D40EFC" w:rsidRPr="00AA4677">
        <w:rPr>
          <w:rFonts w:cstheme="minorHAnsi"/>
        </w:rPr>
        <w:t>h involving experimental subjects.</w:t>
      </w:r>
    </w:p>
    <w:p w14:paraId="06F227BB" w14:textId="77777777" w:rsidR="00AE682E" w:rsidRPr="00AA4677" w:rsidRDefault="00AE682E" w:rsidP="00D40EFC">
      <w:pPr>
        <w:spacing w:after="0" w:line="240" w:lineRule="auto"/>
      </w:pPr>
    </w:p>
    <w:p w14:paraId="657A6677" w14:textId="137789C4" w:rsidR="00D40EFC" w:rsidRPr="00AA4677" w:rsidRDefault="00D40EFC" w:rsidP="00D40EFC">
      <w:pPr>
        <w:shd w:val="clear" w:color="auto" w:fill="FFFFFF"/>
        <w:spacing w:after="0" w:line="240" w:lineRule="auto"/>
        <w:rPr>
          <w:rFonts w:cstheme="minorHAnsi"/>
        </w:rPr>
      </w:pPr>
      <w:r w:rsidRPr="00AA4677">
        <w:rPr>
          <w:rFonts w:cstheme="minorHAnsi"/>
        </w:rPr>
        <w:t xml:space="preserve">Human participant research involving the testing of chemical or biological agents is prohibited, pursuant to Section 1520a of Title 50, United States Code (U.S.C.). </w:t>
      </w:r>
      <w:r w:rsidR="00961BBC" w:rsidRPr="00AA4677">
        <w:rPr>
          <w:rFonts w:cstheme="minorHAnsi"/>
        </w:rPr>
        <w:t>N</w:t>
      </w:r>
      <w:r w:rsidRPr="00AA4677">
        <w:rPr>
          <w:rFonts w:cstheme="minorHAnsi"/>
        </w:rPr>
        <w:t xml:space="preserve">o exceptions for research for prophylactic, protective, or other peaceful purposes apply. </w:t>
      </w:r>
    </w:p>
    <w:p w14:paraId="6BEF855F" w14:textId="77777777" w:rsidR="00D40EFC" w:rsidRPr="00AA4677" w:rsidRDefault="00D40EFC" w:rsidP="00D40EFC">
      <w:pPr>
        <w:spacing w:after="0" w:line="240" w:lineRule="auto"/>
      </w:pPr>
    </w:p>
    <w:p w14:paraId="5293B89D" w14:textId="3E8E1605" w:rsidR="00505CF7" w:rsidRPr="00AA4677" w:rsidRDefault="00AE682E" w:rsidP="00D40EFC">
      <w:pPr>
        <w:spacing w:after="0" w:line="240" w:lineRule="auto"/>
      </w:pPr>
      <w:r w:rsidRPr="00AA4677">
        <w:lastRenderedPageBreak/>
        <w:t xml:space="preserve">In addition, </w:t>
      </w:r>
      <w:r w:rsidR="007550CC" w:rsidRPr="00AA4677">
        <w:t>32 CFR Part 219 is DoD’s adoption of the “Common Rule” for the protection of human research subjects. This part requires Institutional Review Board approval of human subject research and informed consent for such research subject to waiver in certain cases involving minimal risk. A waiver of informed consent must be obtained from the Assistant Secretary of Defense for Research and Engineering and only if the following criteria are met:</w:t>
      </w:r>
    </w:p>
    <w:p w14:paraId="74B80DA7" w14:textId="410246F9" w:rsidR="007550CC" w:rsidRPr="00AA4677" w:rsidRDefault="007550CC">
      <w:pPr>
        <w:pStyle w:val="Bullet2DoDDeptofDefense"/>
        <w:numPr>
          <w:ilvl w:val="1"/>
          <w:numId w:val="220"/>
        </w:numPr>
        <w:tabs>
          <w:tab w:val="clear" w:pos="2880"/>
        </w:tabs>
        <w:ind w:left="360" w:hanging="360"/>
        <w:rPr>
          <w:rFonts w:asciiTheme="minorHAnsi" w:hAnsiTheme="minorHAnsi" w:cstheme="minorHAnsi"/>
          <w:color w:val="auto"/>
          <w:sz w:val="24"/>
        </w:rPr>
      </w:pPr>
      <w:r w:rsidRPr="00AA4677">
        <w:rPr>
          <w:rFonts w:asciiTheme="minorHAnsi" w:hAnsiTheme="minorHAnsi" w:cstheme="minorHAnsi"/>
          <w:color w:val="auto"/>
          <w:sz w:val="24"/>
        </w:rPr>
        <w:t>The research is necessary to advance the developmen</w:t>
      </w:r>
      <w:r w:rsidR="00A67C61" w:rsidRPr="00AA4677">
        <w:rPr>
          <w:rFonts w:asciiTheme="minorHAnsi" w:hAnsiTheme="minorHAnsi" w:cstheme="minorHAnsi"/>
          <w:color w:val="auto"/>
          <w:sz w:val="24"/>
        </w:rPr>
        <w:t xml:space="preserve">t of a medical product for the </w:t>
      </w:r>
      <w:r w:rsidR="00AE682E" w:rsidRPr="00AA4677">
        <w:rPr>
          <w:rFonts w:asciiTheme="minorHAnsi" w:hAnsiTheme="minorHAnsi" w:cstheme="minorHAnsi"/>
          <w:color w:val="auto"/>
          <w:sz w:val="24"/>
        </w:rPr>
        <w:t>military Services</w:t>
      </w:r>
    </w:p>
    <w:p w14:paraId="53F0C364" w14:textId="15D8944B" w:rsidR="007550CC" w:rsidRPr="00AA4677" w:rsidRDefault="007550CC">
      <w:pPr>
        <w:pStyle w:val="Bullet2DoDDeptofDefense"/>
        <w:numPr>
          <w:ilvl w:val="1"/>
          <w:numId w:val="220"/>
        </w:numPr>
        <w:tabs>
          <w:tab w:val="clear" w:pos="2880"/>
        </w:tabs>
        <w:ind w:left="360" w:hanging="360"/>
        <w:rPr>
          <w:rFonts w:asciiTheme="minorHAnsi" w:hAnsiTheme="minorHAnsi" w:cstheme="minorHAnsi"/>
          <w:color w:val="auto"/>
          <w:sz w:val="24"/>
        </w:rPr>
      </w:pPr>
      <w:r w:rsidRPr="00AA4677">
        <w:rPr>
          <w:rFonts w:asciiTheme="minorHAnsi" w:hAnsiTheme="minorHAnsi" w:cstheme="minorHAnsi"/>
          <w:color w:val="auto"/>
          <w:sz w:val="24"/>
        </w:rPr>
        <w:t>Th</w:t>
      </w:r>
      <w:r w:rsidR="00781DA3" w:rsidRPr="00AA4677">
        <w:rPr>
          <w:rFonts w:asciiTheme="minorHAnsi" w:hAnsiTheme="minorHAnsi" w:cstheme="minorHAnsi"/>
          <w:color w:val="auto"/>
          <w:sz w:val="24"/>
        </w:rPr>
        <w:t>e research</w:t>
      </w:r>
      <w:r w:rsidRPr="00AA4677">
        <w:rPr>
          <w:rFonts w:asciiTheme="minorHAnsi" w:hAnsiTheme="minorHAnsi" w:cstheme="minorHAnsi"/>
          <w:color w:val="auto"/>
          <w:sz w:val="24"/>
        </w:rPr>
        <w:t xml:space="preserve"> directly benefit</w:t>
      </w:r>
      <w:r w:rsidR="00781DA3" w:rsidRPr="00AA4677">
        <w:rPr>
          <w:rFonts w:asciiTheme="minorHAnsi" w:hAnsiTheme="minorHAnsi" w:cstheme="minorHAnsi"/>
          <w:color w:val="auto"/>
          <w:sz w:val="24"/>
        </w:rPr>
        <w:t>s</w:t>
      </w:r>
      <w:r w:rsidRPr="00AA4677">
        <w:rPr>
          <w:rFonts w:asciiTheme="minorHAnsi" w:hAnsiTheme="minorHAnsi" w:cstheme="minorHAnsi"/>
          <w:color w:val="auto"/>
          <w:sz w:val="24"/>
        </w:rPr>
        <w:t xml:space="preserve"> the individual experimental subject.</w:t>
      </w:r>
    </w:p>
    <w:p w14:paraId="5684B9C1" w14:textId="77777777" w:rsidR="007550CC" w:rsidRPr="00AA4677" w:rsidRDefault="007550CC">
      <w:pPr>
        <w:pStyle w:val="Bullet2DoDDeptofDefense"/>
        <w:numPr>
          <w:ilvl w:val="1"/>
          <w:numId w:val="220"/>
        </w:numPr>
        <w:tabs>
          <w:tab w:val="clear" w:pos="2880"/>
        </w:tabs>
        <w:ind w:left="360" w:hanging="360"/>
        <w:rPr>
          <w:rFonts w:asciiTheme="minorHAnsi" w:hAnsiTheme="minorHAnsi" w:cstheme="minorHAnsi"/>
          <w:color w:val="auto"/>
          <w:sz w:val="24"/>
        </w:rPr>
      </w:pPr>
      <w:r w:rsidRPr="00AA4677">
        <w:rPr>
          <w:rFonts w:asciiTheme="minorHAnsi" w:hAnsiTheme="minorHAnsi" w:cstheme="minorHAnsi"/>
          <w:color w:val="auto"/>
          <w:sz w:val="24"/>
        </w:rPr>
        <w:t>The research is conducted in compliance with all other applicable laws and regulations.</w:t>
      </w:r>
    </w:p>
    <w:p w14:paraId="0D7F5E18" w14:textId="77777777" w:rsidR="00FD5E9B" w:rsidRPr="00AA4677" w:rsidRDefault="00FD5E9B" w:rsidP="00D40EFC">
      <w:pPr>
        <w:pStyle w:val="Bullet1DoDDeptofDefense"/>
        <w:numPr>
          <w:ilvl w:val="0"/>
          <w:numId w:val="0"/>
        </w:numPr>
        <w:tabs>
          <w:tab w:val="clear" w:pos="407"/>
          <w:tab w:val="clear" w:pos="673"/>
          <w:tab w:val="num" w:pos="2880"/>
        </w:tabs>
        <w:rPr>
          <w:rFonts w:asciiTheme="minorHAnsi" w:hAnsiTheme="minorHAnsi" w:cstheme="minorHAnsi"/>
          <w:b/>
          <w:color w:val="auto"/>
          <w:sz w:val="24"/>
        </w:rPr>
      </w:pPr>
    </w:p>
    <w:p w14:paraId="33FE1815" w14:textId="1541845B" w:rsidR="007550CC" w:rsidRPr="00AA4677" w:rsidRDefault="00AE682E" w:rsidP="00D40EFC">
      <w:pPr>
        <w:pStyle w:val="Bullet1DoDDeptofDefense"/>
        <w:numPr>
          <w:ilvl w:val="0"/>
          <w:numId w:val="0"/>
        </w:numPr>
        <w:tabs>
          <w:tab w:val="clear" w:pos="407"/>
          <w:tab w:val="clear" w:pos="673"/>
          <w:tab w:val="num" w:pos="2880"/>
        </w:tabs>
        <w:rPr>
          <w:rFonts w:asciiTheme="minorHAnsi" w:hAnsiTheme="minorHAnsi" w:cstheme="minorHAnsi"/>
          <w:color w:val="auto"/>
          <w:sz w:val="24"/>
        </w:rPr>
      </w:pPr>
      <w:r w:rsidRPr="00AA4677">
        <w:rPr>
          <w:rFonts w:asciiTheme="minorHAnsi" w:hAnsiTheme="minorHAnsi" w:cstheme="minorHAnsi"/>
          <w:b/>
          <w:color w:val="auto"/>
          <w:sz w:val="24"/>
        </w:rPr>
        <w:t>NOTE:</w:t>
      </w:r>
      <w:r w:rsidRPr="00AA4677">
        <w:rPr>
          <w:rFonts w:asciiTheme="minorHAnsi" w:hAnsiTheme="minorHAnsi" w:cstheme="minorHAnsi"/>
          <w:color w:val="auto"/>
          <w:sz w:val="24"/>
        </w:rPr>
        <w:t xml:space="preserve"> </w:t>
      </w:r>
      <w:proofErr w:type="gramStart"/>
      <w:r w:rsidR="00A67C61" w:rsidRPr="00AA4677">
        <w:rPr>
          <w:rFonts w:asciiTheme="minorHAnsi" w:hAnsiTheme="minorHAnsi" w:cstheme="minorHAnsi"/>
          <w:color w:val="auto"/>
          <w:sz w:val="24"/>
        </w:rPr>
        <w:t>C</w:t>
      </w:r>
      <w:r w:rsidR="007550CC" w:rsidRPr="00AA4677">
        <w:rPr>
          <w:rFonts w:asciiTheme="minorHAnsi" w:hAnsiTheme="minorHAnsi" w:cstheme="minorHAnsi"/>
          <w:color w:val="auto"/>
          <w:sz w:val="24"/>
        </w:rPr>
        <w:t>lassified research,</w:t>
      </w:r>
      <w:proofErr w:type="gramEnd"/>
      <w:r w:rsidR="007550CC" w:rsidRPr="00AA4677">
        <w:rPr>
          <w:rFonts w:asciiTheme="minorHAnsi" w:hAnsiTheme="minorHAnsi" w:cstheme="minorHAnsi"/>
          <w:color w:val="auto"/>
          <w:sz w:val="24"/>
        </w:rPr>
        <w:t xml:space="preserve"> </w:t>
      </w:r>
      <w:r w:rsidR="00A67C61" w:rsidRPr="00AA4677">
        <w:rPr>
          <w:rFonts w:asciiTheme="minorHAnsi" w:hAnsiTheme="minorHAnsi" w:cstheme="minorHAnsi"/>
          <w:color w:val="auto"/>
          <w:sz w:val="24"/>
        </w:rPr>
        <w:t xml:space="preserve">does not allow for a </w:t>
      </w:r>
      <w:r w:rsidR="007550CC" w:rsidRPr="00AA4677">
        <w:rPr>
          <w:rFonts w:asciiTheme="minorHAnsi" w:hAnsiTheme="minorHAnsi" w:cstheme="minorHAnsi"/>
          <w:color w:val="auto"/>
          <w:sz w:val="24"/>
        </w:rPr>
        <w:t>wa</w:t>
      </w:r>
      <w:r w:rsidR="00961BBC" w:rsidRPr="00AA4677">
        <w:rPr>
          <w:rFonts w:asciiTheme="minorHAnsi" w:hAnsiTheme="minorHAnsi" w:cstheme="minorHAnsi"/>
          <w:color w:val="auto"/>
          <w:sz w:val="24"/>
        </w:rPr>
        <w:t>iver</w:t>
      </w:r>
      <w:r w:rsidR="00A67C61" w:rsidRPr="00AA4677">
        <w:rPr>
          <w:rFonts w:asciiTheme="minorHAnsi" w:hAnsiTheme="minorHAnsi" w:cstheme="minorHAnsi"/>
          <w:color w:val="auto"/>
          <w:sz w:val="24"/>
        </w:rPr>
        <w:t xml:space="preserve"> of consent.</w:t>
      </w:r>
    </w:p>
    <w:p w14:paraId="66902B8D" w14:textId="77777777" w:rsidR="00D40EFC" w:rsidRPr="00AA4677" w:rsidRDefault="00D40EFC" w:rsidP="00AE682E">
      <w:pPr>
        <w:pStyle w:val="Bullet1DoDDeptofDefense"/>
        <w:numPr>
          <w:ilvl w:val="0"/>
          <w:numId w:val="0"/>
        </w:numPr>
        <w:tabs>
          <w:tab w:val="clear" w:pos="407"/>
          <w:tab w:val="clear" w:pos="673"/>
          <w:tab w:val="num" w:pos="2880"/>
        </w:tabs>
        <w:rPr>
          <w:rFonts w:asciiTheme="minorHAnsi" w:hAnsiTheme="minorHAnsi" w:cstheme="minorHAnsi"/>
          <w:color w:val="auto"/>
          <w:sz w:val="24"/>
        </w:rPr>
      </w:pPr>
    </w:p>
    <w:p w14:paraId="7EA20180" w14:textId="78D41708" w:rsidR="00F03C3E" w:rsidRPr="00AA4677" w:rsidRDefault="00F03C3E">
      <w:pPr>
        <w:widowControl w:val="0"/>
        <w:numPr>
          <w:ilvl w:val="0"/>
          <w:numId w:val="138"/>
        </w:numPr>
        <w:tabs>
          <w:tab w:val="left" w:pos="840"/>
        </w:tabs>
        <w:spacing w:before="52" w:after="0" w:line="240" w:lineRule="auto"/>
        <w:ind w:left="360" w:right="521"/>
        <w:rPr>
          <w:rFonts w:eastAsia="Times New Roman" w:cs="Times New Roman"/>
          <w:szCs w:val="24"/>
        </w:rPr>
      </w:pPr>
      <w:r w:rsidRPr="00AA4677">
        <w:t xml:space="preserve">IRB staff, </w:t>
      </w:r>
      <w:r w:rsidR="008E0AA0" w:rsidRPr="00AA4677">
        <w:t>C</w:t>
      </w:r>
      <w:r w:rsidRPr="00AA4677">
        <w:t>hair, and members; and researchers and research staff become aware of the specific requirements contained in DoD requirements and educated about these requirements when appropriate once they are notified that the DoD is funding the study.</w:t>
      </w:r>
    </w:p>
    <w:p w14:paraId="7B848437" w14:textId="7E23B436" w:rsidR="002302B4" w:rsidRPr="00AA4677" w:rsidRDefault="002302B4">
      <w:pPr>
        <w:widowControl w:val="0"/>
        <w:numPr>
          <w:ilvl w:val="0"/>
          <w:numId w:val="138"/>
        </w:numPr>
        <w:tabs>
          <w:tab w:val="left" w:pos="840"/>
        </w:tabs>
        <w:spacing w:before="52" w:after="0" w:line="240" w:lineRule="auto"/>
        <w:ind w:left="360" w:right="521"/>
        <w:rPr>
          <w:rFonts w:eastAsia="Times New Roman" w:cs="Times New Roman"/>
          <w:szCs w:val="24"/>
        </w:rPr>
      </w:pPr>
      <w:r w:rsidRPr="00AA4677">
        <w:rPr>
          <w:rFonts w:eastAsia="Times New Roman" w:cs="Times New Roman"/>
          <w:szCs w:val="24"/>
        </w:rPr>
        <w:t>When appropriate, research protocols must be reviewed and approved by the IRB prior</w:t>
      </w:r>
      <w:r w:rsidRPr="00AA4677">
        <w:rPr>
          <w:rFonts w:eastAsia="Times New Roman" w:cs="Times New Roman"/>
          <w:spacing w:val="-16"/>
          <w:szCs w:val="24"/>
        </w:rPr>
        <w:t xml:space="preserve"> </w:t>
      </w:r>
      <w:r w:rsidRPr="00AA4677">
        <w:rPr>
          <w:rFonts w:eastAsia="Times New Roman" w:cs="Times New Roman"/>
          <w:szCs w:val="24"/>
        </w:rPr>
        <w:t>to the Department of Defense approval. Consult with the Department of Defense funding component to see whether this is a</w:t>
      </w:r>
      <w:r w:rsidRPr="00AA4677">
        <w:rPr>
          <w:rFonts w:eastAsia="Times New Roman" w:cs="Times New Roman"/>
          <w:spacing w:val="-11"/>
          <w:szCs w:val="24"/>
        </w:rPr>
        <w:t xml:space="preserve"> </w:t>
      </w:r>
      <w:r w:rsidRPr="00AA4677">
        <w:rPr>
          <w:rFonts w:eastAsia="Times New Roman" w:cs="Times New Roman"/>
          <w:szCs w:val="24"/>
        </w:rPr>
        <w:t xml:space="preserve">requirement. Protocols must be limited to the DoD funded activities as stated in the approved Statement of Work. Therefore, the HPRO requires the submission of a new, separate protocol that only contains the DoD funded or supported activities. The DoD strongly suggests that the Principal Investigator </w:t>
      </w:r>
      <w:proofErr w:type="gramStart"/>
      <w:r w:rsidRPr="00AA4677">
        <w:rPr>
          <w:rFonts w:eastAsia="Times New Roman" w:cs="Times New Roman"/>
          <w:szCs w:val="24"/>
        </w:rPr>
        <w:t>provide</w:t>
      </w:r>
      <w:proofErr w:type="gramEnd"/>
      <w:r w:rsidRPr="00AA4677">
        <w:rPr>
          <w:rFonts w:eastAsia="Times New Roman" w:cs="Times New Roman"/>
          <w:szCs w:val="24"/>
        </w:rPr>
        <w:t xml:space="preserve"> a copy of the protocol to the research subjects with proprietary and personal information redacted as needed.</w:t>
      </w:r>
    </w:p>
    <w:p w14:paraId="39B1A0CB" w14:textId="525214A1" w:rsidR="00ED4184" w:rsidRPr="00AA4677" w:rsidRDefault="00ED4184">
      <w:pPr>
        <w:pStyle w:val="Bullet1DoDDeptofDefense"/>
        <w:numPr>
          <w:ilvl w:val="0"/>
          <w:numId w:val="138"/>
        </w:numPr>
        <w:ind w:left="360"/>
        <w:rPr>
          <w:rFonts w:cstheme="minorHAnsi"/>
          <w:color w:val="auto"/>
        </w:rPr>
      </w:pPr>
      <w:r w:rsidRPr="00AA4677">
        <w:rPr>
          <w:rFonts w:asciiTheme="minorHAnsi" w:hAnsiTheme="minorHAnsi" w:cstheme="minorHAnsi"/>
          <w:color w:val="auto"/>
          <w:sz w:val="24"/>
        </w:rPr>
        <w:t>The DoD Component must conduct an appropriate administrative review of the research involving human participants. The DoD Component</w:t>
      </w:r>
      <w:r w:rsidR="00177C85" w:rsidRPr="00AA4677">
        <w:rPr>
          <w:rFonts w:asciiTheme="minorHAnsi" w:hAnsiTheme="minorHAnsi" w:cstheme="minorHAnsi"/>
          <w:color w:val="auto"/>
          <w:sz w:val="24"/>
        </w:rPr>
        <w:t>-level</w:t>
      </w:r>
      <w:r w:rsidRPr="00AA4677">
        <w:rPr>
          <w:rFonts w:asciiTheme="minorHAnsi" w:hAnsiTheme="minorHAnsi" w:cstheme="minorHAnsi"/>
          <w:color w:val="auto"/>
          <w:sz w:val="24"/>
        </w:rPr>
        <w:t xml:space="preserve"> administrative review must be conducted before the research involving human participants can begin, to ensure compliance with all applicable regulations and policies, including any applicable laws and requirements and cultural sensitivities of the country when the research is conducted in a count</w:t>
      </w:r>
      <w:r w:rsidR="00371FBE" w:rsidRPr="00AA4677">
        <w:rPr>
          <w:rFonts w:asciiTheme="minorHAnsi" w:hAnsiTheme="minorHAnsi" w:cstheme="minorHAnsi"/>
          <w:color w:val="auto"/>
          <w:sz w:val="24"/>
        </w:rPr>
        <w:t>ry other than the United States unless conducted by a DoD overseas institution, or only involves DoD-affiliated personnel who are US citizens.</w:t>
      </w:r>
    </w:p>
    <w:p w14:paraId="124B3D8A" w14:textId="300FED3D" w:rsidR="002302B4" w:rsidRPr="00AA4677" w:rsidRDefault="002302B4">
      <w:pPr>
        <w:pStyle w:val="ListParagraph"/>
        <w:numPr>
          <w:ilvl w:val="0"/>
          <w:numId w:val="138"/>
        </w:numPr>
        <w:shd w:val="clear" w:color="auto" w:fill="FFFFFF"/>
        <w:spacing w:after="0" w:line="240" w:lineRule="auto"/>
        <w:ind w:left="360"/>
        <w:rPr>
          <w:rFonts w:cstheme="minorHAnsi"/>
          <w:szCs w:val="24"/>
        </w:rPr>
      </w:pPr>
      <w:r w:rsidRPr="00AA4677">
        <w:rPr>
          <w:rFonts w:cstheme="minorHAnsi"/>
          <w:szCs w:val="24"/>
        </w:rPr>
        <w:t>DoD organizations must demonstrate to the senior designated official that the IRB has fulfilled its duties in accordance with DHHS Subpart D, 45 CFR 46. 407 and 21 CFR 50.54.</w:t>
      </w:r>
    </w:p>
    <w:p w14:paraId="08833B2D" w14:textId="3DB01154" w:rsidR="007945E4" w:rsidRPr="00AA4677" w:rsidRDefault="007945E4">
      <w:pPr>
        <w:pStyle w:val="ObservationDoDDeptofDefense"/>
        <w:numPr>
          <w:ilvl w:val="0"/>
          <w:numId w:val="138"/>
        </w:numPr>
        <w:ind w:left="360"/>
        <w:rPr>
          <w:rFonts w:asciiTheme="minorHAnsi" w:hAnsiTheme="minorHAnsi" w:cstheme="minorHAnsi"/>
          <w:color w:val="auto"/>
          <w:sz w:val="24"/>
        </w:rPr>
      </w:pPr>
      <w:r w:rsidRPr="00AA4677">
        <w:rPr>
          <w:rFonts w:asciiTheme="minorHAnsi" w:hAnsiTheme="minorHAnsi" w:cstheme="minorHAnsi"/>
          <w:color w:val="auto"/>
          <w:sz w:val="24"/>
        </w:rPr>
        <w:t>Records</w:t>
      </w:r>
      <w:r w:rsidR="00DA7CCF" w:rsidRPr="00AA4677">
        <w:rPr>
          <w:rFonts w:asciiTheme="minorHAnsi" w:hAnsiTheme="minorHAnsi" w:cstheme="minorHAnsi"/>
          <w:color w:val="auto"/>
          <w:sz w:val="24"/>
        </w:rPr>
        <w:t xml:space="preserve"> must be</w:t>
      </w:r>
      <w:r w:rsidRPr="00AA4677">
        <w:rPr>
          <w:rFonts w:asciiTheme="minorHAnsi" w:hAnsiTheme="minorHAnsi" w:cstheme="minorHAnsi"/>
          <w:color w:val="auto"/>
          <w:sz w:val="24"/>
        </w:rPr>
        <w:t xml:space="preserve"> maintained that document compliance or non-complian</w:t>
      </w:r>
      <w:r w:rsidR="00DA7CCF" w:rsidRPr="00AA4677">
        <w:rPr>
          <w:rFonts w:asciiTheme="minorHAnsi" w:hAnsiTheme="minorHAnsi" w:cstheme="minorHAnsi"/>
          <w:color w:val="auto"/>
          <w:sz w:val="24"/>
        </w:rPr>
        <w:t>ce with DoD requirements and wi</w:t>
      </w:r>
      <w:r w:rsidRPr="00AA4677">
        <w:rPr>
          <w:rFonts w:asciiTheme="minorHAnsi" w:hAnsiTheme="minorHAnsi" w:cstheme="minorHAnsi"/>
          <w:color w:val="auto"/>
          <w:sz w:val="24"/>
        </w:rPr>
        <w:t xml:space="preserve">ll be made accessible for inspection and copying by representatives of the DoD at reasonable times and in a reasonable manner as determined by the supporting DoD </w:t>
      </w:r>
      <w:r w:rsidR="004F6005" w:rsidRPr="00AA4677">
        <w:rPr>
          <w:rFonts w:asciiTheme="minorHAnsi" w:hAnsiTheme="minorHAnsi" w:cstheme="minorHAnsi"/>
          <w:color w:val="auto"/>
          <w:sz w:val="24"/>
        </w:rPr>
        <w:t>C</w:t>
      </w:r>
      <w:r w:rsidRPr="00AA4677">
        <w:rPr>
          <w:rFonts w:asciiTheme="minorHAnsi" w:hAnsiTheme="minorHAnsi" w:cstheme="minorHAnsi"/>
          <w:color w:val="auto"/>
          <w:sz w:val="24"/>
        </w:rPr>
        <w:t>omponent.</w:t>
      </w:r>
    </w:p>
    <w:p w14:paraId="0E029BDB" w14:textId="3C797D71" w:rsidR="008E407A" w:rsidRPr="00AA4677" w:rsidRDefault="008E407A">
      <w:pPr>
        <w:pStyle w:val="ObservationDoDDeptofDefense"/>
        <w:numPr>
          <w:ilvl w:val="0"/>
          <w:numId w:val="138"/>
        </w:numPr>
        <w:ind w:left="360"/>
        <w:rPr>
          <w:rFonts w:asciiTheme="minorHAnsi" w:hAnsiTheme="minorHAnsi" w:cstheme="minorHAnsi"/>
          <w:color w:val="auto"/>
          <w:sz w:val="24"/>
        </w:rPr>
      </w:pPr>
      <w:r w:rsidRPr="00AA4677">
        <w:rPr>
          <w:rFonts w:asciiTheme="minorHAnsi" w:hAnsiTheme="minorHAnsi" w:cstheme="minorHAnsi"/>
          <w:color w:val="auto"/>
          <w:sz w:val="24"/>
        </w:rPr>
        <w:lastRenderedPageBreak/>
        <w:t>The consent form must contain language that allows for the independent inspection of the research which can include the subject’s identifiable information or Protected Health Information</w:t>
      </w:r>
      <w:r w:rsidR="00FD23BA" w:rsidRPr="00AA4677">
        <w:rPr>
          <w:rFonts w:asciiTheme="minorHAnsi" w:hAnsiTheme="minorHAnsi" w:cstheme="minorHAnsi"/>
          <w:color w:val="auto"/>
          <w:sz w:val="24"/>
        </w:rPr>
        <w:t>.</w:t>
      </w:r>
    </w:p>
    <w:p w14:paraId="410216CD" w14:textId="77777777" w:rsidR="002302B4" w:rsidRPr="00AA4677" w:rsidRDefault="002302B4">
      <w:pPr>
        <w:widowControl w:val="0"/>
        <w:numPr>
          <w:ilvl w:val="0"/>
          <w:numId w:val="138"/>
        </w:numPr>
        <w:tabs>
          <w:tab w:val="left" w:pos="840"/>
        </w:tabs>
        <w:spacing w:after="0" w:line="240" w:lineRule="auto"/>
        <w:ind w:left="360" w:right="542"/>
        <w:rPr>
          <w:rFonts w:eastAsia="Times New Roman" w:cs="Times New Roman"/>
          <w:szCs w:val="24"/>
        </w:rPr>
      </w:pPr>
      <w:r w:rsidRPr="00AA4677">
        <w:rPr>
          <w:rFonts w:eastAsia="Times New Roman" w:cs="Times New Roman"/>
          <w:szCs w:val="24"/>
        </w:rPr>
        <w:t>Components of the Department of Defense might have stricter requirements for</w:t>
      </w:r>
      <w:r w:rsidRPr="00AA4677">
        <w:rPr>
          <w:rFonts w:eastAsia="Times New Roman" w:cs="Times New Roman"/>
          <w:spacing w:val="-20"/>
          <w:szCs w:val="24"/>
        </w:rPr>
        <w:t xml:space="preserve"> </w:t>
      </w:r>
      <w:r w:rsidRPr="00AA4677">
        <w:rPr>
          <w:rFonts w:eastAsia="Times New Roman" w:cs="Times New Roman"/>
          <w:szCs w:val="24"/>
        </w:rPr>
        <w:t>research- related injury than the DHHS</w:t>
      </w:r>
      <w:r w:rsidRPr="00AA4677">
        <w:rPr>
          <w:rFonts w:eastAsia="Times New Roman" w:cs="Times New Roman"/>
          <w:spacing w:val="-11"/>
          <w:szCs w:val="24"/>
        </w:rPr>
        <w:t xml:space="preserve"> </w:t>
      </w:r>
      <w:r w:rsidRPr="00AA4677">
        <w:rPr>
          <w:rFonts w:eastAsia="Times New Roman" w:cs="Times New Roman"/>
          <w:szCs w:val="24"/>
        </w:rPr>
        <w:t>regulations.</w:t>
      </w:r>
    </w:p>
    <w:p w14:paraId="5182CB71" w14:textId="77777777" w:rsidR="00ED4184" w:rsidRPr="00AA4677" w:rsidRDefault="00ED4184">
      <w:pPr>
        <w:widowControl w:val="0"/>
        <w:numPr>
          <w:ilvl w:val="0"/>
          <w:numId w:val="138"/>
        </w:numPr>
        <w:tabs>
          <w:tab w:val="left" w:pos="360"/>
        </w:tabs>
        <w:spacing w:before="2" w:after="0" w:line="240" w:lineRule="auto"/>
        <w:ind w:left="360" w:right="611"/>
        <w:rPr>
          <w:rFonts w:eastAsia="Times New Roman" w:cs="Times New Roman"/>
          <w:szCs w:val="24"/>
        </w:rPr>
      </w:pPr>
      <w:r w:rsidRPr="00AA4677">
        <w:rPr>
          <w:rFonts w:eastAsia="Times New Roman" w:cs="Times New Roman"/>
          <w:szCs w:val="24"/>
        </w:rPr>
        <w:t>When assessing whether to support or collaborate with this institution for research</w:t>
      </w:r>
      <w:r w:rsidRPr="00AA4677">
        <w:rPr>
          <w:rFonts w:eastAsia="Times New Roman" w:cs="Times New Roman"/>
          <w:spacing w:val="-32"/>
          <w:szCs w:val="24"/>
        </w:rPr>
        <w:t xml:space="preserve"> </w:t>
      </w:r>
      <w:r w:rsidRPr="00AA4677">
        <w:rPr>
          <w:rFonts w:eastAsia="Times New Roman" w:cs="Times New Roman"/>
          <w:szCs w:val="24"/>
        </w:rPr>
        <w:t>involving human subjects, the Department of Defense may evaluate this institution’s education and training policies to ensure the personnel are qualified to perform the</w:t>
      </w:r>
      <w:r w:rsidRPr="00AA4677">
        <w:rPr>
          <w:rFonts w:eastAsia="Times New Roman" w:cs="Times New Roman"/>
          <w:spacing w:val="-30"/>
          <w:szCs w:val="24"/>
        </w:rPr>
        <w:t xml:space="preserve"> </w:t>
      </w:r>
      <w:r w:rsidRPr="00AA4677">
        <w:rPr>
          <w:rFonts w:eastAsia="Times New Roman" w:cs="Times New Roman"/>
          <w:szCs w:val="24"/>
        </w:rPr>
        <w:t>research based on the complexity and risk of the research.</w:t>
      </w:r>
    </w:p>
    <w:p w14:paraId="29FB5757" w14:textId="77777777" w:rsidR="005273C7" w:rsidRPr="00AA4677" w:rsidRDefault="005273C7">
      <w:pPr>
        <w:pStyle w:val="Bullet2DoDDeptofDefense"/>
        <w:numPr>
          <w:ilvl w:val="0"/>
          <w:numId w:val="138"/>
        </w:numPr>
        <w:tabs>
          <w:tab w:val="clear" w:pos="2880"/>
        </w:tabs>
        <w:ind w:left="360"/>
        <w:rPr>
          <w:rFonts w:asciiTheme="minorHAnsi" w:hAnsiTheme="minorHAnsi" w:cstheme="minorHAnsi"/>
          <w:color w:val="auto"/>
          <w:sz w:val="24"/>
          <w:szCs w:val="24"/>
        </w:rPr>
      </w:pPr>
      <w:r w:rsidRPr="00AA4677">
        <w:rPr>
          <w:rFonts w:asciiTheme="minorHAnsi" w:hAnsiTheme="minorHAnsi" w:cstheme="minorHAnsi"/>
          <w:color w:val="auto"/>
          <w:sz w:val="24"/>
          <w:szCs w:val="24"/>
        </w:rPr>
        <w:t>Research involving prisoners cannot be reviewed by the expedited procedure.</w:t>
      </w:r>
    </w:p>
    <w:p w14:paraId="64523688" w14:textId="196FE2CA" w:rsidR="005273C7" w:rsidRPr="00AA4677" w:rsidRDefault="005273C7">
      <w:pPr>
        <w:pStyle w:val="ListParagraph"/>
        <w:numPr>
          <w:ilvl w:val="0"/>
          <w:numId w:val="138"/>
        </w:numPr>
        <w:shd w:val="clear" w:color="auto" w:fill="FFFFFF"/>
        <w:spacing w:after="0" w:line="240" w:lineRule="auto"/>
        <w:ind w:left="360"/>
        <w:rPr>
          <w:rFonts w:cs="Arial"/>
          <w:szCs w:val="30"/>
        </w:rPr>
      </w:pPr>
      <w:r w:rsidRPr="00AA4677">
        <w:rPr>
          <w:rFonts w:cs="Arial"/>
          <w:szCs w:val="30"/>
        </w:rPr>
        <w:t>Data or information acquired by the DoD component under a pledge of confidentiality for exclusively statistical purposes must be used exclusively for statistical purposes and may not be disclosed in identifiable form for any other purpose, except with the informed consent of the respondent.</w:t>
      </w:r>
    </w:p>
    <w:p w14:paraId="745C12C8" w14:textId="72251B50" w:rsidR="00ED4184" w:rsidRPr="00AA4677" w:rsidRDefault="00ED4184">
      <w:pPr>
        <w:widowControl w:val="0"/>
        <w:numPr>
          <w:ilvl w:val="0"/>
          <w:numId w:val="138"/>
        </w:numPr>
        <w:tabs>
          <w:tab w:val="left" w:pos="840"/>
        </w:tabs>
        <w:spacing w:before="52" w:after="0" w:line="240" w:lineRule="auto"/>
        <w:ind w:left="360" w:right="521"/>
        <w:rPr>
          <w:rFonts w:eastAsia="Times New Roman" w:cs="Times New Roman"/>
          <w:szCs w:val="24"/>
        </w:rPr>
      </w:pPr>
      <w:r w:rsidRPr="00AA4677">
        <w:t xml:space="preserve">Additional safeguards for research conducted with international populations may be required by the IRB. These can include verification </w:t>
      </w:r>
      <w:proofErr w:type="gramStart"/>
      <w:r w:rsidRPr="00AA4677">
        <w:t>from</w:t>
      </w:r>
      <w:proofErr w:type="gramEnd"/>
      <w:r w:rsidRPr="00AA4677">
        <w:t xml:space="preserve"> the country that the research can be carried out. Review by a local context reviewer is necessary to ensure that cultural norms are integrated into the research and that the researcher has permission to conduct research in that country. Researchers must follow all local laws, regulations, customs, and practices. </w:t>
      </w:r>
    </w:p>
    <w:p w14:paraId="144E8B98" w14:textId="77777777" w:rsidR="002302B4" w:rsidRPr="00AA4677" w:rsidRDefault="002302B4" w:rsidP="002302B4">
      <w:pPr>
        <w:pStyle w:val="Bullet1DoDDeptofDefense"/>
        <w:numPr>
          <w:ilvl w:val="0"/>
          <w:numId w:val="0"/>
        </w:numPr>
        <w:tabs>
          <w:tab w:val="clear" w:pos="407"/>
          <w:tab w:val="clear" w:pos="673"/>
        </w:tabs>
        <w:ind w:left="360"/>
        <w:rPr>
          <w:rFonts w:cstheme="minorHAnsi"/>
          <w:color w:val="auto"/>
        </w:rPr>
      </w:pPr>
    </w:p>
    <w:p w14:paraId="40970F0A" w14:textId="0888B738" w:rsidR="002302B4" w:rsidRPr="00AA4677" w:rsidRDefault="00785476" w:rsidP="00785476">
      <w:pPr>
        <w:pStyle w:val="Bullet1DoDDeptofDefense"/>
        <w:numPr>
          <w:ilvl w:val="0"/>
          <w:numId w:val="0"/>
        </w:numPr>
        <w:tabs>
          <w:tab w:val="clear" w:pos="407"/>
          <w:tab w:val="clear" w:pos="673"/>
          <w:tab w:val="left" w:pos="900"/>
        </w:tabs>
        <w:rPr>
          <w:rFonts w:asciiTheme="minorHAnsi" w:hAnsiTheme="minorHAnsi" w:cstheme="minorHAnsi"/>
          <w:b/>
          <w:color w:val="auto"/>
          <w:sz w:val="24"/>
        </w:rPr>
      </w:pPr>
      <w:r w:rsidRPr="00AA4677">
        <w:rPr>
          <w:rFonts w:asciiTheme="minorHAnsi" w:hAnsiTheme="minorHAnsi" w:cstheme="minorHAnsi"/>
          <w:b/>
          <w:color w:val="auto"/>
          <w:sz w:val="24"/>
        </w:rPr>
        <w:t xml:space="preserve">17.16.1 </w:t>
      </w:r>
      <w:r w:rsidR="002302B4" w:rsidRPr="00AA4677">
        <w:rPr>
          <w:rFonts w:asciiTheme="minorHAnsi" w:hAnsiTheme="minorHAnsi" w:cstheme="minorHAnsi"/>
          <w:b/>
          <w:color w:val="auto"/>
          <w:sz w:val="24"/>
        </w:rPr>
        <w:t xml:space="preserve">Research with DoD Personnel </w:t>
      </w:r>
    </w:p>
    <w:p w14:paraId="3EEDF368" w14:textId="77777777" w:rsidR="002302B4" w:rsidRPr="00AA4677" w:rsidRDefault="002302B4" w:rsidP="002302B4">
      <w:pPr>
        <w:pStyle w:val="Bullet1DoDDeptofDefense"/>
        <w:numPr>
          <w:ilvl w:val="0"/>
          <w:numId w:val="0"/>
        </w:numPr>
        <w:tabs>
          <w:tab w:val="clear" w:pos="407"/>
          <w:tab w:val="clear" w:pos="673"/>
        </w:tabs>
        <w:rPr>
          <w:rFonts w:cstheme="minorHAnsi"/>
          <w:color w:val="auto"/>
        </w:rPr>
      </w:pPr>
    </w:p>
    <w:p w14:paraId="4128EA42" w14:textId="5A891D24" w:rsidR="00371FBE" w:rsidRPr="00AA4677" w:rsidRDefault="00371FBE">
      <w:pPr>
        <w:pStyle w:val="Bullet1DoDDeptofDefense"/>
        <w:numPr>
          <w:ilvl w:val="1"/>
          <w:numId w:val="63"/>
        </w:numPr>
        <w:tabs>
          <w:tab w:val="clear" w:pos="673"/>
          <w:tab w:val="clear" w:pos="1080"/>
        </w:tabs>
        <w:ind w:left="360"/>
        <w:rPr>
          <w:rFonts w:cstheme="minorHAnsi"/>
          <w:color w:val="auto"/>
        </w:rPr>
      </w:pPr>
      <w:r w:rsidRPr="00AA4677">
        <w:rPr>
          <w:rFonts w:asciiTheme="minorHAnsi" w:hAnsiTheme="minorHAnsi" w:cstheme="minorHAnsi"/>
          <w:color w:val="auto"/>
          <w:sz w:val="24"/>
        </w:rPr>
        <w:t xml:space="preserve">The DoD Component-level administrative review must be conducted before the research involving human participants can begin when the involvement of DoD personnel in the conduct of the </w:t>
      </w:r>
      <w:r w:rsidR="00717203" w:rsidRPr="00AA4677">
        <w:rPr>
          <w:rFonts w:asciiTheme="minorHAnsi" w:hAnsiTheme="minorHAnsi" w:cstheme="minorHAnsi"/>
          <w:color w:val="auto"/>
          <w:sz w:val="24"/>
        </w:rPr>
        <w:t>research</w:t>
      </w:r>
      <w:r w:rsidRPr="00AA4677">
        <w:rPr>
          <w:rFonts w:asciiTheme="minorHAnsi" w:hAnsiTheme="minorHAnsi" w:cstheme="minorHAnsi"/>
          <w:color w:val="auto"/>
          <w:sz w:val="24"/>
        </w:rPr>
        <w:t xml:space="preserve"> is secondary to that of the non-DoD institution.</w:t>
      </w:r>
      <w:r w:rsidR="003736DC" w:rsidRPr="00AA4677">
        <w:rPr>
          <w:rFonts w:asciiTheme="minorHAnsi" w:hAnsiTheme="minorHAnsi" w:cstheme="minorHAnsi"/>
          <w:color w:val="auto"/>
          <w:sz w:val="24"/>
        </w:rPr>
        <w:t xml:space="preserve"> Research conducted on DoD personnel is not allowed at Stony Brook University.</w:t>
      </w:r>
    </w:p>
    <w:p w14:paraId="64FAE59E" w14:textId="21C43F53" w:rsidR="00AD0891" w:rsidRPr="00AA4677" w:rsidRDefault="00AD0891">
      <w:pPr>
        <w:pStyle w:val="Bullet1DoDDeptofDefense"/>
        <w:numPr>
          <w:ilvl w:val="1"/>
          <w:numId w:val="63"/>
        </w:numPr>
        <w:tabs>
          <w:tab w:val="clear" w:pos="673"/>
          <w:tab w:val="clear" w:pos="1080"/>
          <w:tab w:val="num" w:pos="360"/>
        </w:tabs>
        <w:ind w:left="360"/>
        <w:rPr>
          <w:rFonts w:cstheme="minorHAnsi"/>
          <w:color w:val="auto"/>
        </w:rPr>
      </w:pPr>
      <w:r w:rsidRPr="00AA4677">
        <w:rPr>
          <w:rFonts w:asciiTheme="minorHAnsi" w:hAnsiTheme="minorHAnsi" w:cstheme="minorHAnsi"/>
          <w:color w:val="auto"/>
          <w:sz w:val="24"/>
        </w:rPr>
        <w:t xml:space="preserve">Surveys performed on DoD personnel must be submitted, reviewed, and approved by the DoD </w:t>
      </w:r>
      <w:r w:rsidR="003736DC" w:rsidRPr="00AA4677">
        <w:rPr>
          <w:rFonts w:asciiTheme="minorHAnsi" w:hAnsiTheme="minorHAnsi" w:cstheme="minorHAnsi"/>
          <w:color w:val="auto"/>
          <w:sz w:val="24"/>
        </w:rPr>
        <w:t xml:space="preserve">Information Management Control Officer (ICMO) </w:t>
      </w:r>
      <w:r w:rsidRPr="00AA4677">
        <w:rPr>
          <w:rFonts w:asciiTheme="minorHAnsi" w:hAnsiTheme="minorHAnsi" w:cstheme="minorHAnsi"/>
          <w:color w:val="auto"/>
          <w:sz w:val="24"/>
        </w:rPr>
        <w:t>after the research protocol is reviewed and approved by the IRB. When a survey crosses DoD Components, additional review is required.</w:t>
      </w:r>
    </w:p>
    <w:p w14:paraId="50B737A5" w14:textId="77777777" w:rsidR="00FE23E1" w:rsidRPr="00AA4677" w:rsidRDefault="00F2286C">
      <w:pPr>
        <w:pStyle w:val="ListParagraph"/>
        <w:widowControl w:val="0"/>
        <w:numPr>
          <w:ilvl w:val="1"/>
          <w:numId w:val="63"/>
        </w:numPr>
        <w:tabs>
          <w:tab w:val="clear" w:pos="1080"/>
          <w:tab w:val="num" w:pos="0"/>
          <w:tab w:val="left" w:pos="840"/>
        </w:tabs>
        <w:spacing w:after="0" w:line="240" w:lineRule="auto"/>
        <w:ind w:left="360" w:right="762"/>
        <w:rPr>
          <w:rFonts w:eastAsia="Times New Roman" w:cs="Times New Roman"/>
          <w:szCs w:val="24"/>
        </w:rPr>
      </w:pPr>
      <w:r w:rsidRPr="00AA4677">
        <w:rPr>
          <w:rFonts w:eastAsia="Times New Roman" w:cs="Times New Roman"/>
          <w:szCs w:val="24"/>
        </w:rPr>
        <w:t>Employees of the Department of Defense (including temporary, part-time, and intermittent appointments) may not be able to legally accept payments to participate in research and should check with their supervisor before accepting such payments. Employees of the Department of Defense cannot be paid for conducting research</w:t>
      </w:r>
      <w:r w:rsidRPr="00AA4677">
        <w:rPr>
          <w:rFonts w:eastAsia="Times New Roman" w:cs="Times New Roman"/>
          <w:spacing w:val="-19"/>
          <w:szCs w:val="24"/>
        </w:rPr>
        <w:t xml:space="preserve"> </w:t>
      </w:r>
      <w:r w:rsidRPr="00AA4677">
        <w:rPr>
          <w:rFonts w:eastAsia="Times New Roman" w:cs="Times New Roman"/>
          <w:szCs w:val="24"/>
        </w:rPr>
        <w:t>while on active</w:t>
      </w:r>
      <w:r w:rsidRPr="00AA4677">
        <w:rPr>
          <w:rFonts w:eastAsia="Times New Roman" w:cs="Times New Roman"/>
          <w:spacing w:val="-3"/>
          <w:szCs w:val="24"/>
        </w:rPr>
        <w:t xml:space="preserve"> </w:t>
      </w:r>
      <w:r w:rsidRPr="00AA4677">
        <w:rPr>
          <w:rFonts w:eastAsia="Times New Roman" w:cs="Times New Roman"/>
          <w:szCs w:val="24"/>
        </w:rPr>
        <w:t>duty.</w:t>
      </w:r>
    </w:p>
    <w:p w14:paraId="360F9239" w14:textId="20B8C5E4" w:rsidR="00FE23E1" w:rsidRPr="00AA4677" w:rsidRDefault="00FE23E1">
      <w:pPr>
        <w:pStyle w:val="ListParagraph"/>
        <w:widowControl w:val="0"/>
        <w:numPr>
          <w:ilvl w:val="1"/>
          <w:numId w:val="63"/>
        </w:numPr>
        <w:tabs>
          <w:tab w:val="clear" w:pos="1080"/>
          <w:tab w:val="num" w:pos="0"/>
          <w:tab w:val="left" w:pos="840"/>
        </w:tabs>
        <w:spacing w:after="0" w:line="240" w:lineRule="auto"/>
        <w:ind w:left="360" w:right="762"/>
        <w:rPr>
          <w:rFonts w:eastAsia="Times New Roman" w:cs="Times New Roman"/>
          <w:szCs w:val="24"/>
        </w:rPr>
      </w:pPr>
      <w:r w:rsidRPr="00AA4677">
        <w:rPr>
          <w:rFonts w:cstheme="minorHAnsi"/>
          <w:szCs w:val="24"/>
        </w:rPr>
        <w:t xml:space="preserve">The DoD no longer requires the appointment of a research monitor. </w:t>
      </w:r>
      <w:r w:rsidRPr="00AA4677">
        <w:rPr>
          <w:rFonts w:eastAsia="Times New Roman" w:cs="Times New Roman"/>
          <w:szCs w:val="24"/>
        </w:rPr>
        <w:t>Investigators may remove the requirement for a research monitor from existing open studies through a modification submitted to and approved by the IRB.</w:t>
      </w:r>
    </w:p>
    <w:p w14:paraId="74DA10E6" w14:textId="77777777" w:rsidR="00331D2E" w:rsidRPr="00AA4677" w:rsidRDefault="00331D2E" w:rsidP="00331D2E">
      <w:pPr>
        <w:widowControl w:val="0"/>
        <w:tabs>
          <w:tab w:val="left" w:pos="840"/>
        </w:tabs>
        <w:spacing w:before="2" w:after="0" w:line="240" w:lineRule="auto"/>
        <w:ind w:left="359" w:right="611"/>
        <w:rPr>
          <w:rFonts w:eastAsia="Times New Roman" w:cs="Times New Roman"/>
          <w:szCs w:val="24"/>
        </w:rPr>
      </w:pPr>
    </w:p>
    <w:p w14:paraId="75A0E1AD" w14:textId="085D2F82" w:rsidR="002302B4" w:rsidRPr="00AA4677" w:rsidRDefault="002302B4">
      <w:pPr>
        <w:pStyle w:val="ListParagraph"/>
        <w:numPr>
          <w:ilvl w:val="2"/>
          <w:numId w:val="341"/>
        </w:numPr>
        <w:tabs>
          <w:tab w:val="left" w:pos="900"/>
        </w:tabs>
        <w:spacing w:after="0" w:line="240" w:lineRule="auto"/>
        <w:rPr>
          <w:rFonts w:eastAsia="Times New Roman" w:cstheme="minorHAnsi"/>
          <w:b/>
          <w:szCs w:val="20"/>
        </w:rPr>
      </w:pPr>
      <w:r w:rsidRPr="00AA4677">
        <w:rPr>
          <w:rFonts w:eastAsia="Times New Roman" w:cstheme="minorHAnsi"/>
          <w:b/>
          <w:szCs w:val="20"/>
        </w:rPr>
        <w:lastRenderedPageBreak/>
        <w:t>DoD and Reliance</w:t>
      </w:r>
      <w:r w:rsidR="003C347C" w:rsidRPr="00AA4677">
        <w:rPr>
          <w:rFonts w:eastAsia="Times New Roman" w:cstheme="minorHAnsi"/>
          <w:b/>
          <w:szCs w:val="20"/>
        </w:rPr>
        <w:t xml:space="preserve"> on Another Institution</w:t>
      </w:r>
    </w:p>
    <w:p w14:paraId="6F61D105" w14:textId="77777777" w:rsidR="002302B4" w:rsidRPr="00AA4677" w:rsidRDefault="002302B4" w:rsidP="002302B4">
      <w:pPr>
        <w:pStyle w:val="ListParagraph"/>
        <w:spacing w:after="0" w:line="240" w:lineRule="auto"/>
        <w:rPr>
          <w:rFonts w:eastAsia="Times New Roman" w:cstheme="minorHAnsi"/>
          <w:szCs w:val="20"/>
        </w:rPr>
      </w:pPr>
    </w:p>
    <w:p w14:paraId="1D42073F" w14:textId="4337BD4E" w:rsidR="00D26401" w:rsidRPr="00AA4677" w:rsidRDefault="00D26401">
      <w:pPr>
        <w:pStyle w:val="ListParagraph"/>
        <w:numPr>
          <w:ilvl w:val="0"/>
          <w:numId w:val="317"/>
        </w:numPr>
        <w:spacing w:after="0" w:line="240" w:lineRule="auto"/>
        <w:ind w:left="360"/>
        <w:rPr>
          <w:rFonts w:eastAsia="Times New Roman" w:cstheme="minorHAnsi"/>
          <w:szCs w:val="24"/>
        </w:rPr>
      </w:pPr>
      <w:r w:rsidRPr="00AA4677">
        <w:rPr>
          <w:rFonts w:cstheme="minorHAnsi"/>
          <w:szCs w:val="24"/>
        </w:rPr>
        <w:t>The appropriate DoD</w:t>
      </w:r>
      <w:r w:rsidRPr="00AA4677">
        <w:rPr>
          <w:rFonts w:ascii="Arial" w:hAnsi="Arial" w:cs="Arial"/>
          <w:szCs w:val="24"/>
        </w:rPr>
        <w:t xml:space="preserve"> </w:t>
      </w:r>
      <w:r w:rsidRPr="00AA4677">
        <w:rPr>
          <w:rFonts w:cstheme="minorHAnsi"/>
          <w:szCs w:val="24"/>
        </w:rPr>
        <w:t>component prior to research starting. DoD component-level administrative review (CLAR) must include reliance agreements</w:t>
      </w:r>
    </w:p>
    <w:p w14:paraId="0FA8BE63" w14:textId="284C96CD" w:rsidR="006F4A80" w:rsidRPr="00AA4677" w:rsidRDefault="006F4A80">
      <w:pPr>
        <w:pStyle w:val="ListParagraph"/>
        <w:numPr>
          <w:ilvl w:val="0"/>
          <w:numId w:val="317"/>
        </w:numPr>
        <w:spacing w:after="0" w:line="240" w:lineRule="auto"/>
        <w:ind w:left="360"/>
        <w:rPr>
          <w:rFonts w:eastAsia="Times New Roman" w:cstheme="minorHAnsi"/>
          <w:szCs w:val="20"/>
        </w:rPr>
      </w:pPr>
      <w:r w:rsidRPr="00AA4677">
        <w:rPr>
          <w:rFonts w:eastAsia="Times New Roman" w:cstheme="minorHAnsi"/>
          <w:szCs w:val="24"/>
        </w:rPr>
        <w:t>DoD institutions collaborating with non-DoD institutions</w:t>
      </w:r>
      <w:r w:rsidRPr="00AA4677">
        <w:rPr>
          <w:rFonts w:eastAsia="Times New Roman" w:cstheme="minorHAnsi"/>
          <w:szCs w:val="20"/>
        </w:rPr>
        <w:t xml:space="preserve"> may rely on a collaborating non-DoD institution’s IRB if the following conditions are met:</w:t>
      </w:r>
    </w:p>
    <w:p w14:paraId="579C9535" w14:textId="36309D38" w:rsidR="006F4A80" w:rsidRPr="00AA4677" w:rsidRDefault="006F4A80">
      <w:pPr>
        <w:numPr>
          <w:ilvl w:val="1"/>
          <w:numId w:val="214"/>
        </w:numPr>
        <w:spacing w:after="0" w:line="240" w:lineRule="auto"/>
        <w:ind w:left="360" w:hanging="360"/>
        <w:rPr>
          <w:rFonts w:eastAsia="Times New Roman" w:cstheme="minorHAnsi"/>
          <w:szCs w:val="20"/>
        </w:rPr>
      </w:pPr>
      <w:r w:rsidRPr="00AA4677">
        <w:rPr>
          <w:rFonts w:eastAsia="Times New Roman" w:cstheme="minorHAnsi"/>
          <w:szCs w:val="20"/>
        </w:rPr>
        <w:t xml:space="preserve">Each institution engaged in non-exempt human participant research must have a current </w:t>
      </w:r>
      <w:r w:rsidR="0024478D" w:rsidRPr="00AA4677">
        <w:rPr>
          <w:rFonts w:eastAsia="Times New Roman" w:cstheme="minorHAnsi"/>
          <w:szCs w:val="20"/>
        </w:rPr>
        <w:t>federal assurance of compliance</w:t>
      </w:r>
    </w:p>
    <w:p w14:paraId="020C4E15" w14:textId="6790FA14" w:rsidR="006752DE" w:rsidRPr="00AA4677" w:rsidRDefault="002302B4">
      <w:pPr>
        <w:numPr>
          <w:ilvl w:val="1"/>
          <w:numId w:val="214"/>
        </w:numPr>
        <w:spacing w:after="0" w:line="240" w:lineRule="auto"/>
        <w:ind w:left="360" w:hanging="360"/>
        <w:rPr>
          <w:rFonts w:eastAsia="Times New Roman" w:cstheme="minorHAnsi"/>
          <w:szCs w:val="20"/>
        </w:rPr>
      </w:pPr>
      <w:r w:rsidRPr="00AA4677">
        <w:rPr>
          <w:rFonts w:eastAsia="Times New Roman" w:cstheme="minorHAnsi"/>
          <w:szCs w:val="20"/>
        </w:rPr>
        <w:t>The non-DoD institution’s IRB must be</w:t>
      </w:r>
      <w:r w:rsidR="006752DE" w:rsidRPr="00AA4677">
        <w:rPr>
          <w:rFonts w:eastAsia="Times New Roman" w:cstheme="minorHAnsi"/>
          <w:szCs w:val="20"/>
        </w:rPr>
        <w:t xml:space="preserve"> registered in accordance with Subpart E 45 CFR 46</w:t>
      </w:r>
    </w:p>
    <w:p w14:paraId="2D1509C4" w14:textId="0F700614" w:rsidR="006F4A80" w:rsidRPr="00AA4677" w:rsidRDefault="006F4A80">
      <w:pPr>
        <w:numPr>
          <w:ilvl w:val="1"/>
          <w:numId w:val="215"/>
        </w:numPr>
        <w:spacing w:after="0" w:line="240" w:lineRule="auto"/>
        <w:ind w:left="360"/>
        <w:rPr>
          <w:rFonts w:eastAsia="Times New Roman" w:cstheme="minorHAnsi"/>
          <w:szCs w:val="24"/>
        </w:rPr>
      </w:pPr>
      <w:r w:rsidRPr="00AA4677">
        <w:rPr>
          <w:rFonts w:eastAsia="Times New Roman" w:cstheme="minorHAnsi"/>
          <w:szCs w:val="24"/>
        </w:rPr>
        <w:t>The involvement of DoD personnel in the conduct of the research is secondary to that of the non-DoD institution</w:t>
      </w:r>
    </w:p>
    <w:p w14:paraId="57A5E742" w14:textId="375AA805" w:rsidR="006752DE" w:rsidRPr="00AA4677" w:rsidRDefault="006752DE">
      <w:pPr>
        <w:numPr>
          <w:ilvl w:val="1"/>
          <w:numId w:val="215"/>
        </w:numPr>
        <w:spacing w:after="0" w:line="240" w:lineRule="auto"/>
        <w:ind w:left="360"/>
        <w:rPr>
          <w:rFonts w:eastAsia="Times New Roman" w:cstheme="minorHAnsi"/>
          <w:szCs w:val="24"/>
        </w:rPr>
      </w:pPr>
      <w:r w:rsidRPr="00AA4677">
        <w:rPr>
          <w:rFonts w:eastAsia="Times New Roman" w:cstheme="minorHAnsi"/>
          <w:szCs w:val="24"/>
        </w:rPr>
        <w:t>The DoD reviews the protocol to ensure all applicable local and DoD requirements are addressed in the protocol.</w:t>
      </w:r>
    </w:p>
    <w:p w14:paraId="64322114" w14:textId="3CC5D2A8" w:rsidR="007077A9" w:rsidRPr="00AA4677" w:rsidRDefault="006F4A80">
      <w:pPr>
        <w:numPr>
          <w:ilvl w:val="2"/>
          <w:numId w:val="308"/>
        </w:numPr>
        <w:shd w:val="clear" w:color="auto" w:fill="FFFFFF"/>
        <w:spacing w:after="0" w:line="240" w:lineRule="auto"/>
        <w:ind w:left="720"/>
        <w:rPr>
          <w:rFonts w:cstheme="minorHAnsi"/>
          <w:szCs w:val="24"/>
        </w:rPr>
      </w:pPr>
      <w:r w:rsidRPr="00AA4677">
        <w:rPr>
          <w:rFonts w:eastAsia="Times New Roman" w:cstheme="minorHAnsi"/>
          <w:szCs w:val="24"/>
        </w:rPr>
        <w:t xml:space="preserve">The DoD institution, non-DoD institution, and the non-DoD institution’s IRB have a written agreement defining the responsibilities and authorities of each organization in complying with all legal requirements.  This agreement must be approved by the DoD </w:t>
      </w:r>
      <w:r w:rsidR="004F6005" w:rsidRPr="00AA4677">
        <w:rPr>
          <w:rFonts w:eastAsia="Times New Roman" w:cstheme="minorHAnsi"/>
          <w:szCs w:val="24"/>
        </w:rPr>
        <w:t>C</w:t>
      </w:r>
      <w:r w:rsidRPr="00AA4677">
        <w:rPr>
          <w:rFonts w:eastAsia="Times New Roman" w:cstheme="minorHAnsi"/>
          <w:szCs w:val="24"/>
        </w:rPr>
        <w:t>omponent prior to the DoD institutio</w:t>
      </w:r>
      <w:r w:rsidR="0024478D" w:rsidRPr="00AA4677">
        <w:rPr>
          <w:rFonts w:eastAsia="Times New Roman" w:cstheme="minorHAnsi"/>
          <w:szCs w:val="24"/>
        </w:rPr>
        <w:t>n’s engagement in the research</w:t>
      </w:r>
      <w:r w:rsidR="006752DE" w:rsidRPr="00AA4677">
        <w:rPr>
          <w:rFonts w:eastAsia="Times New Roman" w:cstheme="minorHAnsi"/>
          <w:szCs w:val="24"/>
        </w:rPr>
        <w:t xml:space="preserve">. </w:t>
      </w:r>
      <w:r w:rsidR="006752DE" w:rsidRPr="00AA4677">
        <w:rPr>
          <w:rFonts w:cstheme="minorHAnsi"/>
          <w:szCs w:val="24"/>
        </w:rPr>
        <w:t>This agreement must specify that the non-DoD IRB will apply the DoD requirements specified in DoDI 3216.02, including but not limited to non-DoD institutional responsibilities defined under DoDI 3216.02 section 3.6(b).</w:t>
      </w:r>
    </w:p>
    <w:p w14:paraId="2F1AC367" w14:textId="45B9305F" w:rsidR="0024478D" w:rsidRPr="00AA4677" w:rsidRDefault="00FC6F5B">
      <w:pPr>
        <w:numPr>
          <w:ilvl w:val="1"/>
          <w:numId w:val="215"/>
        </w:numPr>
        <w:spacing w:after="0" w:line="240" w:lineRule="auto"/>
        <w:ind w:left="360"/>
        <w:rPr>
          <w:rFonts w:eastAsia="Times New Roman" w:cstheme="minorHAnsi"/>
          <w:szCs w:val="24"/>
        </w:rPr>
      </w:pPr>
      <w:r w:rsidRPr="00AA4677">
        <w:rPr>
          <w:rFonts w:eastAsia="Times New Roman" w:cstheme="minorHAnsi"/>
          <w:szCs w:val="24"/>
        </w:rPr>
        <w:t>The scientific merit</w:t>
      </w:r>
      <w:r w:rsidR="0024478D" w:rsidRPr="00AA4677">
        <w:rPr>
          <w:rFonts w:eastAsia="Times New Roman" w:cstheme="minorHAnsi"/>
          <w:szCs w:val="24"/>
        </w:rPr>
        <w:t xml:space="preserve"> is considered by the </w:t>
      </w:r>
      <w:proofErr w:type="gramStart"/>
      <w:r w:rsidR="0024478D" w:rsidRPr="00AA4677">
        <w:rPr>
          <w:rFonts w:eastAsia="Times New Roman" w:cstheme="minorHAnsi"/>
          <w:szCs w:val="24"/>
        </w:rPr>
        <w:t>IRB</w:t>
      </w:r>
      <w:proofErr w:type="gramEnd"/>
      <w:r w:rsidR="0024478D" w:rsidRPr="00AA4677">
        <w:rPr>
          <w:rFonts w:eastAsia="Times New Roman" w:cstheme="minorHAnsi"/>
          <w:szCs w:val="24"/>
        </w:rPr>
        <w:t xml:space="preserve"> and </w:t>
      </w:r>
      <w:r w:rsidR="002302B4" w:rsidRPr="00AA4677">
        <w:rPr>
          <w:rFonts w:eastAsia="Times New Roman" w:cstheme="minorHAnsi"/>
          <w:szCs w:val="24"/>
        </w:rPr>
        <w:t xml:space="preserve">an </w:t>
      </w:r>
      <w:r w:rsidR="0024478D" w:rsidRPr="00AA4677">
        <w:rPr>
          <w:rFonts w:eastAsia="Times New Roman" w:cstheme="minorHAnsi"/>
          <w:szCs w:val="24"/>
        </w:rPr>
        <w:t>outside expert may be relied upon for evaluation of scientific merit if necessary</w:t>
      </w:r>
    </w:p>
    <w:p w14:paraId="5A3244F3" w14:textId="68763C3A" w:rsidR="003C347C" w:rsidRPr="00AA4677" w:rsidRDefault="003C347C">
      <w:pPr>
        <w:widowControl w:val="0"/>
        <w:numPr>
          <w:ilvl w:val="0"/>
          <w:numId w:val="215"/>
        </w:numPr>
        <w:tabs>
          <w:tab w:val="left" w:pos="840"/>
        </w:tabs>
        <w:spacing w:after="0" w:line="240" w:lineRule="auto"/>
        <w:ind w:left="360" w:right="1157"/>
        <w:rPr>
          <w:rFonts w:eastAsia="Times New Roman" w:cs="Times New Roman"/>
          <w:szCs w:val="24"/>
        </w:rPr>
      </w:pPr>
      <w:r w:rsidRPr="00AA4677">
        <w:rPr>
          <w:rFonts w:eastAsia="Times New Roman" w:cs="Times New Roman"/>
          <w:szCs w:val="24"/>
        </w:rPr>
        <w:t>When conducting multi-site research, a formal agreement between organizations is required to specify the roles and responsibilities of each</w:t>
      </w:r>
      <w:r w:rsidRPr="00AA4677">
        <w:rPr>
          <w:rFonts w:eastAsia="Times New Roman" w:cs="Times New Roman"/>
          <w:spacing w:val="-15"/>
          <w:szCs w:val="24"/>
        </w:rPr>
        <w:t xml:space="preserve"> </w:t>
      </w:r>
      <w:r w:rsidRPr="00AA4677">
        <w:rPr>
          <w:rFonts w:eastAsia="Times New Roman" w:cs="Times New Roman"/>
          <w:szCs w:val="24"/>
        </w:rPr>
        <w:t>party.</w:t>
      </w:r>
    </w:p>
    <w:p w14:paraId="2B5065C9" w14:textId="6692430C" w:rsidR="002302B4" w:rsidRPr="00AA4677" w:rsidRDefault="002302B4" w:rsidP="002302B4">
      <w:pPr>
        <w:spacing w:after="0" w:line="240" w:lineRule="auto"/>
        <w:rPr>
          <w:rFonts w:eastAsia="Times New Roman" w:cstheme="minorHAnsi"/>
          <w:szCs w:val="24"/>
        </w:rPr>
      </w:pPr>
    </w:p>
    <w:p w14:paraId="1423079E" w14:textId="49E6E6CF" w:rsidR="002302B4" w:rsidRPr="00AA4677" w:rsidRDefault="002302B4">
      <w:pPr>
        <w:pStyle w:val="ListParagraph"/>
        <w:numPr>
          <w:ilvl w:val="2"/>
          <w:numId w:val="341"/>
        </w:numPr>
        <w:tabs>
          <w:tab w:val="left" w:pos="990"/>
        </w:tabs>
        <w:spacing w:after="0" w:line="240" w:lineRule="auto"/>
        <w:rPr>
          <w:rFonts w:eastAsia="Times New Roman" w:cstheme="minorHAnsi"/>
          <w:b/>
          <w:szCs w:val="24"/>
        </w:rPr>
      </w:pPr>
      <w:r w:rsidRPr="00AA4677">
        <w:rPr>
          <w:rFonts w:eastAsia="Times New Roman" w:cstheme="minorHAnsi"/>
          <w:b/>
          <w:szCs w:val="24"/>
        </w:rPr>
        <w:t>R</w:t>
      </w:r>
      <w:r w:rsidR="003C347C" w:rsidRPr="00AA4677">
        <w:rPr>
          <w:rFonts w:eastAsia="Times New Roman" w:cstheme="minorHAnsi"/>
          <w:b/>
          <w:szCs w:val="24"/>
        </w:rPr>
        <w:t>eporting to the DoD</w:t>
      </w:r>
    </w:p>
    <w:p w14:paraId="60842C4E" w14:textId="77777777" w:rsidR="002302B4" w:rsidRPr="00AA4677" w:rsidRDefault="002302B4" w:rsidP="002302B4">
      <w:pPr>
        <w:spacing w:after="0" w:line="240" w:lineRule="auto"/>
        <w:rPr>
          <w:rFonts w:eastAsia="Times New Roman" w:cstheme="minorHAnsi"/>
          <w:szCs w:val="24"/>
        </w:rPr>
      </w:pPr>
    </w:p>
    <w:p w14:paraId="68100E80" w14:textId="058E6C09" w:rsidR="007077A9" w:rsidRPr="00AA4677" w:rsidRDefault="007077A9">
      <w:pPr>
        <w:pStyle w:val="ObservationDoDDeptofDefense"/>
        <w:numPr>
          <w:ilvl w:val="0"/>
          <w:numId w:val="319"/>
        </w:numPr>
        <w:rPr>
          <w:rFonts w:cstheme="minorHAnsi"/>
          <w:color w:val="auto"/>
          <w:szCs w:val="24"/>
        </w:rPr>
      </w:pPr>
      <w:r w:rsidRPr="00AA4677">
        <w:rPr>
          <w:rFonts w:asciiTheme="minorHAnsi" w:hAnsiTheme="minorHAnsi" w:cstheme="minorHAnsi"/>
          <w:color w:val="auto"/>
          <w:sz w:val="24"/>
          <w:szCs w:val="24"/>
        </w:rPr>
        <w:t>Determinations of serious or continuing non-compliance</w:t>
      </w:r>
      <w:r w:rsidR="00FD36CB" w:rsidRPr="00AA4677">
        <w:rPr>
          <w:rFonts w:asciiTheme="minorHAnsi" w:hAnsiTheme="minorHAnsi" w:cstheme="minorHAnsi"/>
          <w:color w:val="auto"/>
          <w:sz w:val="24"/>
          <w:szCs w:val="24"/>
        </w:rPr>
        <w:t>, unanticipated problems involving risks to participants or others, or suspension or termination</w:t>
      </w:r>
      <w:r w:rsidRPr="00AA4677">
        <w:rPr>
          <w:rFonts w:asciiTheme="minorHAnsi" w:hAnsiTheme="minorHAnsi" w:cstheme="minorHAnsi"/>
          <w:color w:val="auto"/>
          <w:sz w:val="24"/>
          <w:szCs w:val="24"/>
        </w:rPr>
        <w:t xml:space="preserve"> of DoD-supported research must be promptly (no longer than within 30 days) reported to the DoD human research protection officer</w:t>
      </w:r>
      <w:r w:rsidR="0076166C" w:rsidRPr="00AA4677">
        <w:rPr>
          <w:rFonts w:asciiTheme="minorHAnsi" w:hAnsiTheme="minorHAnsi" w:cstheme="minorHAnsi"/>
          <w:color w:val="auto"/>
          <w:sz w:val="24"/>
          <w:szCs w:val="24"/>
        </w:rPr>
        <w:t xml:space="preserve"> (Component Office of Human Research Protections)</w:t>
      </w:r>
      <w:r w:rsidRPr="00AA4677">
        <w:rPr>
          <w:rFonts w:asciiTheme="minorHAnsi" w:hAnsiTheme="minorHAnsi" w:cstheme="minorHAnsi"/>
          <w:color w:val="auto"/>
          <w:sz w:val="24"/>
          <w:szCs w:val="24"/>
        </w:rPr>
        <w:t>.</w:t>
      </w:r>
      <w:r w:rsidR="00FD36CB" w:rsidRPr="00AA4677">
        <w:rPr>
          <w:rFonts w:asciiTheme="minorHAnsi" w:hAnsiTheme="minorHAnsi" w:cstheme="minorHAnsi"/>
          <w:color w:val="auto"/>
          <w:sz w:val="24"/>
          <w:szCs w:val="24"/>
        </w:rPr>
        <w:t xml:space="preserve"> </w:t>
      </w:r>
      <w:r w:rsidR="0076166C" w:rsidRPr="00AA4677">
        <w:rPr>
          <w:rFonts w:asciiTheme="minorHAnsi" w:hAnsiTheme="minorHAnsi" w:cstheme="minorHAnsi"/>
          <w:color w:val="auto"/>
          <w:sz w:val="24"/>
          <w:szCs w:val="24"/>
        </w:rPr>
        <w:t>The IO will be responsible for sending these reports.</w:t>
      </w:r>
    </w:p>
    <w:p w14:paraId="77B8C7C1" w14:textId="6C40E7E2" w:rsidR="003C347C" w:rsidRPr="00AA4677" w:rsidRDefault="003C347C">
      <w:pPr>
        <w:numPr>
          <w:ilvl w:val="2"/>
          <w:numId w:val="319"/>
        </w:numPr>
        <w:shd w:val="clear" w:color="auto" w:fill="FFFFFF"/>
        <w:tabs>
          <w:tab w:val="clear" w:pos="1800"/>
        </w:tabs>
        <w:spacing w:after="0" w:line="240" w:lineRule="auto"/>
        <w:ind w:left="450" w:hanging="450"/>
        <w:rPr>
          <w:rFonts w:cstheme="minorHAnsi"/>
          <w:szCs w:val="30"/>
        </w:rPr>
      </w:pPr>
      <w:r w:rsidRPr="00AA4677">
        <w:rPr>
          <w:rFonts w:cstheme="minorHAnsi"/>
          <w:szCs w:val="30"/>
        </w:rPr>
        <w:t>Allegations of serious or continuing noncompliance related to research involving human participants that are substantiated by investigation, and subsequent actions taken based on the findings.</w:t>
      </w:r>
    </w:p>
    <w:p w14:paraId="0DD5A80C" w14:textId="77777777" w:rsidR="003C347C" w:rsidRPr="00AA4677" w:rsidRDefault="003C347C">
      <w:pPr>
        <w:numPr>
          <w:ilvl w:val="2"/>
          <w:numId w:val="318"/>
        </w:numPr>
        <w:shd w:val="clear" w:color="auto" w:fill="FFFFFF"/>
        <w:tabs>
          <w:tab w:val="clear" w:pos="1800"/>
          <w:tab w:val="num" w:pos="450"/>
        </w:tabs>
        <w:spacing w:after="0" w:line="240" w:lineRule="auto"/>
        <w:ind w:left="450" w:hanging="450"/>
        <w:rPr>
          <w:rFonts w:cstheme="minorHAnsi"/>
          <w:szCs w:val="30"/>
        </w:rPr>
      </w:pPr>
      <w:r w:rsidRPr="00AA4677">
        <w:rPr>
          <w:rFonts w:cstheme="minorHAnsi"/>
          <w:szCs w:val="30"/>
        </w:rPr>
        <w:t>Reports of audits of DoD-conducted or DoD-supported human participant research by another federal or state agency, official governing body of a Native American or Alaskan native tribe, other official entity, or foreign government.</w:t>
      </w:r>
    </w:p>
    <w:p w14:paraId="406334D9" w14:textId="19BB9F57" w:rsidR="007077A9" w:rsidRPr="00AA4677" w:rsidRDefault="007077A9">
      <w:pPr>
        <w:pStyle w:val="ListParagraph"/>
        <w:numPr>
          <w:ilvl w:val="0"/>
          <w:numId w:val="318"/>
        </w:numPr>
        <w:spacing w:after="0" w:line="240" w:lineRule="auto"/>
        <w:rPr>
          <w:rFonts w:eastAsia="Times New Roman" w:cstheme="minorHAnsi"/>
          <w:szCs w:val="24"/>
        </w:rPr>
      </w:pPr>
      <w:r w:rsidRPr="00AA4677">
        <w:rPr>
          <w:rFonts w:eastAsia="Times New Roman" w:cstheme="minorHAnsi"/>
          <w:szCs w:val="24"/>
        </w:rPr>
        <w:lastRenderedPageBreak/>
        <w:t>The following must be promptly (no longer than within 30 days) reported to the DoD human research protection officer</w:t>
      </w:r>
      <w:r w:rsidR="0076166C" w:rsidRPr="00AA4677">
        <w:rPr>
          <w:rFonts w:eastAsia="Times New Roman" w:cstheme="minorHAnsi"/>
          <w:szCs w:val="24"/>
        </w:rPr>
        <w:t xml:space="preserve"> </w:t>
      </w:r>
      <w:r w:rsidR="0076166C" w:rsidRPr="00AA4677">
        <w:rPr>
          <w:rFonts w:cstheme="minorHAnsi"/>
          <w:szCs w:val="24"/>
        </w:rPr>
        <w:t>(Component Office of Human Research Protections)</w:t>
      </w:r>
      <w:r w:rsidRPr="00AA4677">
        <w:rPr>
          <w:rFonts w:eastAsia="Times New Roman" w:cstheme="minorHAnsi"/>
          <w:szCs w:val="24"/>
        </w:rPr>
        <w:t>:</w:t>
      </w:r>
    </w:p>
    <w:p w14:paraId="38EF3B41" w14:textId="23BA0FCD" w:rsidR="007077A9" w:rsidRPr="00AA4677" w:rsidRDefault="007077A9">
      <w:pPr>
        <w:pStyle w:val="ListParagraph"/>
        <w:numPr>
          <w:ilvl w:val="1"/>
          <w:numId w:val="214"/>
        </w:numPr>
        <w:spacing w:after="0" w:line="240" w:lineRule="auto"/>
        <w:ind w:left="360" w:hanging="360"/>
        <w:rPr>
          <w:rFonts w:eastAsia="Times New Roman" w:cstheme="minorHAnsi"/>
          <w:szCs w:val="20"/>
        </w:rPr>
      </w:pPr>
      <w:r w:rsidRPr="00AA4677">
        <w:rPr>
          <w:rFonts w:eastAsia="Times New Roman" w:cstheme="minorHAnsi"/>
          <w:szCs w:val="20"/>
        </w:rPr>
        <w:t>When significant changes to the research protocol are approved by the IRB.</w:t>
      </w:r>
    </w:p>
    <w:p w14:paraId="33FCFC2C" w14:textId="06099602" w:rsidR="003276CA" w:rsidRPr="00AA4677" w:rsidRDefault="003276CA">
      <w:pPr>
        <w:pStyle w:val="ListParagraph"/>
        <w:numPr>
          <w:ilvl w:val="2"/>
          <w:numId w:val="214"/>
        </w:numPr>
        <w:spacing w:after="0" w:line="240" w:lineRule="auto"/>
        <w:ind w:left="720" w:hanging="360"/>
        <w:rPr>
          <w:rFonts w:eastAsia="Times New Roman" w:cstheme="minorHAnsi"/>
          <w:szCs w:val="20"/>
        </w:rPr>
      </w:pPr>
      <w:r w:rsidRPr="00AA4677">
        <w:rPr>
          <w:rFonts w:eastAsia="Times New Roman" w:cstheme="minorHAnsi"/>
          <w:szCs w:val="20"/>
        </w:rPr>
        <w:t>Changes to key investigators or institutions</w:t>
      </w:r>
    </w:p>
    <w:p w14:paraId="38CC9129" w14:textId="1C8AAC37" w:rsidR="003276CA" w:rsidRPr="00AA4677" w:rsidRDefault="003276CA">
      <w:pPr>
        <w:pStyle w:val="ListParagraph"/>
        <w:numPr>
          <w:ilvl w:val="2"/>
          <w:numId w:val="214"/>
        </w:numPr>
        <w:spacing w:after="0" w:line="240" w:lineRule="auto"/>
        <w:ind w:left="720" w:hanging="360"/>
        <w:rPr>
          <w:rFonts w:eastAsia="Times New Roman" w:cstheme="minorHAnsi"/>
          <w:szCs w:val="20"/>
        </w:rPr>
      </w:pPr>
      <w:r w:rsidRPr="00AA4677">
        <w:rPr>
          <w:rFonts w:eastAsia="Times New Roman" w:cstheme="minorHAnsi"/>
          <w:szCs w:val="20"/>
        </w:rPr>
        <w:t xml:space="preserve">Decreased benefit or increased risk to participants in greater than minimal risk </w:t>
      </w:r>
      <w:r w:rsidR="00717203" w:rsidRPr="00AA4677">
        <w:rPr>
          <w:rFonts w:eastAsia="Times New Roman" w:cstheme="minorHAnsi"/>
          <w:szCs w:val="20"/>
        </w:rPr>
        <w:t>research</w:t>
      </w:r>
    </w:p>
    <w:p w14:paraId="2CC1ED06" w14:textId="53F7544F" w:rsidR="003276CA" w:rsidRPr="00AA4677" w:rsidRDefault="003276CA">
      <w:pPr>
        <w:pStyle w:val="ListParagraph"/>
        <w:numPr>
          <w:ilvl w:val="2"/>
          <w:numId w:val="214"/>
        </w:numPr>
        <w:spacing w:after="0" w:line="240" w:lineRule="auto"/>
        <w:ind w:left="720" w:hanging="360"/>
        <w:rPr>
          <w:rFonts w:eastAsia="Times New Roman" w:cstheme="minorHAnsi"/>
          <w:szCs w:val="20"/>
        </w:rPr>
      </w:pPr>
      <w:r w:rsidRPr="00AA4677">
        <w:rPr>
          <w:rFonts w:eastAsia="Times New Roman" w:cstheme="minorHAnsi"/>
          <w:szCs w:val="20"/>
        </w:rPr>
        <w:t>Additional of vulnerable populations as participants</w:t>
      </w:r>
    </w:p>
    <w:p w14:paraId="526A40FA" w14:textId="76DF2987" w:rsidR="003276CA" w:rsidRPr="00AA4677" w:rsidRDefault="003276CA">
      <w:pPr>
        <w:pStyle w:val="ListParagraph"/>
        <w:numPr>
          <w:ilvl w:val="2"/>
          <w:numId w:val="214"/>
        </w:numPr>
        <w:spacing w:after="0" w:line="240" w:lineRule="auto"/>
        <w:ind w:left="720" w:hanging="360"/>
        <w:rPr>
          <w:rFonts w:eastAsia="Times New Roman" w:cstheme="minorHAnsi"/>
          <w:szCs w:val="20"/>
        </w:rPr>
      </w:pPr>
      <w:r w:rsidRPr="00AA4677">
        <w:rPr>
          <w:rFonts w:eastAsia="Times New Roman" w:cstheme="minorHAnsi"/>
          <w:szCs w:val="20"/>
        </w:rPr>
        <w:t>Addition of DoD-affiliated person</w:t>
      </w:r>
      <w:r w:rsidR="00116984" w:rsidRPr="00AA4677">
        <w:rPr>
          <w:rFonts w:eastAsia="Times New Roman" w:cstheme="minorHAnsi"/>
          <w:szCs w:val="20"/>
        </w:rPr>
        <w:t>n</w:t>
      </w:r>
      <w:r w:rsidRPr="00AA4677">
        <w:rPr>
          <w:rFonts w:eastAsia="Times New Roman" w:cstheme="minorHAnsi"/>
          <w:szCs w:val="20"/>
        </w:rPr>
        <w:t>el as participants</w:t>
      </w:r>
    </w:p>
    <w:p w14:paraId="4CC0FEF6" w14:textId="59CA4BCD" w:rsidR="007077A9" w:rsidRPr="00AA4677" w:rsidRDefault="007077A9">
      <w:pPr>
        <w:pStyle w:val="ListParagraph"/>
        <w:numPr>
          <w:ilvl w:val="1"/>
          <w:numId w:val="214"/>
        </w:numPr>
        <w:spacing w:after="0" w:line="240" w:lineRule="auto"/>
        <w:ind w:left="360" w:hanging="360"/>
        <w:rPr>
          <w:rFonts w:eastAsia="Times New Roman" w:cstheme="minorHAnsi"/>
          <w:szCs w:val="20"/>
        </w:rPr>
      </w:pPr>
      <w:r w:rsidRPr="00AA4677">
        <w:rPr>
          <w:rFonts w:eastAsia="Times New Roman" w:cstheme="minorHAnsi"/>
          <w:szCs w:val="20"/>
        </w:rPr>
        <w:t>The results of the IRB</w:t>
      </w:r>
      <w:r w:rsidR="003276CA" w:rsidRPr="00AA4677">
        <w:rPr>
          <w:rFonts w:eastAsia="Times New Roman" w:cstheme="minorHAnsi"/>
          <w:szCs w:val="20"/>
        </w:rPr>
        <w:t>’s</w:t>
      </w:r>
      <w:r w:rsidRPr="00AA4677">
        <w:rPr>
          <w:rFonts w:eastAsia="Times New Roman" w:cstheme="minorHAnsi"/>
          <w:szCs w:val="20"/>
        </w:rPr>
        <w:t xml:space="preserve"> continuing review.</w:t>
      </w:r>
    </w:p>
    <w:p w14:paraId="2301EEBF" w14:textId="559A22E8" w:rsidR="007077A9" w:rsidRPr="00AA4677" w:rsidRDefault="007077A9">
      <w:pPr>
        <w:pStyle w:val="ListParagraph"/>
        <w:numPr>
          <w:ilvl w:val="1"/>
          <w:numId w:val="214"/>
        </w:numPr>
        <w:spacing w:after="0" w:line="240" w:lineRule="auto"/>
        <w:ind w:left="360" w:hanging="360"/>
        <w:rPr>
          <w:rFonts w:eastAsia="Times New Roman" w:cstheme="minorHAnsi"/>
          <w:szCs w:val="20"/>
        </w:rPr>
      </w:pPr>
      <w:r w:rsidRPr="00AA4677">
        <w:rPr>
          <w:rFonts w:eastAsia="Times New Roman" w:cstheme="minorHAnsi"/>
          <w:szCs w:val="20"/>
        </w:rPr>
        <w:t>Change of reviewing IRB.</w:t>
      </w:r>
    </w:p>
    <w:p w14:paraId="153A0B74" w14:textId="782002E6" w:rsidR="008557A4" w:rsidRPr="00AA4677" w:rsidRDefault="008557A4">
      <w:pPr>
        <w:pStyle w:val="ListParagraph"/>
        <w:numPr>
          <w:ilvl w:val="1"/>
          <w:numId w:val="214"/>
        </w:numPr>
        <w:spacing w:after="0" w:line="240" w:lineRule="auto"/>
        <w:ind w:left="360" w:hanging="360"/>
        <w:rPr>
          <w:rFonts w:eastAsia="Times New Roman" w:cstheme="minorHAnsi"/>
          <w:szCs w:val="20"/>
        </w:rPr>
      </w:pPr>
      <w:r w:rsidRPr="00AA4677">
        <w:rPr>
          <w:rFonts w:eastAsia="Times New Roman" w:cstheme="minorHAnsi"/>
          <w:szCs w:val="20"/>
        </w:rPr>
        <w:t>Change in status when a previously enrolled participant becomes pregnant, or when the researcher leans that a previously enrolled participants is pregnant, and the protocol was not reviewed and approved by the IRB in accordance with 45 CFR 46, Subpart B.</w:t>
      </w:r>
    </w:p>
    <w:p w14:paraId="7F1C3114" w14:textId="144A4AAD" w:rsidR="008557A4" w:rsidRPr="00AA4677" w:rsidRDefault="008557A4">
      <w:pPr>
        <w:pStyle w:val="ListParagraph"/>
        <w:numPr>
          <w:ilvl w:val="1"/>
          <w:numId w:val="214"/>
        </w:numPr>
        <w:spacing w:after="0" w:line="240" w:lineRule="auto"/>
        <w:ind w:left="360" w:hanging="360"/>
        <w:rPr>
          <w:rFonts w:eastAsia="Times New Roman" w:cstheme="minorHAnsi"/>
          <w:sz w:val="32"/>
          <w:szCs w:val="20"/>
        </w:rPr>
      </w:pPr>
      <w:r w:rsidRPr="00AA4677">
        <w:rPr>
          <w:rFonts w:cstheme="minorHAnsi"/>
        </w:rPr>
        <w:t>Change in status when a previously enrolled participant becomes a prisoner, and the protocol was not reviewed and approved by the IRB in accordance with 32 CFR 219, Subpart C.</w:t>
      </w:r>
    </w:p>
    <w:p w14:paraId="011F82C7" w14:textId="08B2B1CA" w:rsidR="008557A4" w:rsidRPr="00AA4677" w:rsidRDefault="008557A4">
      <w:pPr>
        <w:pStyle w:val="ListParagraph"/>
        <w:numPr>
          <w:ilvl w:val="1"/>
          <w:numId w:val="214"/>
        </w:numPr>
        <w:spacing w:after="0" w:line="240" w:lineRule="auto"/>
        <w:ind w:left="360" w:hanging="360"/>
        <w:rPr>
          <w:rFonts w:eastAsia="Times New Roman" w:cstheme="minorHAnsi"/>
          <w:sz w:val="32"/>
          <w:szCs w:val="20"/>
        </w:rPr>
      </w:pPr>
      <w:r w:rsidRPr="00AA4677">
        <w:rPr>
          <w:rFonts w:cstheme="minorHAnsi"/>
        </w:rPr>
        <w:t>Closure of a DoD-supported study.</w:t>
      </w:r>
    </w:p>
    <w:p w14:paraId="7E8394EC" w14:textId="003D64D6" w:rsidR="006F4A80" w:rsidRPr="00AA4677" w:rsidRDefault="007077A9">
      <w:pPr>
        <w:pStyle w:val="ListParagraph"/>
        <w:numPr>
          <w:ilvl w:val="1"/>
          <w:numId w:val="214"/>
        </w:numPr>
        <w:spacing w:after="0" w:line="240" w:lineRule="auto"/>
        <w:ind w:left="360" w:hanging="360"/>
        <w:rPr>
          <w:rFonts w:eastAsia="Times New Roman" w:cstheme="minorHAnsi"/>
          <w:szCs w:val="24"/>
        </w:rPr>
      </w:pPr>
      <w:r w:rsidRPr="00AA4677">
        <w:rPr>
          <w:rFonts w:eastAsia="Times New Roman" w:cstheme="minorHAnsi"/>
          <w:szCs w:val="20"/>
        </w:rPr>
        <w:t xml:space="preserve">When the organization is notified by any federal department, agency, or national organization </w:t>
      </w:r>
      <w:r w:rsidR="003736DC" w:rsidRPr="00AA4677">
        <w:rPr>
          <w:rFonts w:eastAsia="Times New Roman" w:cstheme="minorHAnsi"/>
          <w:szCs w:val="20"/>
        </w:rPr>
        <w:t xml:space="preserve">Official governing body of a Native American or Alaskan native tribe, other entity or foreign government </w:t>
      </w:r>
      <w:r w:rsidRPr="00AA4677">
        <w:rPr>
          <w:rFonts w:eastAsia="Times New Roman" w:cstheme="minorHAnsi"/>
          <w:szCs w:val="20"/>
        </w:rPr>
        <w:t>that any part of the HRPP is under investigation for cause involving a DoD-supported research protocol.</w:t>
      </w:r>
    </w:p>
    <w:p w14:paraId="534E940A" w14:textId="103B041A" w:rsidR="003C347C" w:rsidRPr="00AA4677" w:rsidRDefault="003C347C" w:rsidP="003C347C">
      <w:pPr>
        <w:spacing w:after="0" w:line="240" w:lineRule="auto"/>
        <w:rPr>
          <w:rFonts w:eastAsia="Times New Roman" w:cstheme="minorHAnsi"/>
          <w:szCs w:val="24"/>
        </w:rPr>
      </w:pPr>
    </w:p>
    <w:p w14:paraId="431921D4" w14:textId="78EF49BA" w:rsidR="003C347C" w:rsidRPr="00AA4677" w:rsidRDefault="003C347C">
      <w:pPr>
        <w:pStyle w:val="ListParagraph"/>
        <w:numPr>
          <w:ilvl w:val="2"/>
          <w:numId w:val="341"/>
        </w:numPr>
        <w:tabs>
          <w:tab w:val="left" w:pos="900"/>
        </w:tabs>
        <w:spacing w:after="0" w:line="240" w:lineRule="auto"/>
        <w:rPr>
          <w:rFonts w:eastAsia="Times New Roman" w:cstheme="minorHAnsi"/>
          <w:b/>
          <w:szCs w:val="24"/>
        </w:rPr>
      </w:pPr>
      <w:r w:rsidRPr="00AA4677">
        <w:rPr>
          <w:rFonts w:eastAsia="Times New Roman" w:cstheme="minorHAnsi"/>
          <w:b/>
          <w:szCs w:val="24"/>
        </w:rPr>
        <w:t>Involvement of U.S. Military Personnel</w:t>
      </w:r>
    </w:p>
    <w:p w14:paraId="2EAD4DF7" w14:textId="77777777" w:rsidR="003C347C" w:rsidRPr="00AA4677" w:rsidRDefault="003C347C" w:rsidP="003C347C">
      <w:pPr>
        <w:spacing w:after="0" w:line="240" w:lineRule="auto"/>
        <w:rPr>
          <w:rFonts w:eastAsia="Times New Roman" w:cstheme="minorHAnsi"/>
          <w:szCs w:val="24"/>
        </w:rPr>
      </w:pPr>
    </w:p>
    <w:p w14:paraId="7A5D569B" w14:textId="77777777" w:rsidR="003C347C" w:rsidRPr="00AA4677" w:rsidRDefault="00F2286C">
      <w:pPr>
        <w:pStyle w:val="ListParagraph"/>
        <w:widowControl w:val="0"/>
        <w:numPr>
          <w:ilvl w:val="2"/>
          <w:numId w:val="236"/>
        </w:numPr>
        <w:tabs>
          <w:tab w:val="left" w:pos="360"/>
        </w:tabs>
        <w:spacing w:after="0" w:line="240" w:lineRule="auto"/>
        <w:ind w:left="360" w:right="754"/>
        <w:rPr>
          <w:rFonts w:eastAsia="Times New Roman" w:cs="Times New Roman"/>
          <w:szCs w:val="24"/>
        </w:rPr>
      </w:pPr>
      <w:r w:rsidRPr="00AA4677">
        <w:rPr>
          <w:rFonts w:eastAsia="Times New Roman" w:cs="Times New Roman"/>
          <w:szCs w:val="24"/>
        </w:rPr>
        <w:t>When research involves U.S. military personnel, polici</w:t>
      </w:r>
      <w:r w:rsidR="003C347C" w:rsidRPr="00AA4677">
        <w:rPr>
          <w:rFonts w:eastAsia="Times New Roman" w:cs="Times New Roman"/>
          <w:szCs w:val="24"/>
        </w:rPr>
        <w:t>es and procedure</w:t>
      </w:r>
    </w:p>
    <w:p w14:paraId="6E2E9830" w14:textId="77777777" w:rsidR="003C347C" w:rsidRPr="00AA4677" w:rsidRDefault="00F2286C" w:rsidP="00971D69">
      <w:pPr>
        <w:pStyle w:val="ListParagraph"/>
        <w:widowControl w:val="0"/>
        <w:spacing w:after="0" w:line="240" w:lineRule="auto"/>
        <w:ind w:left="360" w:right="754"/>
        <w:rPr>
          <w:rFonts w:eastAsia="Times New Roman" w:cs="Times New Roman"/>
          <w:szCs w:val="24"/>
        </w:rPr>
      </w:pPr>
      <w:r w:rsidRPr="00AA4677">
        <w:rPr>
          <w:rFonts w:eastAsia="Times New Roman" w:cs="Times New Roman"/>
          <w:szCs w:val="24"/>
        </w:rPr>
        <w:t>require limitations on dual</w:t>
      </w:r>
      <w:r w:rsidRPr="00AA4677">
        <w:rPr>
          <w:rFonts w:eastAsia="Times New Roman" w:cs="Times New Roman"/>
          <w:spacing w:val="-4"/>
          <w:szCs w:val="24"/>
        </w:rPr>
        <w:t xml:space="preserve"> </w:t>
      </w:r>
      <w:r w:rsidRPr="00AA4677">
        <w:rPr>
          <w:rFonts w:eastAsia="Times New Roman" w:cs="Times New Roman"/>
          <w:szCs w:val="24"/>
        </w:rPr>
        <w:t>compensation:</w:t>
      </w:r>
    </w:p>
    <w:p w14:paraId="725B079F" w14:textId="161CF56D" w:rsidR="00F2286C" w:rsidRPr="00AA4677" w:rsidRDefault="00F2286C">
      <w:pPr>
        <w:pStyle w:val="ListParagraph"/>
        <w:widowControl w:val="0"/>
        <w:numPr>
          <w:ilvl w:val="0"/>
          <w:numId w:val="320"/>
        </w:numPr>
        <w:tabs>
          <w:tab w:val="left" w:pos="840"/>
        </w:tabs>
        <w:spacing w:after="0" w:line="240" w:lineRule="auto"/>
        <w:ind w:left="360" w:right="754"/>
        <w:rPr>
          <w:rFonts w:eastAsia="Times New Roman" w:cs="Times New Roman"/>
          <w:szCs w:val="24"/>
        </w:rPr>
      </w:pPr>
      <w:r w:rsidRPr="00AA4677">
        <w:rPr>
          <w:rFonts w:eastAsia="Times New Roman" w:cs="Times New Roman"/>
          <w:szCs w:val="24"/>
        </w:rPr>
        <w:t xml:space="preserve">Prohibit an </w:t>
      </w:r>
      <w:r w:rsidR="00606526" w:rsidRPr="00AA4677">
        <w:rPr>
          <w:rFonts w:eastAsia="Times New Roman" w:cs="Times New Roman"/>
          <w:szCs w:val="24"/>
        </w:rPr>
        <w:t>individual from receiving pay or</w:t>
      </w:r>
      <w:r w:rsidRPr="00AA4677">
        <w:rPr>
          <w:rFonts w:eastAsia="Times New Roman" w:cs="Times New Roman"/>
          <w:szCs w:val="24"/>
        </w:rPr>
        <w:t xml:space="preserve"> compensation for research during duty hours.</w:t>
      </w:r>
    </w:p>
    <w:p w14:paraId="70001ADB" w14:textId="3907221A" w:rsidR="00971D69" w:rsidRPr="00AA4677" w:rsidRDefault="00971D69">
      <w:pPr>
        <w:pStyle w:val="ListParagraph"/>
        <w:numPr>
          <w:ilvl w:val="2"/>
          <w:numId w:val="236"/>
        </w:numPr>
        <w:shd w:val="clear" w:color="auto" w:fill="FFFFFF"/>
        <w:tabs>
          <w:tab w:val="clear" w:pos="1800"/>
        </w:tabs>
        <w:spacing w:after="0" w:line="240" w:lineRule="auto"/>
        <w:ind w:left="360"/>
        <w:rPr>
          <w:rFonts w:cstheme="minorHAnsi"/>
          <w:szCs w:val="24"/>
        </w:rPr>
      </w:pPr>
      <w:r w:rsidRPr="00AA4677">
        <w:rPr>
          <w:rFonts w:cstheme="minorHAnsi"/>
          <w:szCs w:val="24"/>
        </w:rPr>
        <w:t>Civilian researchers attempting to access military volunteers should seek collaboration with a military researcher familiar with service-specific requirements.  </w:t>
      </w:r>
    </w:p>
    <w:p w14:paraId="294044F7" w14:textId="002AAEBF" w:rsidR="00F2286C" w:rsidRPr="00AA4677" w:rsidRDefault="00F2286C">
      <w:pPr>
        <w:pStyle w:val="ListParagraph"/>
        <w:widowControl w:val="0"/>
        <w:numPr>
          <w:ilvl w:val="2"/>
          <w:numId w:val="236"/>
        </w:numPr>
        <w:tabs>
          <w:tab w:val="clear" w:pos="1800"/>
          <w:tab w:val="num" w:pos="360"/>
          <w:tab w:val="left" w:pos="1560"/>
        </w:tabs>
        <w:spacing w:before="1" w:after="0" w:line="240" w:lineRule="auto"/>
        <w:ind w:left="360" w:right="1093"/>
        <w:rPr>
          <w:rFonts w:eastAsia="Times New Roman" w:cs="Times New Roman"/>
          <w:szCs w:val="24"/>
        </w:rPr>
      </w:pPr>
      <w:r w:rsidRPr="00AA4677">
        <w:rPr>
          <w:rFonts w:eastAsia="Times New Roman" w:cs="Times New Roman"/>
          <w:szCs w:val="24"/>
        </w:rPr>
        <w:t>An individual may</w:t>
      </w:r>
      <w:r w:rsidR="0035789E" w:rsidRPr="00AA4677">
        <w:rPr>
          <w:rFonts w:eastAsia="Times New Roman" w:cs="Times New Roman"/>
          <w:szCs w:val="24"/>
        </w:rPr>
        <w:t xml:space="preserve"> </w:t>
      </w:r>
      <w:r w:rsidRPr="00AA4677">
        <w:rPr>
          <w:rFonts w:eastAsia="Times New Roman" w:cs="Times New Roman"/>
          <w:szCs w:val="24"/>
        </w:rPr>
        <w:t>be compensated for research if the participant is involved in the research when not on</w:t>
      </w:r>
      <w:r w:rsidRPr="00AA4677">
        <w:rPr>
          <w:rFonts w:eastAsia="Times New Roman" w:cs="Times New Roman"/>
          <w:spacing w:val="-6"/>
          <w:szCs w:val="24"/>
        </w:rPr>
        <w:t xml:space="preserve"> </w:t>
      </w:r>
      <w:r w:rsidRPr="00AA4677">
        <w:rPr>
          <w:rFonts w:eastAsia="Times New Roman" w:cs="Times New Roman"/>
          <w:szCs w:val="24"/>
        </w:rPr>
        <w:t>duty</w:t>
      </w:r>
      <w:r w:rsidR="0035789E" w:rsidRPr="00AA4677">
        <w:rPr>
          <w:rFonts w:eastAsia="Times New Roman" w:cs="Times New Roman"/>
          <w:szCs w:val="24"/>
        </w:rPr>
        <w:t xml:space="preserve"> </w:t>
      </w:r>
      <w:r w:rsidR="0035789E" w:rsidRPr="00AA4677">
        <w:rPr>
          <w:rFonts w:cstheme="minorHAnsi"/>
          <w:szCs w:val="24"/>
        </w:rPr>
        <w:t xml:space="preserve">in accordance with 5 USC, with </w:t>
      </w:r>
      <w:proofErr w:type="gramStart"/>
      <w:r w:rsidR="0035789E" w:rsidRPr="00AA4677">
        <w:rPr>
          <w:rFonts w:cstheme="minorHAnsi"/>
          <w:szCs w:val="24"/>
        </w:rPr>
        <w:t>particular reference</w:t>
      </w:r>
      <w:proofErr w:type="gramEnd"/>
      <w:r w:rsidR="0035789E" w:rsidRPr="00AA4677">
        <w:rPr>
          <w:rFonts w:cstheme="minorHAnsi"/>
          <w:szCs w:val="24"/>
        </w:rPr>
        <w:t xml:space="preserve"> to Subparts G and H, with some exceptions for purposes consistent with 24 USC 30</w:t>
      </w:r>
      <w:r w:rsidRPr="00AA4677">
        <w:rPr>
          <w:rFonts w:eastAsia="Times New Roman" w:cs="Times New Roman"/>
          <w:szCs w:val="24"/>
        </w:rPr>
        <w:t>.</w:t>
      </w:r>
    </w:p>
    <w:p w14:paraId="21A28848" w14:textId="77777777" w:rsidR="00F2286C" w:rsidRPr="00AA4677" w:rsidRDefault="00F2286C">
      <w:pPr>
        <w:widowControl w:val="0"/>
        <w:numPr>
          <w:ilvl w:val="1"/>
          <w:numId w:val="236"/>
        </w:numPr>
        <w:tabs>
          <w:tab w:val="left" w:pos="1560"/>
          <w:tab w:val="left" w:pos="1561"/>
        </w:tabs>
        <w:spacing w:before="1" w:after="0" w:line="240" w:lineRule="auto"/>
        <w:ind w:left="360" w:right="489"/>
        <w:rPr>
          <w:rFonts w:eastAsia="Times New Roman" w:cs="Times New Roman"/>
          <w:szCs w:val="24"/>
        </w:rPr>
      </w:pPr>
      <w:r w:rsidRPr="00AA4677">
        <w:rPr>
          <w:rFonts w:eastAsia="Times New Roman" w:cs="Times New Roman"/>
          <w:szCs w:val="24"/>
        </w:rPr>
        <w:t xml:space="preserve">Federal employees while on duty and non-Federal </w:t>
      </w:r>
      <w:proofErr w:type="gramStart"/>
      <w:r w:rsidRPr="00AA4677">
        <w:rPr>
          <w:rFonts w:eastAsia="Times New Roman" w:cs="Times New Roman"/>
          <w:szCs w:val="24"/>
        </w:rPr>
        <w:t>persons</w:t>
      </w:r>
      <w:proofErr w:type="gramEnd"/>
      <w:r w:rsidRPr="00AA4677">
        <w:rPr>
          <w:rFonts w:eastAsia="Times New Roman" w:cs="Times New Roman"/>
          <w:szCs w:val="24"/>
        </w:rPr>
        <w:t xml:space="preserve"> may be compensated for blood </w:t>
      </w:r>
      <w:proofErr w:type="gramStart"/>
      <w:r w:rsidRPr="00AA4677">
        <w:rPr>
          <w:rFonts w:eastAsia="Times New Roman" w:cs="Times New Roman"/>
          <w:szCs w:val="24"/>
        </w:rPr>
        <w:t>draws</w:t>
      </w:r>
      <w:proofErr w:type="gramEnd"/>
      <w:r w:rsidRPr="00AA4677">
        <w:rPr>
          <w:rFonts w:eastAsia="Times New Roman" w:cs="Times New Roman"/>
          <w:szCs w:val="24"/>
        </w:rPr>
        <w:t xml:space="preserve"> for research up to $50 for each blood</w:t>
      </w:r>
      <w:r w:rsidRPr="00AA4677">
        <w:rPr>
          <w:rFonts w:eastAsia="Times New Roman" w:cs="Times New Roman"/>
          <w:spacing w:val="-15"/>
          <w:szCs w:val="24"/>
        </w:rPr>
        <w:t xml:space="preserve"> </w:t>
      </w:r>
      <w:proofErr w:type="gramStart"/>
      <w:r w:rsidRPr="00AA4677">
        <w:rPr>
          <w:rFonts w:eastAsia="Times New Roman" w:cs="Times New Roman"/>
          <w:szCs w:val="24"/>
        </w:rPr>
        <w:t>draw</w:t>
      </w:r>
      <w:proofErr w:type="gramEnd"/>
      <w:r w:rsidRPr="00AA4677">
        <w:rPr>
          <w:rFonts w:eastAsia="Times New Roman" w:cs="Times New Roman"/>
          <w:szCs w:val="24"/>
        </w:rPr>
        <w:t>.</w:t>
      </w:r>
    </w:p>
    <w:p w14:paraId="72C1CECC" w14:textId="794B3CB5" w:rsidR="00ED4184" w:rsidRPr="00AA4677" w:rsidRDefault="00F2286C">
      <w:pPr>
        <w:widowControl w:val="0"/>
        <w:numPr>
          <w:ilvl w:val="1"/>
          <w:numId w:val="236"/>
        </w:numPr>
        <w:tabs>
          <w:tab w:val="left" w:pos="1560"/>
        </w:tabs>
        <w:spacing w:before="2" w:after="0" w:line="237" w:lineRule="auto"/>
        <w:ind w:left="360" w:right="598"/>
        <w:rPr>
          <w:rFonts w:eastAsia="Times New Roman" w:cs="Times New Roman"/>
          <w:szCs w:val="24"/>
        </w:rPr>
      </w:pPr>
      <w:r w:rsidRPr="00AA4677">
        <w:rPr>
          <w:rFonts w:eastAsia="Times New Roman" w:cs="Times New Roman"/>
          <w:szCs w:val="24"/>
        </w:rPr>
        <w:t xml:space="preserve">Non-Federal </w:t>
      </w:r>
      <w:proofErr w:type="gramStart"/>
      <w:r w:rsidRPr="00AA4677">
        <w:rPr>
          <w:rFonts w:eastAsia="Times New Roman" w:cs="Times New Roman"/>
          <w:szCs w:val="24"/>
        </w:rPr>
        <w:t>persons</w:t>
      </w:r>
      <w:proofErr w:type="gramEnd"/>
      <w:r w:rsidRPr="00AA4677">
        <w:rPr>
          <w:rFonts w:eastAsia="Times New Roman" w:cs="Times New Roman"/>
          <w:szCs w:val="24"/>
        </w:rPr>
        <w:t xml:space="preserve"> may be compensated for research participating other than blood draws in a reasonable amount as approved by the IRB according to local prevailing rates and the nature of the</w:t>
      </w:r>
      <w:r w:rsidRPr="00AA4677">
        <w:rPr>
          <w:rFonts w:eastAsia="Times New Roman" w:cs="Times New Roman"/>
          <w:spacing w:val="-7"/>
          <w:szCs w:val="24"/>
        </w:rPr>
        <w:t xml:space="preserve"> </w:t>
      </w:r>
      <w:r w:rsidR="00ED4184" w:rsidRPr="00AA4677">
        <w:rPr>
          <w:rFonts w:eastAsia="Times New Roman" w:cs="Times New Roman"/>
          <w:szCs w:val="24"/>
        </w:rPr>
        <w:t>research.</w:t>
      </w:r>
    </w:p>
    <w:p w14:paraId="5664F5FF" w14:textId="7532A68A" w:rsidR="00ED4184" w:rsidRPr="00AA4677" w:rsidRDefault="00ED4184">
      <w:pPr>
        <w:pStyle w:val="ListParagraph"/>
        <w:widowControl w:val="0"/>
        <w:numPr>
          <w:ilvl w:val="0"/>
          <w:numId w:val="63"/>
        </w:numPr>
        <w:tabs>
          <w:tab w:val="left" w:pos="1560"/>
        </w:tabs>
        <w:spacing w:before="2" w:after="0" w:line="237" w:lineRule="auto"/>
        <w:ind w:right="598"/>
        <w:rPr>
          <w:rFonts w:eastAsia="Times New Roman" w:cs="Times New Roman"/>
          <w:szCs w:val="24"/>
        </w:rPr>
      </w:pPr>
      <w:r w:rsidRPr="00AA4677">
        <w:rPr>
          <w:rFonts w:cstheme="minorHAnsi"/>
          <w:szCs w:val="24"/>
        </w:rPr>
        <w:t xml:space="preserve">The IRB </w:t>
      </w:r>
      <w:r w:rsidR="00773B57" w:rsidRPr="00AA4677">
        <w:rPr>
          <w:rFonts w:cstheme="minorHAnsi"/>
          <w:szCs w:val="24"/>
        </w:rPr>
        <w:t xml:space="preserve">no longer requires </w:t>
      </w:r>
      <w:r w:rsidRPr="00AA4677">
        <w:rPr>
          <w:rFonts w:cstheme="minorHAnsi"/>
          <w:szCs w:val="24"/>
        </w:rPr>
        <w:t>the appointment of a research monitor:</w:t>
      </w:r>
    </w:p>
    <w:p w14:paraId="66545C19" w14:textId="0AD69676" w:rsidR="00773B57" w:rsidRPr="00AA4677" w:rsidRDefault="00773B57">
      <w:pPr>
        <w:pStyle w:val="ListParagraph"/>
        <w:widowControl w:val="0"/>
        <w:numPr>
          <w:ilvl w:val="0"/>
          <w:numId w:val="327"/>
        </w:numPr>
        <w:spacing w:before="2" w:after="0" w:line="237" w:lineRule="auto"/>
        <w:ind w:left="360" w:right="598"/>
        <w:rPr>
          <w:rFonts w:eastAsia="Times New Roman" w:cs="Times New Roman"/>
          <w:szCs w:val="24"/>
        </w:rPr>
      </w:pPr>
      <w:r w:rsidRPr="00AA4677">
        <w:rPr>
          <w:rFonts w:eastAsia="Times New Roman" w:cs="Times New Roman"/>
          <w:szCs w:val="24"/>
        </w:rPr>
        <w:t>Investigators may remove the re</w:t>
      </w:r>
      <w:r w:rsidR="009222DA" w:rsidRPr="00AA4677">
        <w:rPr>
          <w:rFonts w:eastAsia="Times New Roman" w:cs="Times New Roman"/>
          <w:szCs w:val="24"/>
        </w:rPr>
        <w:t>quirement for a research monitor</w:t>
      </w:r>
      <w:r w:rsidRPr="00AA4677">
        <w:rPr>
          <w:rFonts w:eastAsia="Times New Roman" w:cs="Times New Roman"/>
          <w:szCs w:val="24"/>
        </w:rPr>
        <w:t xml:space="preserve"> from existing open studies through a modification submitted to and approved by the IRB.</w:t>
      </w:r>
    </w:p>
    <w:p w14:paraId="183C6069" w14:textId="1492CA1B" w:rsidR="005D559F" w:rsidRPr="00AA4677" w:rsidRDefault="005D559F">
      <w:pPr>
        <w:pStyle w:val="Bullet2DoDDeptofDefense"/>
        <w:numPr>
          <w:ilvl w:val="0"/>
          <w:numId w:val="63"/>
        </w:numPr>
        <w:tabs>
          <w:tab w:val="clear" w:pos="2880"/>
        </w:tabs>
        <w:rPr>
          <w:rFonts w:asciiTheme="minorHAnsi" w:hAnsiTheme="minorHAnsi" w:cstheme="minorHAnsi"/>
          <w:color w:val="auto"/>
          <w:sz w:val="24"/>
          <w:szCs w:val="24"/>
        </w:rPr>
      </w:pPr>
      <w:r w:rsidRPr="00AA4677">
        <w:rPr>
          <w:rFonts w:asciiTheme="minorHAnsi" w:hAnsiTheme="minorHAnsi" w:cstheme="minorHAnsi"/>
          <w:color w:val="auto"/>
          <w:sz w:val="24"/>
          <w:szCs w:val="24"/>
        </w:rPr>
        <w:lastRenderedPageBreak/>
        <w:t>When research involves U.S. military personnel, superiors of service members (e.g., unit officers, senior NCOs, and equivalent civilians):</w:t>
      </w:r>
    </w:p>
    <w:p w14:paraId="5F4B50AC" w14:textId="77777777" w:rsidR="005D559F" w:rsidRPr="00AA4677" w:rsidRDefault="005D559F">
      <w:pPr>
        <w:pStyle w:val="Bullet2DoDDeptofDefense"/>
        <w:numPr>
          <w:ilvl w:val="1"/>
          <w:numId w:val="321"/>
        </w:numPr>
        <w:tabs>
          <w:tab w:val="clear" w:pos="1080"/>
          <w:tab w:val="clear" w:pos="2880"/>
          <w:tab w:val="num" w:pos="360"/>
        </w:tabs>
        <w:ind w:hanging="1080"/>
        <w:rPr>
          <w:rFonts w:asciiTheme="minorHAnsi" w:hAnsiTheme="minorHAnsi" w:cstheme="minorHAnsi"/>
          <w:color w:val="auto"/>
          <w:sz w:val="24"/>
          <w:szCs w:val="24"/>
        </w:rPr>
      </w:pPr>
      <w:r w:rsidRPr="00AA4677">
        <w:rPr>
          <w:rFonts w:asciiTheme="minorHAnsi" w:hAnsiTheme="minorHAnsi" w:cstheme="minorHAnsi"/>
          <w:color w:val="auto"/>
          <w:sz w:val="24"/>
          <w:szCs w:val="24"/>
        </w:rPr>
        <w:t>Are not permitted to influence the decision of their subordinates.</w:t>
      </w:r>
    </w:p>
    <w:p w14:paraId="6762ADA0" w14:textId="25AA6C7E" w:rsidR="005D559F" w:rsidRPr="00AA4677" w:rsidRDefault="005D559F">
      <w:pPr>
        <w:pStyle w:val="Bullet2DoDDeptofDefense"/>
        <w:numPr>
          <w:ilvl w:val="1"/>
          <w:numId w:val="321"/>
        </w:numPr>
        <w:tabs>
          <w:tab w:val="clear" w:pos="1080"/>
          <w:tab w:val="clear" w:pos="2880"/>
          <w:tab w:val="num" w:pos="360"/>
        </w:tabs>
        <w:ind w:left="360"/>
        <w:rPr>
          <w:rFonts w:asciiTheme="minorHAnsi" w:hAnsiTheme="minorHAnsi" w:cstheme="minorHAnsi"/>
          <w:color w:val="auto"/>
          <w:sz w:val="24"/>
          <w:szCs w:val="24"/>
        </w:rPr>
      </w:pPr>
      <w:r w:rsidRPr="00AA4677">
        <w:rPr>
          <w:rFonts w:asciiTheme="minorHAnsi" w:hAnsiTheme="minorHAnsi" w:cstheme="minorHAnsi"/>
          <w:color w:val="auto"/>
          <w:sz w:val="24"/>
          <w:szCs w:val="24"/>
        </w:rPr>
        <w:t>May not be present at the time of recruitment</w:t>
      </w:r>
      <w:r w:rsidR="00A1586F" w:rsidRPr="00AA4677">
        <w:rPr>
          <w:rFonts w:asciiTheme="minorHAnsi" w:hAnsiTheme="minorHAnsi" w:cstheme="minorHAnsi"/>
          <w:color w:val="auto"/>
          <w:sz w:val="24"/>
          <w:szCs w:val="24"/>
        </w:rPr>
        <w:t xml:space="preserve"> or during the consent process</w:t>
      </w:r>
      <w:r w:rsidR="00315A25" w:rsidRPr="00AA4677">
        <w:rPr>
          <w:rFonts w:asciiTheme="minorHAnsi" w:hAnsiTheme="minorHAnsi" w:cstheme="minorHAnsi"/>
          <w:color w:val="auto"/>
          <w:sz w:val="24"/>
          <w:szCs w:val="24"/>
        </w:rPr>
        <w:t xml:space="preserve"> for DoD-affiliated personnel</w:t>
      </w:r>
      <w:r w:rsidRPr="00AA4677">
        <w:rPr>
          <w:rFonts w:asciiTheme="minorHAnsi" w:hAnsiTheme="minorHAnsi" w:cstheme="minorHAnsi"/>
          <w:color w:val="auto"/>
          <w:sz w:val="24"/>
          <w:szCs w:val="24"/>
        </w:rPr>
        <w:t>.</w:t>
      </w:r>
    </w:p>
    <w:p w14:paraId="56C40C30" w14:textId="6B0F33A6" w:rsidR="00ED4184" w:rsidRPr="00AA4677" w:rsidRDefault="005D559F">
      <w:pPr>
        <w:pStyle w:val="Bullet2DoDDeptofDefense"/>
        <w:numPr>
          <w:ilvl w:val="1"/>
          <w:numId w:val="321"/>
        </w:numPr>
        <w:tabs>
          <w:tab w:val="clear" w:pos="1080"/>
          <w:tab w:val="clear" w:pos="2880"/>
          <w:tab w:val="num" w:pos="360"/>
        </w:tabs>
        <w:ind w:hanging="1080"/>
        <w:rPr>
          <w:rFonts w:asciiTheme="minorHAnsi" w:hAnsiTheme="minorHAnsi" w:cstheme="minorHAnsi"/>
          <w:color w:val="auto"/>
          <w:sz w:val="24"/>
          <w:szCs w:val="24"/>
        </w:rPr>
      </w:pPr>
      <w:r w:rsidRPr="00AA4677">
        <w:rPr>
          <w:rFonts w:asciiTheme="minorHAnsi" w:hAnsiTheme="minorHAnsi" w:cstheme="minorHAnsi"/>
          <w:color w:val="auto"/>
          <w:sz w:val="24"/>
          <w:szCs w:val="24"/>
        </w:rPr>
        <w:t>Have a separate opportunity to participate.</w:t>
      </w:r>
    </w:p>
    <w:p w14:paraId="65BCF803" w14:textId="14BA3922" w:rsidR="0035789E" w:rsidRPr="00AA4677" w:rsidRDefault="0035789E">
      <w:pPr>
        <w:pStyle w:val="ListParagraph"/>
        <w:numPr>
          <w:ilvl w:val="0"/>
          <w:numId w:val="63"/>
        </w:numPr>
        <w:shd w:val="clear" w:color="auto" w:fill="FFFFFF"/>
        <w:spacing w:after="0" w:line="240" w:lineRule="auto"/>
        <w:rPr>
          <w:rFonts w:cstheme="minorHAnsi"/>
          <w:szCs w:val="20"/>
        </w:rPr>
      </w:pPr>
      <w:r w:rsidRPr="00AA4677">
        <w:rPr>
          <w:rFonts w:cstheme="minorHAnsi"/>
          <w:szCs w:val="20"/>
        </w:rPr>
        <w:t>If the research involves DoD-affiliated personnel as participants and if the research includes any risks to their fitness for duty (e.g., health, availability to perform job, data breach), the informed consent document must inform DoD-affiliated personnel about these risks and that they should seek command or component guidance before participating.</w:t>
      </w:r>
    </w:p>
    <w:p w14:paraId="5C268F96" w14:textId="0871B57F" w:rsidR="0035789E" w:rsidRPr="00AA4677" w:rsidRDefault="0035789E">
      <w:pPr>
        <w:pStyle w:val="ListParagraph"/>
        <w:numPr>
          <w:ilvl w:val="0"/>
          <w:numId w:val="63"/>
        </w:numPr>
        <w:shd w:val="clear" w:color="auto" w:fill="FFFFFF"/>
        <w:spacing w:after="0" w:line="240" w:lineRule="auto"/>
        <w:rPr>
          <w:rFonts w:cstheme="minorHAnsi"/>
          <w:szCs w:val="20"/>
        </w:rPr>
      </w:pPr>
      <w:r w:rsidRPr="00AA4677">
        <w:rPr>
          <w:rFonts w:cstheme="minorHAnsi"/>
          <w:szCs w:val="20"/>
        </w:rPr>
        <w:t xml:space="preserve">Service members and all Reserve component and National Guard members in a federal duty status </w:t>
      </w:r>
      <w:proofErr w:type="gramStart"/>
      <w:r w:rsidRPr="00AA4677">
        <w:rPr>
          <w:rFonts w:cstheme="minorHAnsi"/>
          <w:szCs w:val="20"/>
        </w:rPr>
        <w:t>are considered to be</w:t>
      </w:r>
      <w:proofErr w:type="gramEnd"/>
      <w:r w:rsidRPr="00AA4677">
        <w:rPr>
          <w:rFonts w:cstheme="minorHAnsi"/>
          <w:szCs w:val="20"/>
        </w:rPr>
        <w:t xml:space="preserve"> adults. If a Service member, Reserve component or National Guard member in federal duty status, student at a Service Academy, or trainee is under 18 years of age, the IRB must carefully consider the HSR recruitment process and the necessity of including such </w:t>
      </w:r>
      <w:r w:rsidR="005273C7" w:rsidRPr="00AA4677">
        <w:rPr>
          <w:rFonts w:cstheme="minorHAnsi"/>
          <w:szCs w:val="20"/>
        </w:rPr>
        <w:t xml:space="preserve">a </w:t>
      </w:r>
      <w:r w:rsidRPr="00AA4677">
        <w:rPr>
          <w:rFonts w:cstheme="minorHAnsi"/>
          <w:szCs w:val="20"/>
        </w:rPr>
        <w:t>member as a human participant.</w:t>
      </w:r>
    </w:p>
    <w:p w14:paraId="3A50C4AF" w14:textId="6DFFF0FB" w:rsidR="0035789E" w:rsidRPr="00AA4677" w:rsidRDefault="0035789E">
      <w:pPr>
        <w:pStyle w:val="ListParagraph"/>
        <w:numPr>
          <w:ilvl w:val="0"/>
          <w:numId w:val="63"/>
        </w:numPr>
        <w:shd w:val="clear" w:color="auto" w:fill="FFFFFF"/>
        <w:spacing w:after="0" w:line="240" w:lineRule="auto"/>
        <w:rPr>
          <w:rFonts w:cstheme="minorHAnsi"/>
          <w:szCs w:val="20"/>
        </w:rPr>
      </w:pPr>
      <w:r w:rsidRPr="00AA4677">
        <w:rPr>
          <w:rFonts w:cstheme="minorHAnsi"/>
          <w:szCs w:val="20"/>
        </w:rPr>
        <w:t>If the research involves DoD-affiliated personnel, the researcher must receive command or component approval to execute the research.</w:t>
      </w:r>
    </w:p>
    <w:p w14:paraId="61B465BA" w14:textId="7DF78CA3" w:rsidR="0035789E" w:rsidRPr="00AA4677" w:rsidRDefault="0035789E">
      <w:pPr>
        <w:pStyle w:val="ListParagraph"/>
        <w:numPr>
          <w:ilvl w:val="0"/>
          <w:numId w:val="63"/>
        </w:numPr>
        <w:shd w:val="clear" w:color="auto" w:fill="FFFFFF"/>
        <w:spacing w:after="0" w:line="240" w:lineRule="auto"/>
        <w:rPr>
          <w:rFonts w:cstheme="minorHAnsi"/>
          <w:szCs w:val="24"/>
        </w:rPr>
      </w:pPr>
      <w:proofErr w:type="gramStart"/>
      <w:r w:rsidRPr="00AA4677">
        <w:rPr>
          <w:rFonts w:cstheme="minorHAnsi"/>
          <w:szCs w:val="24"/>
        </w:rPr>
        <w:t>In order to</w:t>
      </w:r>
      <w:proofErr w:type="gramEnd"/>
      <w:r w:rsidRPr="00AA4677">
        <w:rPr>
          <w:rFonts w:cstheme="minorHAnsi"/>
          <w:szCs w:val="24"/>
        </w:rPr>
        <w:t xml:space="preserve"> approve research involving DoD-affiliated personnel, the IRB or component HRPO must determine whether the following requirements have been satisfied:</w:t>
      </w:r>
    </w:p>
    <w:p w14:paraId="60AF7E7D" w14:textId="084A9E23" w:rsidR="0035789E" w:rsidRPr="00AA4677" w:rsidRDefault="0035789E">
      <w:pPr>
        <w:pStyle w:val="ListParagraph"/>
        <w:numPr>
          <w:ilvl w:val="5"/>
          <w:numId w:val="315"/>
        </w:numPr>
        <w:shd w:val="clear" w:color="auto" w:fill="FFFFFF"/>
        <w:spacing w:after="0" w:line="240" w:lineRule="auto"/>
        <w:ind w:left="360"/>
        <w:rPr>
          <w:rFonts w:cstheme="minorHAnsi"/>
        </w:rPr>
      </w:pPr>
      <w:r w:rsidRPr="00AA4677">
        <w:rPr>
          <w:rFonts w:cstheme="minorHAnsi"/>
          <w:szCs w:val="24"/>
        </w:rPr>
        <w:t>The consent documentation must include, if applicable</w:t>
      </w:r>
      <w:r w:rsidRPr="00AA4677">
        <w:rPr>
          <w:rFonts w:cstheme="minorHAnsi"/>
        </w:rPr>
        <w:t xml:space="preserve">, potential risks for revocation of clearance, credentials, or </w:t>
      </w:r>
      <w:r w:rsidR="00341A91" w:rsidRPr="00AA4677">
        <w:rPr>
          <w:rFonts w:cstheme="minorHAnsi"/>
        </w:rPr>
        <w:t>other privileged access or duty and injury language in the consent form must follow the requirements of the DoD component.</w:t>
      </w:r>
    </w:p>
    <w:p w14:paraId="47946D28" w14:textId="77777777" w:rsidR="0035789E" w:rsidRPr="00AA4677" w:rsidRDefault="0035789E">
      <w:pPr>
        <w:pStyle w:val="ListParagraph"/>
        <w:numPr>
          <w:ilvl w:val="5"/>
          <w:numId w:val="315"/>
        </w:numPr>
        <w:shd w:val="clear" w:color="auto" w:fill="FFFFFF"/>
        <w:spacing w:after="0" w:line="240" w:lineRule="auto"/>
        <w:ind w:left="360"/>
        <w:rPr>
          <w:rFonts w:cstheme="minorHAnsi"/>
        </w:rPr>
      </w:pPr>
      <w:r w:rsidRPr="00AA4677">
        <w:rPr>
          <w:rFonts w:cstheme="minorHAnsi"/>
        </w:rPr>
        <w:t xml:space="preserve">For research involving recruitment of DoD-affiliated </w:t>
      </w:r>
      <w:proofErr w:type="gramStart"/>
      <w:r w:rsidRPr="00AA4677">
        <w:rPr>
          <w:rFonts w:cstheme="minorHAnsi"/>
        </w:rPr>
        <w:t>personnel in</w:t>
      </w:r>
      <w:proofErr w:type="gramEnd"/>
      <w:r w:rsidRPr="00AA4677">
        <w:rPr>
          <w:rFonts w:cstheme="minorHAnsi"/>
        </w:rPr>
        <w:t xml:space="preserve"> research determined to be greater than minimal risk, and when recruitment occurs in a group setting, the IRB must appoint an ombudsperson. The ombudsperson:</w:t>
      </w:r>
    </w:p>
    <w:p w14:paraId="242C7904" w14:textId="40DE55C1" w:rsidR="0035789E" w:rsidRPr="00AA4677" w:rsidRDefault="0035789E">
      <w:pPr>
        <w:pStyle w:val="ListParagraph"/>
        <w:numPr>
          <w:ilvl w:val="0"/>
          <w:numId w:val="314"/>
        </w:numPr>
        <w:shd w:val="clear" w:color="auto" w:fill="FFFFFF"/>
        <w:spacing w:after="0" w:line="240" w:lineRule="auto"/>
        <w:rPr>
          <w:rFonts w:cstheme="minorHAnsi"/>
          <w:szCs w:val="20"/>
        </w:rPr>
      </w:pPr>
      <w:r w:rsidRPr="00AA4677">
        <w:rPr>
          <w:rFonts w:cstheme="minorHAnsi"/>
          <w:szCs w:val="20"/>
        </w:rPr>
        <w:t>Must not have a conflict of interest with the research or be a part of the research team.</w:t>
      </w:r>
    </w:p>
    <w:p w14:paraId="00E13F1A" w14:textId="6D0D69DA" w:rsidR="0035789E" w:rsidRPr="00AA4677" w:rsidRDefault="0035789E">
      <w:pPr>
        <w:pStyle w:val="ListParagraph"/>
        <w:numPr>
          <w:ilvl w:val="0"/>
          <w:numId w:val="314"/>
        </w:numPr>
        <w:shd w:val="clear" w:color="auto" w:fill="FFFFFF"/>
        <w:spacing w:after="0" w:line="240" w:lineRule="auto"/>
        <w:rPr>
          <w:rFonts w:cstheme="minorHAnsi"/>
          <w:szCs w:val="20"/>
        </w:rPr>
      </w:pPr>
      <w:r w:rsidRPr="00AA4677">
        <w:rPr>
          <w:rFonts w:cstheme="minorHAnsi"/>
          <w:szCs w:val="20"/>
        </w:rPr>
        <w:t>Must be present during the recruitment, monitoring that the recruitment and informed consent explain that participation is voluntary and that the information provided about the research is consistent with the IRB-approved script and materials, including digitally provided materials.</w:t>
      </w:r>
    </w:p>
    <w:p w14:paraId="36A2C9CE" w14:textId="65B89BA6" w:rsidR="00F324DA" w:rsidRPr="00AA4677" w:rsidRDefault="00F324DA">
      <w:pPr>
        <w:pStyle w:val="ListParagraph"/>
        <w:numPr>
          <w:ilvl w:val="0"/>
          <w:numId w:val="314"/>
        </w:numPr>
        <w:shd w:val="clear" w:color="auto" w:fill="FFFFFF"/>
        <w:spacing w:after="0" w:line="240" w:lineRule="auto"/>
        <w:rPr>
          <w:rFonts w:cstheme="minorHAnsi"/>
          <w:szCs w:val="20"/>
        </w:rPr>
      </w:pPr>
      <w:r w:rsidRPr="00AA4677">
        <w:rPr>
          <w:rFonts w:cstheme="minorHAnsi"/>
          <w:szCs w:val="20"/>
        </w:rPr>
        <w:t xml:space="preserve">Should be </w:t>
      </w:r>
      <w:r w:rsidR="009222DA" w:rsidRPr="00AA4677">
        <w:rPr>
          <w:rFonts w:cstheme="minorHAnsi"/>
          <w:szCs w:val="20"/>
        </w:rPr>
        <w:t>available to address DoD-affilia</w:t>
      </w:r>
      <w:r w:rsidRPr="00AA4677">
        <w:rPr>
          <w:rFonts w:cstheme="minorHAnsi"/>
          <w:szCs w:val="20"/>
        </w:rPr>
        <w:t>ted personnel’s concerns about participation.</w:t>
      </w:r>
    </w:p>
    <w:p w14:paraId="2AA543C1" w14:textId="1738D10B" w:rsidR="00ED4184" w:rsidRPr="00AA4677" w:rsidRDefault="00ED4184">
      <w:pPr>
        <w:pStyle w:val="ListParagraph"/>
        <w:widowControl w:val="0"/>
        <w:numPr>
          <w:ilvl w:val="0"/>
          <w:numId w:val="63"/>
        </w:numPr>
        <w:tabs>
          <w:tab w:val="left" w:pos="840"/>
        </w:tabs>
        <w:spacing w:after="0" w:line="240" w:lineRule="auto"/>
        <w:ind w:right="762"/>
        <w:rPr>
          <w:rFonts w:eastAsia="Times New Roman" w:cs="Times New Roman"/>
          <w:szCs w:val="24"/>
        </w:rPr>
      </w:pPr>
      <w:r w:rsidRPr="00AA4677">
        <w:rPr>
          <w:rFonts w:eastAsia="Times New Roman" w:cs="Times New Roman"/>
          <w:szCs w:val="24"/>
        </w:rPr>
        <w:t>Service members must follow their command policies regarding the requirement to obtain command permission to participate in research involving human subjects while on-duty or</w:t>
      </w:r>
      <w:r w:rsidRPr="00AA4677">
        <w:rPr>
          <w:rFonts w:eastAsia="Times New Roman" w:cs="Times New Roman"/>
          <w:spacing w:val="-6"/>
          <w:szCs w:val="24"/>
        </w:rPr>
        <w:t xml:space="preserve"> </w:t>
      </w:r>
      <w:r w:rsidRPr="00AA4677">
        <w:rPr>
          <w:rFonts w:eastAsia="Times New Roman" w:cs="Times New Roman"/>
          <w:szCs w:val="24"/>
        </w:rPr>
        <w:t>off-duty.</w:t>
      </w:r>
    </w:p>
    <w:p w14:paraId="1F7A3978" w14:textId="14187F39" w:rsidR="002302B4" w:rsidRPr="00AA4677" w:rsidRDefault="002302B4" w:rsidP="00ED4184">
      <w:pPr>
        <w:shd w:val="clear" w:color="auto" w:fill="FFFFFF"/>
        <w:spacing w:after="0" w:line="240" w:lineRule="auto"/>
        <w:rPr>
          <w:rFonts w:cs="Arial"/>
          <w:szCs w:val="30"/>
        </w:rPr>
      </w:pPr>
    </w:p>
    <w:p w14:paraId="0162A0D5" w14:textId="6C4F5FDA" w:rsidR="002302B4" w:rsidRPr="00AA4677" w:rsidRDefault="002302B4">
      <w:pPr>
        <w:pStyle w:val="ListParagraph"/>
        <w:numPr>
          <w:ilvl w:val="2"/>
          <w:numId w:val="341"/>
        </w:numPr>
        <w:shd w:val="clear" w:color="auto" w:fill="FFFFFF"/>
        <w:tabs>
          <w:tab w:val="left" w:pos="990"/>
        </w:tabs>
        <w:spacing w:after="0" w:line="240" w:lineRule="auto"/>
        <w:rPr>
          <w:rFonts w:cs="Arial"/>
          <w:b/>
          <w:szCs w:val="30"/>
        </w:rPr>
      </w:pPr>
      <w:r w:rsidRPr="00AA4677">
        <w:rPr>
          <w:rFonts w:cs="Arial"/>
          <w:b/>
          <w:szCs w:val="30"/>
        </w:rPr>
        <w:t>Genomic Data</w:t>
      </w:r>
    </w:p>
    <w:p w14:paraId="5777D782" w14:textId="77777777" w:rsidR="002302B4" w:rsidRPr="00AA4677" w:rsidRDefault="002302B4" w:rsidP="002302B4">
      <w:pPr>
        <w:pStyle w:val="ListParagraph"/>
        <w:shd w:val="clear" w:color="auto" w:fill="FFFFFF"/>
        <w:spacing w:after="0" w:line="240" w:lineRule="auto"/>
        <w:rPr>
          <w:rFonts w:cs="Arial"/>
          <w:szCs w:val="30"/>
        </w:rPr>
      </w:pPr>
    </w:p>
    <w:p w14:paraId="18136E60" w14:textId="337D9D31" w:rsidR="003C347C" w:rsidRPr="00AA4677" w:rsidRDefault="002302B4">
      <w:pPr>
        <w:pStyle w:val="ListParagraph"/>
        <w:numPr>
          <w:ilvl w:val="2"/>
          <w:numId w:val="322"/>
        </w:numPr>
        <w:shd w:val="clear" w:color="auto" w:fill="FFFFFF"/>
        <w:tabs>
          <w:tab w:val="clear" w:pos="1800"/>
          <w:tab w:val="num" w:pos="360"/>
        </w:tabs>
        <w:spacing w:after="0" w:line="240" w:lineRule="auto"/>
        <w:ind w:left="360"/>
        <w:rPr>
          <w:rFonts w:cstheme="minorHAnsi"/>
          <w:szCs w:val="24"/>
        </w:rPr>
      </w:pPr>
      <w:r w:rsidRPr="00AA4677">
        <w:rPr>
          <w:rFonts w:cstheme="minorHAnsi"/>
          <w:szCs w:val="24"/>
        </w:rPr>
        <w:t>Large scale genomic data (LSGD) is</w:t>
      </w:r>
      <w:r w:rsidRPr="00AA4677">
        <w:rPr>
          <w:rFonts w:ascii="Arial" w:hAnsi="Arial" w:cs="Arial"/>
          <w:szCs w:val="24"/>
        </w:rPr>
        <w:t xml:space="preserve"> </w:t>
      </w:r>
      <w:r w:rsidRPr="00AA4677">
        <w:rPr>
          <w:rFonts w:cstheme="minorHAnsi"/>
          <w:szCs w:val="24"/>
        </w:rPr>
        <w:t>collected fro</w:t>
      </w:r>
      <w:r w:rsidR="00292631" w:rsidRPr="00AA4677">
        <w:rPr>
          <w:rFonts w:cstheme="minorHAnsi"/>
          <w:szCs w:val="24"/>
        </w:rPr>
        <w:t>m DoD-affiliated personnel. LSGD</w:t>
      </w:r>
      <w:r w:rsidRPr="00AA4677">
        <w:rPr>
          <w:rFonts w:cstheme="minorHAnsi"/>
          <w:szCs w:val="24"/>
        </w:rPr>
        <w:t xml:space="preserve"> includes data derived from genome-wide association studies;</w:t>
      </w:r>
      <w:r w:rsidR="00674832" w:rsidRPr="00AA4677">
        <w:rPr>
          <w:rFonts w:cstheme="minorHAnsi"/>
          <w:szCs w:val="24"/>
        </w:rPr>
        <w:t xml:space="preserve"> single nucleotide polymorphism</w:t>
      </w:r>
      <w:r w:rsidRPr="00AA4677">
        <w:rPr>
          <w:rFonts w:cstheme="minorHAnsi"/>
          <w:szCs w:val="24"/>
        </w:rPr>
        <w:t xml:space="preserve"> arrays; </w:t>
      </w:r>
      <w:r w:rsidRPr="00AA4677">
        <w:rPr>
          <w:rFonts w:cstheme="minorHAnsi"/>
          <w:szCs w:val="24"/>
        </w:rPr>
        <w:lastRenderedPageBreak/>
        <w:t>genome sequencing; transcriptomic, metagenomic, epigenomic analyses; and gene expression data; etc. requires review by the DoD component prior to initiation of the research</w:t>
      </w:r>
      <w:r w:rsidR="003C347C" w:rsidRPr="00AA4677">
        <w:rPr>
          <w:rFonts w:cstheme="minorHAnsi"/>
          <w:szCs w:val="24"/>
        </w:rPr>
        <w:t>.</w:t>
      </w:r>
    </w:p>
    <w:p w14:paraId="4E6575D7" w14:textId="350992FA" w:rsidR="003C347C" w:rsidRPr="00AA4677" w:rsidRDefault="0035789E">
      <w:pPr>
        <w:pStyle w:val="ListParagraph"/>
        <w:numPr>
          <w:ilvl w:val="2"/>
          <w:numId w:val="322"/>
        </w:numPr>
        <w:shd w:val="clear" w:color="auto" w:fill="FFFFFF"/>
        <w:tabs>
          <w:tab w:val="clear" w:pos="1800"/>
          <w:tab w:val="num" w:pos="360"/>
        </w:tabs>
        <w:spacing w:after="0" w:line="240" w:lineRule="auto"/>
        <w:ind w:left="360"/>
        <w:rPr>
          <w:rFonts w:cstheme="minorHAnsi"/>
          <w:szCs w:val="24"/>
        </w:rPr>
      </w:pPr>
      <w:r w:rsidRPr="00AA4677">
        <w:rPr>
          <w:rFonts w:cstheme="minorHAnsi"/>
          <w:szCs w:val="24"/>
        </w:rPr>
        <w:t>Research involving large-scale genomic data from DoD-affiliated personal is subject to additional requirements (DoDI 3216.02 section 3.10):</w:t>
      </w:r>
    </w:p>
    <w:p w14:paraId="3C5D5628" w14:textId="77777777" w:rsidR="003C347C" w:rsidRPr="00AA4677" w:rsidRDefault="0035789E">
      <w:pPr>
        <w:pStyle w:val="ListParagraph"/>
        <w:numPr>
          <w:ilvl w:val="0"/>
          <w:numId w:val="323"/>
        </w:numPr>
        <w:shd w:val="clear" w:color="auto" w:fill="FFFFFF"/>
        <w:spacing w:after="0" w:line="240" w:lineRule="auto"/>
        <w:rPr>
          <w:rFonts w:cs="Arial"/>
          <w:szCs w:val="24"/>
        </w:rPr>
      </w:pPr>
      <w:r w:rsidRPr="00AA4677">
        <w:rPr>
          <w:rFonts w:cstheme="minorHAnsi"/>
          <w:szCs w:val="24"/>
        </w:rPr>
        <w:t xml:space="preserve">The disclosure of DoD-affiliated personnel’s genomic data may pose a risk to national security; accordingly, written materials must describe administrative, technical, and physical safeguards commensurate with risk, including the secondary use or sharing of </w:t>
      </w:r>
      <w:r w:rsidR="003C347C" w:rsidRPr="00AA4677">
        <w:rPr>
          <w:rFonts w:cstheme="minorHAnsi"/>
          <w:szCs w:val="24"/>
        </w:rPr>
        <w:t>de-identified data or specimens.</w:t>
      </w:r>
    </w:p>
    <w:p w14:paraId="614452B9" w14:textId="15E54143" w:rsidR="005273C7" w:rsidRPr="00AA4677" w:rsidRDefault="0035789E">
      <w:pPr>
        <w:pStyle w:val="ListParagraph"/>
        <w:numPr>
          <w:ilvl w:val="0"/>
          <w:numId w:val="320"/>
        </w:numPr>
        <w:shd w:val="clear" w:color="auto" w:fill="FFFFFF"/>
        <w:spacing w:after="0" w:line="240" w:lineRule="auto"/>
        <w:ind w:left="360"/>
        <w:rPr>
          <w:rFonts w:cs="Arial"/>
          <w:szCs w:val="24"/>
        </w:rPr>
      </w:pPr>
      <w:r w:rsidRPr="00AA4677">
        <w:rPr>
          <w:rFonts w:cstheme="minorHAnsi"/>
          <w:szCs w:val="24"/>
        </w:rPr>
        <w:t>All research involving large-scale genomic data collected from DoD-affiliated personnel must have a certificate of confidentiality from DHHS (Title 42, U.S.C., and Public Law 114-255).</w:t>
      </w:r>
    </w:p>
    <w:p w14:paraId="63BECC02" w14:textId="2EDE8289" w:rsidR="00AC7FBE" w:rsidRPr="00AA4677" w:rsidRDefault="0035789E">
      <w:pPr>
        <w:pStyle w:val="ListParagraph"/>
        <w:numPr>
          <w:ilvl w:val="0"/>
          <w:numId w:val="320"/>
        </w:numPr>
        <w:shd w:val="clear" w:color="auto" w:fill="FFFFFF"/>
        <w:tabs>
          <w:tab w:val="left" w:pos="450"/>
          <w:tab w:val="left" w:pos="630"/>
        </w:tabs>
        <w:spacing w:after="0" w:line="240" w:lineRule="auto"/>
        <w:ind w:left="360"/>
        <w:rPr>
          <w:rFonts w:cs="Arial"/>
          <w:szCs w:val="24"/>
        </w:rPr>
      </w:pPr>
      <w:r w:rsidRPr="00AA4677">
        <w:rPr>
          <w:rFonts w:cstheme="minorHAnsi"/>
          <w:szCs w:val="24"/>
        </w:rPr>
        <w:t>Research involving large-scale genomic data collected from DoD-affiliated personnel is subject to DoD component security review to ensure the adequacy of the proposed administrative, technical, and physical safeguards, including the secondary use or sharing of de-identified data or specimens.</w:t>
      </w:r>
    </w:p>
    <w:p w14:paraId="06268586" w14:textId="77777777" w:rsidR="0035789E" w:rsidRPr="00AA4677" w:rsidRDefault="0035789E" w:rsidP="005273C7">
      <w:pPr>
        <w:widowControl w:val="0"/>
        <w:spacing w:after="0" w:line="240" w:lineRule="auto"/>
        <w:ind w:left="360" w:right="825" w:hanging="360"/>
        <w:rPr>
          <w:rFonts w:eastAsia="Times New Roman" w:cstheme="minorHAnsi"/>
          <w:szCs w:val="24"/>
        </w:rPr>
      </w:pPr>
    </w:p>
    <w:p w14:paraId="3B8102E2" w14:textId="1F26A396" w:rsidR="003C347C" w:rsidRPr="00AA4677" w:rsidRDefault="003C347C" w:rsidP="003C347C">
      <w:pPr>
        <w:widowControl w:val="0"/>
        <w:tabs>
          <w:tab w:val="left" w:pos="840"/>
        </w:tabs>
        <w:spacing w:after="0" w:line="240" w:lineRule="auto"/>
        <w:ind w:right="825"/>
        <w:rPr>
          <w:rFonts w:eastAsia="Times New Roman" w:cstheme="minorHAnsi"/>
          <w:szCs w:val="24"/>
        </w:rPr>
      </w:pPr>
      <w:r w:rsidRPr="00AA4677">
        <w:rPr>
          <w:rFonts w:eastAsia="Times New Roman" w:cs="Times New Roman"/>
          <w:b/>
          <w:szCs w:val="24"/>
        </w:rPr>
        <w:t>NOTE:</w:t>
      </w:r>
      <w:r w:rsidRPr="00AA4677">
        <w:rPr>
          <w:rFonts w:eastAsia="Times New Roman" w:cs="Times New Roman"/>
          <w:szCs w:val="24"/>
        </w:rPr>
        <w:t xml:space="preserve"> Other specific requirements of the Department of Defense research be found in the “</w:t>
      </w:r>
      <w:r w:rsidR="00490BA1" w:rsidRPr="00AA4677">
        <w:rPr>
          <w:rFonts w:eastAsia="Times New Roman" w:cstheme="minorHAnsi"/>
          <w:szCs w:val="24"/>
        </w:rPr>
        <w:t xml:space="preserve">DoD Checklist for Reviewer” </w:t>
      </w:r>
      <w:r w:rsidRPr="00AA4677">
        <w:rPr>
          <w:rFonts w:eastAsia="Times New Roman" w:cstheme="minorHAnsi"/>
          <w:szCs w:val="24"/>
        </w:rPr>
        <w:t xml:space="preserve">in the </w:t>
      </w:r>
      <w:r w:rsidR="00490BA1" w:rsidRPr="00AA4677">
        <w:rPr>
          <w:rFonts w:eastAsia="Times New Roman" w:cstheme="minorHAnsi"/>
          <w:szCs w:val="24"/>
        </w:rPr>
        <w:t>myResearch library.</w:t>
      </w:r>
    </w:p>
    <w:p w14:paraId="2AC2088F" w14:textId="77777777" w:rsidR="003C347C" w:rsidRPr="00AA4677" w:rsidRDefault="003C347C" w:rsidP="002853E1">
      <w:pPr>
        <w:widowControl w:val="0"/>
        <w:spacing w:after="0" w:line="240" w:lineRule="auto"/>
        <w:ind w:right="825"/>
        <w:rPr>
          <w:rFonts w:eastAsia="Times New Roman" w:cstheme="minorHAnsi"/>
          <w:szCs w:val="24"/>
        </w:rPr>
      </w:pPr>
    </w:p>
    <w:p w14:paraId="38AA12BE" w14:textId="414FBAE7" w:rsidR="00B82CE9" w:rsidRPr="00AA4677" w:rsidRDefault="00B82CE9" w:rsidP="002853E1">
      <w:pPr>
        <w:widowControl w:val="0"/>
        <w:spacing w:after="0" w:line="240" w:lineRule="auto"/>
        <w:ind w:right="825"/>
        <w:rPr>
          <w:rFonts w:eastAsia="Times New Roman" w:cstheme="minorHAnsi"/>
          <w:b/>
          <w:szCs w:val="24"/>
        </w:rPr>
      </w:pPr>
      <w:r w:rsidRPr="00AA4677">
        <w:rPr>
          <w:rFonts w:eastAsia="Times New Roman" w:cstheme="minorHAnsi"/>
          <w:b/>
          <w:szCs w:val="24"/>
        </w:rPr>
        <w:t xml:space="preserve">Additional Requirements for Department of Justice Funded Research </w:t>
      </w:r>
    </w:p>
    <w:p w14:paraId="4C2D4BE0" w14:textId="77777777" w:rsidR="00B36DE5" w:rsidRPr="00AA4677" w:rsidRDefault="00B36DE5">
      <w:pPr>
        <w:pStyle w:val="Bullet1DoJDeptofJustice"/>
        <w:numPr>
          <w:ilvl w:val="0"/>
          <w:numId w:val="125"/>
        </w:numPr>
        <w:tabs>
          <w:tab w:val="clear" w:pos="407"/>
          <w:tab w:val="clear" w:pos="2880"/>
          <w:tab w:val="num" w:pos="360"/>
        </w:tabs>
        <w:ind w:left="360" w:hanging="360"/>
        <w:rPr>
          <w:rFonts w:asciiTheme="minorHAnsi" w:hAnsiTheme="minorHAnsi" w:cstheme="minorHAnsi"/>
          <w:color w:val="auto"/>
          <w:sz w:val="24"/>
        </w:rPr>
      </w:pPr>
      <w:r w:rsidRPr="00AA4677">
        <w:rPr>
          <w:rFonts w:asciiTheme="minorHAnsi" w:hAnsiTheme="minorHAnsi" w:cstheme="minorHAnsi"/>
          <w:color w:val="auto"/>
          <w:sz w:val="24"/>
        </w:rPr>
        <w:t>All projects are required to have a privacy certificate approved by the NIJ Human Subjects Protection Officer.</w:t>
      </w:r>
    </w:p>
    <w:p w14:paraId="00C4AC77" w14:textId="77777777" w:rsidR="00B36DE5" w:rsidRPr="00AA4677" w:rsidRDefault="00B36DE5">
      <w:pPr>
        <w:pStyle w:val="Bullet1DoJDeptofJustice"/>
        <w:numPr>
          <w:ilvl w:val="0"/>
          <w:numId w:val="125"/>
        </w:numPr>
        <w:tabs>
          <w:tab w:val="clear" w:pos="407"/>
          <w:tab w:val="clear" w:pos="2880"/>
          <w:tab w:val="num" w:pos="360"/>
        </w:tabs>
        <w:ind w:left="360" w:hanging="360"/>
        <w:rPr>
          <w:rFonts w:asciiTheme="minorHAnsi" w:hAnsiTheme="minorHAnsi" w:cstheme="minorHAnsi"/>
          <w:color w:val="auto"/>
          <w:sz w:val="24"/>
        </w:rPr>
      </w:pPr>
      <w:r w:rsidRPr="00AA4677">
        <w:rPr>
          <w:rFonts w:asciiTheme="minorHAnsi" w:hAnsiTheme="minorHAnsi" w:cstheme="minorHAnsi"/>
          <w:color w:val="auto"/>
          <w:sz w:val="24"/>
        </w:rPr>
        <w:t>All researchers and research staff are required to sign employee confidentiality statements, which are maintained by the responsible researcher.</w:t>
      </w:r>
    </w:p>
    <w:p w14:paraId="53E288F9" w14:textId="77777777" w:rsidR="00B36DE5" w:rsidRPr="00AA4677" w:rsidRDefault="00B36DE5" w:rsidP="002853E1">
      <w:pPr>
        <w:pStyle w:val="Bullet1"/>
        <w:numPr>
          <w:ilvl w:val="0"/>
          <w:numId w:val="0"/>
        </w:numPr>
        <w:ind w:left="407"/>
        <w:rPr>
          <w:rFonts w:asciiTheme="minorHAnsi" w:hAnsiTheme="minorHAnsi" w:cstheme="minorHAnsi"/>
        </w:rPr>
      </w:pPr>
    </w:p>
    <w:p w14:paraId="3AE21892" w14:textId="18660EAC" w:rsidR="00B36DE5" w:rsidRPr="00AA4677" w:rsidRDefault="00B36DE5" w:rsidP="002853E1">
      <w:pPr>
        <w:pStyle w:val="Bullet1"/>
        <w:numPr>
          <w:ilvl w:val="0"/>
          <w:numId w:val="0"/>
        </w:numPr>
        <w:rPr>
          <w:rFonts w:asciiTheme="minorHAnsi" w:hAnsiTheme="minorHAnsi" w:cstheme="minorHAnsi"/>
        </w:rPr>
      </w:pPr>
      <w:r w:rsidRPr="00AA4677">
        <w:rPr>
          <w:rFonts w:asciiTheme="minorHAnsi" w:hAnsiTheme="minorHAnsi" w:cstheme="minorHAnsi"/>
        </w:rPr>
        <w:t>For National Institute of Justice (NIJ)</w:t>
      </w:r>
      <w:r w:rsidR="00BD64AA" w:rsidRPr="00AA4677">
        <w:rPr>
          <w:rFonts w:asciiTheme="minorHAnsi" w:hAnsiTheme="minorHAnsi" w:cstheme="minorHAnsi"/>
        </w:rPr>
        <w:t xml:space="preserve"> </w:t>
      </w:r>
      <w:r w:rsidRPr="00AA4677">
        <w:rPr>
          <w:rFonts w:asciiTheme="minorHAnsi" w:hAnsiTheme="minorHAnsi" w:cstheme="minorHAnsi"/>
        </w:rPr>
        <w:t>funded research the consent document must disclose the name(s) of the funding agency(ies).</w:t>
      </w:r>
    </w:p>
    <w:p w14:paraId="2B554367" w14:textId="77777777" w:rsidR="005A48F3" w:rsidRPr="00AA4677" w:rsidRDefault="005A48F3" w:rsidP="00696B35">
      <w:pPr>
        <w:pStyle w:val="Heading2"/>
      </w:pPr>
    </w:p>
    <w:p w14:paraId="4CA04E55" w14:textId="5915E25A" w:rsidR="008D454C" w:rsidRPr="00AA4677" w:rsidRDefault="008D454C" w:rsidP="00696B35">
      <w:pPr>
        <w:pStyle w:val="Heading2"/>
      </w:pPr>
      <w:bookmarkStart w:id="375" w:name="_Toc192678291"/>
      <w:r w:rsidRPr="00AA4677">
        <w:t>17.1</w:t>
      </w:r>
      <w:r w:rsidR="00785476" w:rsidRPr="00AA4677">
        <w:t>7</w:t>
      </w:r>
      <w:r w:rsidRPr="00AA4677">
        <w:t xml:space="preserve"> IRB Reliance/Single IRB (sIRB) Review</w:t>
      </w:r>
      <w:bookmarkEnd w:id="375"/>
      <w:r w:rsidRPr="00AA4677">
        <w:t xml:space="preserve"> </w:t>
      </w:r>
    </w:p>
    <w:p w14:paraId="21360B99" w14:textId="77777777" w:rsidR="005A48F3" w:rsidRPr="00AA4677" w:rsidRDefault="005A48F3" w:rsidP="00406FCE">
      <w:pPr>
        <w:pStyle w:val="BodyText"/>
        <w:spacing w:line="259" w:lineRule="auto"/>
        <w:ind w:right="190"/>
        <w:rPr>
          <w:rFonts w:asciiTheme="minorHAnsi" w:hAnsiTheme="minorHAnsi" w:cstheme="minorHAnsi"/>
        </w:rPr>
      </w:pPr>
    </w:p>
    <w:p w14:paraId="5DF53B37" w14:textId="5BF355F9" w:rsidR="000D48AF" w:rsidRPr="00AA4677" w:rsidRDefault="000D48AF" w:rsidP="00406FCE">
      <w:pPr>
        <w:pStyle w:val="BodyText"/>
        <w:spacing w:line="259" w:lineRule="auto"/>
        <w:ind w:right="190"/>
        <w:rPr>
          <w:rFonts w:asciiTheme="minorHAnsi" w:hAnsiTheme="minorHAnsi" w:cstheme="minorHAnsi"/>
        </w:rPr>
      </w:pPr>
      <w:r w:rsidRPr="00AA4677">
        <w:rPr>
          <w:rFonts w:asciiTheme="minorHAnsi" w:hAnsiTheme="minorHAnsi" w:cstheme="minorHAnsi"/>
        </w:rPr>
        <w:t>All non-exempt human subject research (or exempt research for which limited IRB review takes place pursuant to § .104(d)(2)(iii), (d)(3)(i)(c)) that SBU is engaged in must be reviewed and approved by the SBU IRB or an external IRB that SBU has agreed to rely upon prior to the initiation of the research. Phase I research must be reviewed by the Stony Brook University IRB unless circumstances require that the study be reviewed by an external IRB.</w:t>
      </w:r>
    </w:p>
    <w:p w14:paraId="23ED9E80" w14:textId="77777777" w:rsidR="000D48AF" w:rsidRPr="00AA4677" w:rsidRDefault="000D48AF" w:rsidP="00406FCE">
      <w:pPr>
        <w:pStyle w:val="BodyText"/>
        <w:spacing w:before="11"/>
        <w:rPr>
          <w:rFonts w:asciiTheme="minorHAnsi" w:hAnsiTheme="minorHAnsi" w:cstheme="minorHAnsi"/>
          <w:sz w:val="22"/>
        </w:rPr>
      </w:pPr>
    </w:p>
    <w:p w14:paraId="6DE64F17" w14:textId="77777777" w:rsidR="000D48AF" w:rsidRPr="00AA4677" w:rsidRDefault="000D48AF" w:rsidP="00406FCE">
      <w:pPr>
        <w:pStyle w:val="BodyText"/>
        <w:spacing w:before="1"/>
        <w:ind w:right="363"/>
        <w:rPr>
          <w:rFonts w:asciiTheme="minorHAnsi" w:hAnsiTheme="minorHAnsi" w:cstheme="minorHAnsi"/>
        </w:rPr>
      </w:pPr>
      <w:r w:rsidRPr="00AA4677">
        <w:rPr>
          <w:rFonts w:asciiTheme="minorHAnsi" w:hAnsiTheme="minorHAnsi" w:cstheme="minorHAnsi"/>
        </w:rPr>
        <w:t>SBU investigators involved in multi-site research are encouraged to discuss with collaborators the possibility of shared IRB review, i.e., having one IRB review on behalf of all sites.</w:t>
      </w:r>
    </w:p>
    <w:p w14:paraId="37752735" w14:textId="77777777" w:rsidR="000D48AF" w:rsidRPr="00AA4677" w:rsidRDefault="000D48AF" w:rsidP="00406FCE">
      <w:pPr>
        <w:pStyle w:val="BodyText"/>
        <w:spacing w:before="9"/>
        <w:rPr>
          <w:rFonts w:asciiTheme="minorHAnsi" w:hAnsiTheme="minorHAnsi" w:cstheme="minorHAnsi"/>
          <w:sz w:val="22"/>
        </w:rPr>
      </w:pPr>
    </w:p>
    <w:p w14:paraId="246DEDDA" w14:textId="77777777" w:rsidR="000D48AF" w:rsidRPr="00AA4677" w:rsidRDefault="000D48AF" w:rsidP="00406FCE">
      <w:pPr>
        <w:pStyle w:val="BodyText"/>
        <w:ind w:right="268"/>
        <w:rPr>
          <w:rFonts w:asciiTheme="minorHAnsi" w:hAnsiTheme="minorHAnsi" w:cstheme="minorHAnsi"/>
        </w:rPr>
      </w:pPr>
      <w:r w:rsidRPr="00AA4677">
        <w:rPr>
          <w:rFonts w:asciiTheme="minorHAnsi" w:hAnsiTheme="minorHAnsi" w:cstheme="minorHAnsi"/>
        </w:rPr>
        <w:t xml:space="preserve">If the research is part of a multicenter grant awarded from NIH </w:t>
      </w:r>
      <w:hyperlink r:id="rId164" w:history="1">
        <w:r w:rsidRPr="00AA4677">
          <w:rPr>
            <w:rStyle w:val="Hyperlink"/>
            <w:rFonts w:asciiTheme="minorHAnsi" w:hAnsiTheme="minorHAnsi" w:cstheme="minorHAnsi"/>
            <w:u w:val="none"/>
          </w:rPr>
          <w:t>https://grants.nih.gov/grants/guide/notice-files/NOT-OD-16-094.html</w:t>
        </w:r>
      </w:hyperlink>
    </w:p>
    <w:p w14:paraId="284A969E" w14:textId="55058168" w:rsidR="000D48AF" w:rsidRPr="00AA4677" w:rsidRDefault="000D48AF" w:rsidP="00406FCE">
      <w:pPr>
        <w:pStyle w:val="BodyText"/>
        <w:ind w:right="268"/>
        <w:rPr>
          <w:rFonts w:asciiTheme="minorHAnsi" w:hAnsiTheme="minorHAnsi" w:cstheme="minorHAnsi"/>
        </w:rPr>
      </w:pPr>
      <w:r w:rsidRPr="00AA4677">
        <w:rPr>
          <w:rFonts w:asciiTheme="minorHAnsi" w:hAnsiTheme="minorHAnsi" w:cstheme="minorHAnsi"/>
        </w:rPr>
        <w:t xml:space="preserve">or a cooperative research project under the revised common rule provision </w:t>
      </w:r>
      <w:hyperlink r:id="rId165" w:history="1">
        <w:r w:rsidRPr="00AA4677">
          <w:rPr>
            <w:rStyle w:val="Hyperlink"/>
            <w:rFonts w:asciiTheme="minorHAnsi" w:hAnsiTheme="minorHAnsi" w:cstheme="minorHAnsi"/>
            <w:u w:val="none"/>
          </w:rPr>
          <w:t>https://grants.nih.gov/grants/disclaimer.htm</w:t>
        </w:r>
      </w:hyperlink>
      <w:r w:rsidRPr="00AA4677">
        <w:rPr>
          <w:rFonts w:asciiTheme="minorHAnsi" w:hAnsiTheme="minorHAnsi" w:cstheme="minorHAnsi"/>
        </w:rPr>
        <w:t>, a single IRB (sIRB) review is required in most circumstances. The reader is referred to Section 17.16.5 for details specific to compliance with the NIH sIRB policy or revised Common Rule cooperative research provision.</w:t>
      </w:r>
    </w:p>
    <w:p w14:paraId="5080FDBE" w14:textId="77777777" w:rsidR="000D48AF" w:rsidRPr="00AA4677" w:rsidRDefault="000D48AF" w:rsidP="000D48AF">
      <w:pPr>
        <w:pStyle w:val="BodyText"/>
        <w:rPr>
          <w:rFonts w:asciiTheme="minorHAnsi" w:hAnsiTheme="minorHAnsi" w:cstheme="minorHAnsi"/>
          <w:sz w:val="23"/>
        </w:rPr>
      </w:pPr>
    </w:p>
    <w:p w14:paraId="7F9353C3" w14:textId="77777777" w:rsidR="000D48AF" w:rsidRPr="00AA4677" w:rsidRDefault="000D48AF" w:rsidP="005920B2">
      <w:pPr>
        <w:pStyle w:val="BodyText"/>
        <w:ind w:right="331"/>
        <w:rPr>
          <w:rFonts w:asciiTheme="minorHAnsi" w:hAnsiTheme="minorHAnsi" w:cstheme="minorHAnsi"/>
        </w:rPr>
      </w:pPr>
      <w:r w:rsidRPr="00AA4677">
        <w:rPr>
          <w:rFonts w:asciiTheme="minorHAnsi" w:hAnsiTheme="minorHAnsi" w:cstheme="minorHAnsi"/>
        </w:rPr>
        <w:t>Investigators should contact the Reliance Administrator in the Office of Research Compliance early in the multi-site grant/contract process to discuss possible sIRB options as discussed in section 17.16.2 (SBU Serving as the Reviewing IRB) and section 17.16.3 (SBU Ceding Review to an External IRB) below.</w:t>
      </w:r>
    </w:p>
    <w:p w14:paraId="520155B4" w14:textId="77777777" w:rsidR="000D48AF" w:rsidRPr="00AA4677" w:rsidRDefault="000D48AF" w:rsidP="005920B2">
      <w:pPr>
        <w:spacing w:after="0" w:line="240" w:lineRule="auto"/>
      </w:pPr>
    </w:p>
    <w:p w14:paraId="1841A998" w14:textId="15597F9E" w:rsidR="000D48AF" w:rsidRPr="00AA4677" w:rsidRDefault="009A4D02" w:rsidP="005920B2">
      <w:pPr>
        <w:spacing w:after="0" w:line="240" w:lineRule="auto"/>
        <w:rPr>
          <w:rFonts w:cstheme="minorHAnsi"/>
          <w:b/>
        </w:rPr>
      </w:pPr>
      <w:r w:rsidRPr="00AA4677">
        <w:rPr>
          <w:rFonts w:cstheme="minorHAnsi"/>
          <w:b/>
        </w:rPr>
        <w:t>17.1</w:t>
      </w:r>
      <w:r w:rsidR="00785476" w:rsidRPr="00AA4677">
        <w:rPr>
          <w:rFonts w:cstheme="minorHAnsi"/>
          <w:b/>
        </w:rPr>
        <w:t>7</w:t>
      </w:r>
      <w:r w:rsidRPr="00AA4677">
        <w:rPr>
          <w:rFonts w:cstheme="minorHAnsi"/>
          <w:b/>
        </w:rPr>
        <w:t>.1</w:t>
      </w:r>
      <w:r w:rsidR="00406FCE" w:rsidRPr="00AA4677">
        <w:rPr>
          <w:rFonts w:cstheme="minorHAnsi"/>
          <w:b/>
        </w:rPr>
        <w:t xml:space="preserve"> </w:t>
      </w:r>
      <w:r w:rsidR="000D48AF" w:rsidRPr="00AA4677">
        <w:rPr>
          <w:rFonts w:cstheme="minorHAnsi"/>
          <w:b/>
        </w:rPr>
        <w:t>Reliance Agreements</w:t>
      </w:r>
    </w:p>
    <w:p w14:paraId="2A13DF79" w14:textId="77777777" w:rsidR="000D48AF" w:rsidRPr="00AA4677" w:rsidRDefault="000D48AF" w:rsidP="00406FCE">
      <w:pPr>
        <w:pStyle w:val="BodyText"/>
        <w:spacing w:before="8"/>
        <w:rPr>
          <w:rFonts w:asciiTheme="minorHAnsi" w:hAnsiTheme="minorHAnsi" w:cstheme="minorHAnsi"/>
          <w:sz w:val="19"/>
        </w:rPr>
      </w:pPr>
    </w:p>
    <w:p w14:paraId="5770E1B9" w14:textId="484AF310" w:rsidR="000D48AF" w:rsidRPr="00AA4677" w:rsidRDefault="000D48AF" w:rsidP="00406FCE">
      <w:pPr>
        <w:pStyle w:val="BodyText"/>
        <w:spacing w:line="259" w:lineRule="auto"/>
        <w:ind w:right="591"/>
        <w:rPr>
          <w:rFonts w:asciiTheme="minorHAnsi" w:hAnsiTheme="minorHAnsi" w:cstheme="minorHAnsi"/>
        </w:rPr>
      </w:pPr>
      <w:r w:rsidRPr="00AA4677">
        <w:rPr>
          <w:rFonts w:asciiTheme="minorHAnsi" w:hAnsiTheme="minorHAnsi" w:cstheme="minorHAnsi"/>
        </w:rPr>
        <w:t xml:space="preserve">Reliance agreements must be in place for all shared IRB review arrangements. The Reliance Administrator ensures that these agreements are negotiated to reflect study-specific, respective responsibilities of the reviewing IRB and the relying Institutions. </w:t>
      </w:r>
      <w:r w:rsidR="00F832A6" w:rsidRPr="00AA4677">
        <w:rPr>
          <w:rFonts w:asciiTheme="minorHAnsi" w:hAnsiTheme="minorHAnsi" w:cstheme="minorHAnsi"/>
        </w:rPr>
        <w:t>The Reliance Agreement documents respective authorities, roles, responsibilities, and communication between an organization providing the ethical review and a participating organization relying on a reviewing IRB.</w:t>
      </w:r>
    </w:p>
    <w:p w14:paraId="501EE4B9" w14:textId="1EBA0E59" w:rsidR="00F832A6" w:rsidRPr="00AA4677" w:rsidRDefault="0086752E">
      <w:pPr>
        <w:numPr>
          <w:ilvl w:val="2"/>
          <w:numId w:val="310"/>
        </w:numPr>
        <w:shd w:val="clear" w:color="auto" w:fill="FFFFFF"/>
        <w:spacing w:after="0" w:line="240" w:lineRule="auto"/>
        <w:ind w:left="360"/>
        <w:rPr>
          <w:rFonts w:cstheme="minorHAnsi"/>
          <w:szCs w:val="20"/>
        </w:rPr>
      </w:pPr>
      <w:r w:rsidRPr="00AA4677">
        <w:rPr>
          <w:rFonts w:cstheme="minorHAnsi"/>
          <w:szCs w:val="20"/>
        </w:rPr>
        <w:t>T</w:t>
      </w:r>
      <w:r w:rsidR="00F832A6" w:rsidRPr="00AA4677">
        <w:rPr>
          <w:rFonts w:cstheme="minorHAnsi"/>
          <w:szCs w:val="20"/>
        </w:rPr>
        <w:t>he requirement for single IRB review applies to awardees in the United States and participating research sites in the United States.</w:t>
      </w:r>
    </w:p>
    <w:p w14:paraId="4C3973A2" w14:textId="28A1602A" w:rsidR="00F832A6" w:rsidRPr="00AA4677" w:rsidRDefault="0086752E">
      <w:pPr>
        <w:numPr>
          <w:ilvl w:val="2"/>
          <w:numId w:val="310"/>
        </w:numPr>
        <w:shd w:val="clear" w:color="auto" w:fill="FFFFFF"/>
        <w:spacing w:after="0" w:line="240" w:lineRule="auto"/>
        <w:ind w:left="360"/>
        <w:rPr>
          <w:rFonts w:cstheme="minorHAnsi"/>
          <w:szCs w:val="20"/>
        </w:rPr>
      </w:pPr>
      <w:r w:rsidRPr="00AA4677">
        <w:rPr>
          <w:rFonts w:cstheme="minorHAnsi"/>
          <w:szCs w:val="20"/>
        </w:rPr>
        <w:t>T</w:t>
      </w:r>
      <w:r w:rsidR="00F832A6" w:rsidRPr="00AA4677">
        <w:rPr>
          <w:rFonts w:cstheme="minorHAnsi"/>
          <w:szCs w:val="20"/>
        </w:rPr>
        <w:t>he requirement for single IRB review does not apply to organizations outside the United States.</w:t>
      </w:r>
    </w:p>
    <w:p w14:paraId="5315F34E" w14:textId="31F0F219" w:rsidR="00F832A6" w:rsidRPr="00AA4677" w:rsidRDefault="00602ADA">
      <w:pPr>
        <w:numPr>
          <w:ilvl w:val="2"/>
          <w:numId w:val="310"/>
        </w:numPr>
        <w:shd w:val="clear" w:color="auto" w:fill="FFFFFF"/>
        <w:spacing w:after="0" w:line="240" w:lineRule="auto"/>
        <w:ind w:left="360"/>
        <w:rPr>
          <w:rFonts w:cstheme="minorHAnsi"/>
          <w:szCs w:val="20"/>
        </w:rPr>
      </w:pPr>
      <w:r w:rsidRPr="00AA4677">
        <w:rPr>
          <w:rFonts w:cstheme="minorHAnsi"/>
          <w:szCs w:val="20"/>
        </w:rPr>
        <w:t>The a</w:t>
      </w:r>
      <w:r w:rsidR="00F832A6" w:rsidRPr="00AA4677">
        <w:rPr>
          <w:rFonts w:cstheme="minorHAnsi"/>
          <w:szCs w:val="20"/>
        </w:rPr>
        <w:t xml:space="preserve">wardee organization </w:t>
      </w:r>
      <w:r w:rsidRPr="00AA4677">
        <w:rPr>
          <w:rFonts w:cstheme="minorHAnsi"/>
          <w:szCs w:val="20"/>
        </w:rPr>
        <w:t>is</w:t>
      </w:r>
      <w:r w:rsidR="00F832A6" w:rsidRPr="00AA4677">
        <w:rPr>
          <w:rFonts w:cstheme="minorHAnsi"/>
          <w:szCs w:val="20"/>
        </w:rPr>
        <w:t xml:space="preserve"> responsible for ensuring authorization agreements are in place, and that documentation is maintained.</w:t>
      </w:r>
    </w:p>
    <w:p w14:paraId="0C23CEEE" w14:textId="35EDCA81" w:rsidR="00F832A6" w:rsidRPr="00AA4677" w:rsidRDefault="00602ADA">
      <w:pPr>
        <w:numPr>
          <w:ilvl w:val="2"/>
          <w:numId w:val="310"/>
        </w:numPr>
        <w:shd w:val="clear" w:color="auto" w:fill="FFFFFF"/>
        <w:spacing w:after="0" w:line="240" w:lineRule="auto"/>
        <w:ind w:left="360"/>
        <w:rPr>
          <w:rFonts w:cstheme="minorHAnsi"/>
          <w:szCs w:val="20"/>
        </w:rPr>
      </w:pPr>
      <w:r w:rsidRPr="00AA4677">
        <w:rPr>
          <w:rFonts w:cstheme="minorHAnsi"/>
          <w:szCs w:val="20"/>
        </w:rPr>
        <w:t>The a</w:t>
      </w:r>
      <w:r w:rsidR="0086752E" w:rsidRPr="00AA4677">
        <w:rPr>
          <w:rFonts w:cstheme="minorHAnsi"/>
          <w:szCs w:val="20"/>
        </w:rPr>
        <w:t xml:space="preserve">wardee organizations are </w:t>
      </w:r>
      <w:r w:rsidR="00F832A6" w:rsidRPr="00AA4677">
        <w:rPr>
          <w:rFonts w:cstheme="minorHAnsi"/>
          <w:szCs w:val="20"/>
        </w:rPr>
        <w:t>responsible for meeting the additional requirements of the NIH Genomic Data S</w:t>
      </w:r>
      <w:r w:rsidR="0086752E" w:rsidRPr="00AA4677">
        <w:rPr>
          <w:rFonts w:cstheme="minorHAnsi"/>
          <w:szCs w:val="20"/>
        </w:rPr>
        <w:t>haring Policy.</w:t>
      </w:r>
    </w:p>
    <w:p w14:paraId="54C640E6" w14:textId="22DA6764" w:rsidR="00F832A6" w:rsidRPr="00AA4677" w:rsidRDefault="00602ADA">
      <w:pPr>
        <w:numPr>
          <w:ilvl w:val="2"/>
          <w:numId w:val="310"/>
        </w:numPr>
        <w:shd w:val="clear" w:color="auto" w:fill="FFFFFF"/>
        <w:spacing w:after="0" w:line="240" w:lineRule="auto"/>
        <w:ind w:left="360"/>
        <w:rPr>
          <w:rFonts w:cstheme="minorHAnsi"/>
          <w:szCs w:val="20"/>
        </w:rPr>
      </w:pPr>
      <w:r w:rsidRPr="00AA4677">
        <w:rPr>
          <w:rFonts w:cstheme="minorHAnsi"/>
          <w:szCs w:val="20"/>
        </w:rPr>
        <w:t>The p</w:t>
      </w:r>
      <w:r w:rsidR="00F832A6" w:rsidRPr="00AA4677">
        <w:rPr>
          <w:rFonts w:cstheme="minorHAnsi"/>
          <w:szCs w:val="20"/>
        </w:rPr>
        <w:t xml:space="preserve">articipating sites are expected to rely on the single IRB, though they may conduct their own review in accordance with NIH policy on exceptions from single IRB </w:t>
      </w:r>
      <w:proofErr w:type="gramStart"/>
      <w:r w:rsidR="00F832A6" w:rsidRPr="00AA4677">
        <w:rPr>
          <w:rFonts w:cstheme="minorHAnsi"/>
          <w:szCs w:val="20"/>
        </w:rPr>
        <w:t>review</w:t>
      </w:r>
      <w:proofErr w:type="gramEnd"/>
      <w:r w:rsidR="00F832A6" w:rsidRPr="00AA4677">
        <w:rPr>
          <w:rFonts w:cstheme="minorHAnsi"/>
          <w:szCs w:val="20"/>
        </w:rPr>
        <w:t>. </w:t>
      </w:r>
    </w:p>
    <w:p w14:paraId="20905BF6" w14:textId="77777777" w:rsidR="000D48AF" w:rsidRPr="00AA4677" w:rsidRDefault="000D48AF" w:rsidP="00406FCE">
      <w:pPr>
        <w:pStyle w:val="BodyText"/>
        <w:spacing w:line="259" w:lineRule="auto"/>
        <w:ind w:right="591"/>
        <w:rPr>
          <w:rFonts w:asciiTheme="minorHAnsi" w:hAnsiTheme="minorHAnsi" w:cstheme="minorHAnsi"/>
          <w:sz w:val="28"/>
        </w:rPr>
      </w:pPr>
    </w:p>
    <w:p w14:paraId="5D24B978" w14:textId="16E84ABC" w:rsidR="000D48AF" w:rsidRPr="00AA4677" w:rsidRDefault="000D48AF" w:rsidP="00406FCE">
      <w:pPr>
        <w:pStyle w:val="BodyText"/>
        <w:spacing w:line="259" w:lineRule="auto"/>
        <w:ind w:right="591"/>
        <w:rPr>
          <w:rFonts w:asciiTheme="minorHAnsi" w:hAnsiTheme="minorHAnsi" w:cstheme="minorHAnsi"/>
          <w:b/>
        </w:rPr>
      </w:pPr>
      <w:r w:rsidRPr="00AA4677">
        <w:rPr>
          <w:rFonts w:asciiTheme="minorHAnsi" w:hAnsiTheme="minorHAnsi" w:cstheme="minorHAnsi"/>
          <w:b/>
        </w:rPr>
        <w:t>The Reliance Agreement:</w:t>
      </w:r>
    </w:p>
    <w:p w14:paraId="64EC06E9" w14:textId="77777777" w:rsidR="000D48AF" w:rsidRPr="00AA4677" w:rsidRDefault="000D48AF">
      <w:pPr>
        <w:pStyle w:val="ListParagraph"/>
        <w:widowControl w:val="0"/>
        <w:numPr>
          <w:ilvl w:val="0"/>
          <w:numId w:val="227"/>
        </w:numPr>
        <w:tabs>
          <w:tab w:val="left" w:pos="360"/>
        </w:tabs>
        <w:autoSpaceDE w:val="0"/>
        <w:autoSpaceDN w:val="0"/>
        <w:spacing w:before="159" w:after="0"/>
        <w:ind w:left="360" w:right="320"/>
        <w:contextualSpacing w:val="0"/>
        <w:rPr>
          <w:rFonts w:cstheme="minorHAnsi"/>
        </w:rPr>
      </w:pPr>
      <w:r w:rsidRPr="00AA4677">
        <w:rPr>
          <w:rFonts w:cstheme="minorHAnsi"/>
        </w:rPr>
        <w:t>Documents the respective authorities, roles, responsibilities, and communication between an organization providing the ethical review and a participating organization relying on a reviewing</w:t>
      </w:r>
      <w:r w:rsidRPr="00AA4677">
        <w:rPr>
          <w:rFonts w:cstheme="minorHAnsi"/>
          <w:spacing w:val="-1"/>
        </w:rPr>
        <w:t xml:space="preserve"> </w:t>
      </w:r>
      <w:r w:rsidRPr="00AA4677">
        <w:rPr>
          <w:rFonts w:cstheme="minorHAnsi"/>
        </w:rPr>
        <w:t>IRB.</w:t>
      </w:r>
    </w:p>
    <w:p w14:paraId="4DD1FC13" w14:textId="03B4CFD7" w:rsidR="000D48AF" w:rsidRPr="00AA4677" w:rsidRDefault="000D48AF">
      <w:pPr>
        <w:pStyle w:val="ListParagraph"/>
        <w:widowControl w:val="0"/>
        <w:numPr>
          <w:ilvl w:val="0"/>
          <w:numId w:val="227"/>
        </w:numPr>
        <w:tabs>
          <w:tab w:val="left" w:pos="360"/>
        </w:tabs>
        <w:autoSpaceDE w:val="0"/>
        <w:autoSpaceDN w:val="0"/>
        <w:spacing w:before="79" w:after="0"/>
        <w:ind w:left="360" w:right="370"/>
        <w:contextualSpacing w:val="0"/>
      </w:pPr>
      <w:r w:rsidRPr="00AA4677">
        <w:t>Describes the responsibilities of all parties and how communication between parties will occur, for example, notifications of the outcome of regulatory review and management</w:t>
      </w:r>
      <w:r w:rsidRPr="00AA4677">
        <w:rPr>
          <w:spacing w:val="-35"/>
        </w:rPr>
        <w:t xml:space="preserve"> </w:t>
      </w:r>
      <w:r w:rsidRPr="00AA4677">
        <w:t xml:space="preserve">of </w:t>
      </w:r>
      <w:proofErr w:type="gramStart"/>
      <w:r w:rsidRPr="00AA4677">
        <w:t>federally-mandated</w:t>
      </w:r>
      <w:proofErr w:type="gramEnd"/>
      <w:r w:rsidRPr="00AA4677">
        <w:t xml:space="preserve"> reports such as reports of unanticipated problems, serious or </w:t>
      </w:r>
      <w:r w:rsidRPr="00AA4677">
        <w:lastRenderedPageBreak/>
        <w:t>continuing noncompliance, and suspensions or terminations of IRB</w:t>
      </w:r>
      <w:r w:rsidRPr="00AA4677">
        <w:rPr>
          <w:spacing w:val="-14"/>
        </w:rPr>
        <w:t xml:space="preserve"> </w:t>
      </w:r>
      <w:r w:rsidRPr="00AA4677">
        <w:t>approval.</w:t>
      </w:r>
    </w:p>
    <w:p w14:paraId="4A962B2B" w14:textId="2EC7D6D7" w:rsidR="00F320BA" w:rsidRPr="00AA4677" w:rsidRDefault="00F320BA">
      <w:pPr>
        <w:pStyle w:val="ListParagraph"/>
        <w:widowControl w:val="0"/>
        <w:numPr>
          <w:ilvl w:val="0"/>
          <w:numId w:val="227"/>
        </w:numPr>
        <w:tabs>
          <w:tab w:val="left" w:pos="360"/>
        </w:tabs>
        <w:autoSpaceDE w:val="0"/>
        <w:autoSpaceDN w:val="0"/>
        <w:spacing w:before="79" w:after="0"/>
        <w:ind w:left="360" w:right="370"/>
        <w:contextualSpacing w:val="0"/>
      </w:pPr>
      <w:r w:rsidRPr="00AA4677">
        <w:t>Describes the resp</w:t>
      </w:r>
      <w:r w:rsidR="00C96CBA" w:rsidRPr="00AA4677">
        <w:t>onsibilities regarding which org</w:t>
      </w:r>
      <w:r w:rsidR="00E874D3" w:rsidRPr="00AA4677">
        <w:t>aniz</w:t>
      </w:r>
      <w:r w:rsidRPr="00AA4677">
        <w:t>ation is responsible for r</w:t>
      </w:r>
      <w:r w:rsidR="00C96CBA" w:rsidRPr="00AA4677">
        <w:t>e</w:t>
      </w:r>
      <w:r w:rsidRPr="00AA4677">
        <w:t xml:space="preserve">view of potential non-compliance </w:t>
      </w:r>
      <w:r w:rsidR="00E874D3" w:rsidRPr="00AA4677">
        <w:t>(including whether each alleg</w:t>
      </w:r>
      <w:r w:rsidRPr="00AA4677">
        <w:t>ation of non-compliance has a basis in fact)</w:t>
      </w:r>
      <w:r w:rsidR="00F832A6" w:rsidRPr="00AA4677">
        <w:t xml:space="preserve"> and whether each incident of non-compliance is serious or continuing</w:t>
      </w:r>
      <w:r w:rsidR="00C96CBA" w:rsidRPr="00AA4677">
        <w:t>.</w:t>
      </w:r>
    </w:p>
    <w:p w14:paraId="1DA9D034" w14:textId="57F5041D" w:rsidR="00F832A6" w:rsidRPr="00AA4677" w:rsidRDefault="00F832A6">
      <w:pPr>
        <w:pStyle w:val="ListParagraph"/>
        <w:widowControl w:val="0"/>
        <w:numPr>
          <w:ilvl w:val="0"/>
          <w:numId w:val="227"/>
        </w:numPr>
        <w:tabs>
          <w:tab w:val="left" w:pos="360"/>
        </w:tabs>
        <w:autoSpaceDE w:val="0"/>
        <w:autoSpaceDN w:val="0"/>
        <w:spacing w:before="79" w:after="0"/>
        <w:ind w:left="360" w:right="370"/>
        <w:contextualSpacing w:val="0"/>
      </w:pPr>
      <w:r w:rsidRPr="00AA4677">
        <w:t>Describes the management of organizational conflict of interest related to the research</w:t>
      </w:r>
      <w:r w:rsidR="00C96CBA" w:rsidRPr="00AA4677">
        <w:t>.</w:t>
      </w:r>
    </w:p>
    <w:p w14:paraId="48D49C39" w14:textId="680BE39F" w:rsidR="00F832A6" w:rsidRPr="00AA4677" w:rsidRDefault="00F832A6">
      <w:pPr>
        <w:pStyle w:val="ListParagraph"/>
        <w:widowControl w:val="0"/>
        <w:numPr>
          <w:ilvl w:val="0"/>
          <w:numId w:val="227"/>
        </w:numPr>
        <w:tabs>
          <w:tab w:val="left" w:pos="360"/>
        </w:tabs>
        <w:autoSpaceDE w:val="0"/>
        <w:autoSpaceDN w:val="0"/>
        <w:spacing w:before="79" w:after="0"/>
        <w:ind w:left="360" w:right="370"/>
        <w:contextualSpacing w:val="0"/>
      </w:pPr>
      <w:r w:rsidRPr="00AA4677">
        <w:t>Describes the continuation of oversight</w:t>
      </w:r>
      <w:r w:rsidR="0085026A" w:rsidRPr="00AA4677">
        <w:t xml:space="preserve"> </w:t>
      </w:r>
      <w:r w:rsidRPr="00AA4677">
        <w:t>of the parties should a termination of a reliance agreement occur</w:t>
      </w:r>
      <w:r w:rsidR="00C96CBA" w:rsidRPr="00AA4677">
        <w:t>.</w:t>
      </w:r>
    </w:p>
    <w:p w14:paraId="0BC0402B" w14:textId="26E89E24" w:rsidR="000D48AF" w:rsidRPr="00AA4677" w:rsidRDefault="000D48AF">
      <w:pPr>
        <w:pStyle w:val="ListParagraph"/>
        <w:widowControl w:val="0"/>
        <w:numPr>
          <w:ilvl w:val="0"/>
          <w:numId w:val="227"/>
        </w:numPr>
        <w:tabs>
          <w:tab w:val="left" w:pos="360"/>
        </w:tabs>
        <w:autoSpaceDE w:val="0"/>
        <w:autoSpaceDN w:val="0"/>
        <w:spacing w:after="0"/>
        <w:ind w:left="360" w:right="198"/>
        <w:contextualSpacing w:val="0"/>
        <w:jc w:val="both"/>
      </w:pPr>
      <w:r w:rsidRPr="00AA4677">
        <w:t>When IRB certification requirements apply (e.g., for NIH Genomic Data Sharing, Certificates of Confidentiality), the agreement or written procedures will indicate who is responsible for meeting the certification</w:t>
      </w:r>
      <w:r w:rsidRPr="00AA4677">
        <w:rPr>
          <w:spacing w:val="-4"/>
        </w:rPr>
        <w:t xml:space="preserve"> </w:t>
      </w:r>
      <w:r w:rsidRPr="00AA4677">
        <w:t>requirements.</w:t>
      </w:r>
    </w:p>
    <w:p w14:paraId="696A6E3C" w14:textId="64852410" w:rsidR="000D48AF" w:rsidRPr="00AA4677" w:rsidRDefault="000D48AF">
      <w:pPr>
        <w:pStyle w:val="ListParagraph"/>
        <w:widowControl w:val="0"/>
        <w:numPr>
          <w:ilvl w:val="0"/>
          <w:numId w:val="227"/>
        </w:numPr>
        <w:tabs>
          <w:tab w:val="left" w:pos="360"/>
        </w:tabs>
        <w:autoSpaceDE w:val="0"/>
        <w:autoSpaceDN w:val="0"/>
        <w:spacing w:after="0" w:line="240" w:lineRule="auto"/>
        <w:ind w:left="360"/>
        <w:contextualSpacing w:val="0"/>
        <w:jc w:val="both"/>
      </w:pPr>
      <w:r w:rsidRPr="00AA4677">
        <w:t xml:space="preserve">Specifies contact information and personnel for both the sIRB and </w:t>
      </w:r>
      <w:proofErr w:type="gramStart"/>
      <w:r w:rsidRPr="00AA4677">
        <w:t>relying</w:t>
      </w:r>
      <w:proofErr w:type="gramEnd"/>
      <w:r w:rsidRPr="00AA4677">
        <w:rPr>
          <w:spacing w:val="-29"/>
        </w:rPr>
        <w:t xml:space="preserve"> </w:t>
      </w:r>
      <w:r w:rsidRPr="00AA4677">
        <w:t>institution(s).</w:t>
      </w:r>
    </w:p>
    <w:p w14:paraId="62C56256" w14:textId="6FAA05F5" w:rsidR="0010641F" w:rsidRPr="00AA4677" w:rsidRDefault="0010641F">
      <w:pPr>
        <w:pStyle w:val="ListParagraph"/>
        <w:widowControl w:val="0"/>
        <w:numPr>
          <w:ilvl w:val="0"/>
          <w:numId w:val="227"/>
        </w:numPr>
        <w:tabs>
          <w:tab w:val="left" w:pos="360"/>
        </w:tabs>
        <w:autoSpaceDE w:val="0"/>
        <w:autoSpaceDN w:val="0"/>
        <w:spacing w:after="0" w:line="240" w:lineRule="auto"/>
        <w:ind w:left="360"/>
        <w:contextualSpacing w:val="0"/>
        <w:jc w:val="both"/>
      </w:pPr>
      <w:r w:rsidRPr="00AA4677">
        <w:t>Describes the availability of records (e.g., minutes, protocols, consent forms)</w:t>
      </w:r>
      <w:r w:rsidR="00C96CBA" w:rsidRPr="00AA4677">
        <w:t>.</w:t>
      </w:r>
    </w:p>
    <w:p w14:paraId="794723A8" w14:textId="686BBE88" w:rsidR="0010641F" w:rsidRPr="00AA4677" w:rsidRDefault="0010641F">
      <w:pPr>
        <w:pStyle w:val="ListParagraph"/>
        <w:widowControl w:val="0"/>
        <w:numPr>
          <w:ilvl w:val="0"/>
          <w:numId w:val="227"/>
        </w:numPr>
        <w:tabs>
          <w:tab w:val="left" w:pos="360"/>
        </w:tabs>
        <w:autoSpaceDE w:val="0"/>
        <w:autoSpaceDN w:val="0"/>
        <w:spacing w:after="0" w:line="240" w:lineRule="auto"/>
        <w:ind w:left="360"/>
        <w:contextualSpacing w:val="0"/>
        <w:jc w:val="both"/>
      </w:pPr>
      <w:r w:rsidRPr="00AA4677">
        <w:t>Assures who has the authority to perform audits of the research and under what circumstanc</w:t>
      </w:r>
      <w:r w:rsidR="00E874D3" w:rsidRPr="00AA4677">
        <w:t>e</w:t>
      </w:r>
      <w:r w:rsidRPr="00AA4677">
        <w:t>s the audit reports are given.</w:t>
      </w:r>
    </w:p>
    <w:p w14:paraId="62C06A71" w14:textId="1C794168" w:rsidR="0010641F" w:rsidRPr="00AA4677" w:rsidRDefault="0010641F">
      <w:pPr>
        <w:pStyle w:val="ListParagraph"/>
        <w:widowControl w:val="0"/>
        <w:numPr>
          <w:ilvl w:val="0"/>
          <w:numId w:val="227"/>
        </w:numPr>
        <w:tabs>
          <w:tab w:val="left" w:pos="360"/>
        </w:tabs>
        <w:autoSpaceDE w:val="0"/>
        <w:autoSpaceDN w:val="0"/>
        <w:spacing w:before="22" w:after="0"/>
        <w:ind w:left="360" w:right="571"/>
        <w:contextualSpacing w:val="0"/>
        <w:jc w:val="both"/>
      </w:pPr>
      <w:r w:rsidRPr="00AA4677">
        <w:t>Describes the availability of policies and procedures and the mechanism for communicating any changes to these documents.</w:t>
      </w:r>
    </w:p>
    <w:p w14:paraId="72CEF83D" w14:textId="2ACD39A5" w:rsidR="0010641F" w:rsidRPr="00AA4677" w:rsidRDefault="0010641F">
      <w:pPr>
        <w:pStyle w:val="ListParagraph"/>
        <w:widowControl w:val="0"/>
        <w:numPr>
          <w:ilvl w:val="0"/>
          <w:numId w:val="227"/>
        </w:numPr>
        <w:tabs>
          <w:tab w:val="left" w:pos="360"/>
        </w:tabs>
        <w:autoSpaceDE w:val="0"/>
        <w:autoSpaceDN w:val="0"/>
        <w:spacing w:before="22" w:after="0"/>
        <w:ind w:left="360" w:right="571"/>
        <w:contextualSpacing w:val="0"/>
        <w:jc w:val="both"/>
      </w:pPr>
      <w:r w:rsidRPr="00AA4677">
        <w:t xml:space="preserve">Addresses the contact person and the provision of contact information for </w:t>
      </w:r>
      <w:r w:rsidR="00717203" w:rsidRPr="00AA4677">
        <w:t>research</w:t>
      </w:r>
      <w:r w:rsidRPr="00AA4677">
        <w:t>ers and research staff to obtain answers to questions, express concerns, and convey suggestions regarding the IRB.</w:t>
      </w:r>
    </w:p>
    <w:p w14:paraId="3313F1FA" w14:textId="504751DC" w:rsidR="000D48AF" w:rsidRPr="00AA4677" w:rsidRDefault="000D48AF">
      <w:pPr>
        <w:pStyle w:val="ListParagraph"/>
        <w:widowControl w:val="0"/>
        <w:numPr>
          <w:ilvl w:val="0"/>
          <w:numId w:val="227"/>
        </w:numPr>
        <w:tabs>
          <w:tab w:val="left" w:pos="360"/>
        </w:tabs>
        <w:autoSpaceDE w:val="0"/>
        <w:autoSpaceDN w:val="0"/>
        <w:spacing w:before="22" w:after="0"/>
        <w:ind w:left="360" w:right="571"/>
        <w:contextualSpacing w:val="0"/>
        <w:jc w:val="both"/>
      </w:pPr>
      <w:r w:rsidRPr="00AA4677">
        <w:t xml:space="preserve">Addresses whether the relying organization applies its FWA to some or all </w:t>
      </w:r>
      <w:proofErr w:type="gramStart"/>
      <w:r w:rsidRPr="00AA4677">
        <w:t>research, and</w:t>
      </w:r>
      <w:proofErr w:type="gramEnd"/>
      <w:r w:rsidRPr="00AA4677">
        <w:t xml:space="preserve"> ensures that the IRB review is consistent with requirements in the relying</w:t>
      </w:r>
      <w:r w:rsidR="00C96CBA" w:rsidRPr="00AA4677">
        <w:t xml:space="preserve"> </w:t>
      </w:r>
      <w:r w:rsidRPr="00AA4677">
        <w:rPr>
          <w:spacing w:val="-39"/>
        </w:rPr>
        <w:t xml:space="preserve"> </w:t>
      </w:r>
      <w:r w:rsidRPr="00AA4677">
        <w:t>organization’s FWA.</w:t>
      </w:r>
    </w:p>
    <w:p w14:paraId="5B1C468D" w14:textId="76A41E9B" w:rsidR="00C96CBA" w:rsidRPr="00AA4677" w:rsidRDefault="00754FA9">
      <w:pPr>
        <w:pStyle w:val="ListParagraph"/>
        <w:widowControl w:val="0"/>
        <w:numPr>
          <w:ilvl w:val="0"/>
          <w:numId w:val="227"/>
        </w:numPr>
        <w:tabs>
          <w:tab w:val="left" w:pos="360"/>
        </w:tabs>
        <w:autoSpaceDE w:val="0"/>
        <w:autoSpaceDN w:val="0"/>
        <w:spacing w:before="22" w:after="0"/>
        <w:ind w:left="360" w:right="571"/>
        <w:contextualSpacing w:val="0"/>
        <w:jc w:val="both"/>
      </w:pPr>
      <w:r w:rsidRPr="00AA4677">
        <w:t>Specifie</w:t>
      </w:r>
      <w:r w:rsidR="00C96CBA" w:rsidRPr="00AA4677">
        <w:t>s that the organization operating an IRB will ensure compliance with the requirements of the Common Rule.</w:t>
      </w:r>
    </w:p>
    <w:p w14:paraId="1F36D92A" w14:textId="4CA3491F" w:rsidR="000D48AF" w:rsidRPr="00AA4677" w:rsidRDefault="000D48AF">
      <w:pPr>
        <w:pStyle w:val="ListParagraph"/>
        <w:widowControl w:val="0"/>
        <w:numPr>
          <w:ilvl w:val="0"/>
          <w:numId w:val="227"/>
        </w:numPr>
        <w:tabs>
          <w:tab w:val="left" w:pos="360"/>
        </w:tabs>
        <w:autoSpaceDE w:val="0"/>
        <w:autoSpaceDN w:val="0"/>
        <w:spacing w:after="0" w:line="256" w:lineRule="auto"/>
        <w:ind w:left="360" w:right="563"/>
        <w:contextualSpacing w:val="0"/>
      </w:pPr>
      <w:r w:rsidRPr="00AA4677">
        <w:t>Addresses which organization is responsible for obtaining any additional approvals from DHHS when the research involves Subpart B, C, or D</w:t>
      </w:r>
      <w:r w:rsidRPr="00AA4677">
        <w:rPr>
          <w:spacing w:val="-7"/>
        </w:rPr>
        <w:t xml:space="preserve"> </w:t>
      </w:r>
      <w:r w:rsidRPr="00AA4677">
        <w:t>determinations.</w:t>
      </w:r>
    </w:p>
    <w:p w14:paraId="2F39108A" w14:textId="2D2B1CC0" w:rsidR="00F320BA" w:rsidRPr="00AA4677" w:rsidRDefault="00F320BA">
      <w:pPr>
        <w:pStyle w:val="ListParagraph"/>
        <w:widowControl w:val="0"/>
        <w:numPr>
          <w:ilvl w:val="0"/>
          <w:numId w:val="227"/>
        </w:numPr>
        <w:tabs>
          <w:tab w:val="left" w:pos="360"/>
        </w:tabs>
        <w:autoSpaceDE w:val="0"/>
        <w:autoSpaceDN w:val="0"/>
        <w:spacing w:after="0" w:line="256" w:lineRule="auto"/>
        <w:ind w:left="360" w:right="563"/>
        <w:contextualSpacing w:val="0"/>
      </w:pPr>
      <w:r w:rsidRPr="00AA4677">
        <w:t xml:space="preserve">Describes who provides education to </w:t>
      </w:r>
      <w:r w:rsidR="00717203" w:rsidRPr="00AA4677">
        <w:t>research</w:t>
      </w:r>
      <w:r w:rsidRPr="00AA4677">
        <w:t>ers and research personnel</w:t>
      </w:r>
    </w:p>
    <w:p w14:paraId="72952F1F" w14:textId="116788DD" w:rsidR="00F320BA" w:rsidRPr="00AA4677" w:rsidRDefault="00F320BA">
      <w:pPr>
        <w:pStyle w:val="ListParagraph"/>
        <w:widowControl w:val="0"/>
        <w:numPr>
          <w:ilvl w:val="0"/>
          <w:numId w:val="227"/>
        </w:numPr>
        <w:tabs>
          <w:tab w:val="left" w:pos="360"/>
        </w:tabs>
        <w:autoSpaceDE w:val="0"/>
        <w:autoSpaceDN w:val="0"/>
        <w:spacing w:after="0" w:line="256" w:lineRule="auto"/>
        <w:ind w:left="360" w:right="563"/>
        <w:contextualSpacing w:val="0"/>
      </w:pPr>
      <w:r w:rsidRPr="00AA4677">
        <w:t>Provides information about the performance of scientific review</w:t>
      </w:r>
    </w:p>
    <w:p w14:paraId="1635F5D4" w14:textId="77777777" w:rsidR="000D48AF" w:rsidRPr="00AA4677" w:rsidRDefault="000D48AF" w:rsidP="009A4D02">
      <w:pPr>
        <w:pStyle w:val="BodyText"/>
        <w:spacing w:before="165" w:line="259" w:lineRule="auto"/>
        <w:ind w:right="179"/>
        <w:rPr>
          <w:rFonts w:asciiTheme="minorHAnsi" w:hAnsiTheme="minorHAnsi" w:cstheme="minorHAnsi"/>
        </w:rPr>
      </w:pPr>
      <w:r w:rsidRPr="00AA4677">
        <w:rPr>
          <w:rFonts w:asciiTheme="minorHAnsi" w:hAnsiTheme="minorHAnsi" w:cstheme="minorHAnsi"/>
        </w:rPr>
        <w:t>The institution that is awarded the funding for the research is responsible for maintaining all agreements and for ensuring that adequate and appropriate communication channels between the sIRB and participating sites are in place. Participating sites are responsible for maintaining copies of the site agreement in accordance with the terms of their FWA.</w:t>
      </w:r>
    </w:p>
    <w:p w14:paraId="2F248A20" w14:textId="77777777" w:rsidR="000D48AF" w:rsidRPr="00AA4677" w:rsidRDefault="000D48AF" w:rsidP="009A4D02">
      <w:pPr>
        <w:pStyle w:val="BodyText"/>
        <w:spacing w:before="5"/>
        <w:rPr>
          <w:rFonts w:asciiTheme="minorHAnsi" w:hAnsiTheme="minorHAnsi" w:cstheme="minorHAnsi"/>
          <w:sz w:val="19"/>
        </w:rPr>
      </w:pPr>
    </w:p>
    <w:p w14:paraId="033BCA89" w14:textId="73AA45AF" w:rsidR="000D48AF" w:rsidRPr="00AA4677" w:rsidRDefault="0040284F" w:rsidP="005920B2">
      <w:pPr>
        <w:rPr>
          <w:b/>
        </w:rPr>
      </w:pPr>
      <w:r w:rsidRPr="00AA4677">
        <w:rPr>
          <w:b/>
        </w:rPr>
        <w:t>17.1</w:t>
      </w:r>
      <w:r w:rsidR="00785476" w:rsidRPr="00AA4677">
        <w:rPr>
          <w:b/>
        </w:rPr>
        <w:t>7</w:t>
      </w:r>
      <w:r w:rsidRPr="00AA4677">
        <w:rPr>
          <w:b/>
        </w:rPr>
        <w:t xml:space="preserve">.2 </w:t>
      </w:r>
      <w:r w:rsidR="000D48AF" w:rsidRPr="00AA4677">
        <w:rPr>
          <w:b/>
        </w:rPr>
        <w:t>SBU Serving as the Reviewing</w:t>
      </w:r>
      <w:r w:rsidR="000D48AF" w:rsidRPr="00AA4677">
        <w:rPr>
          <w:b/>
          <w:spacing w:val="1"/>
        </w:rPr>
        <w:t xml:space="preserve"> </w:t>
      </w:r>
      <w:r w:rsidR="000D48AF" w:rsidRPr="00AA4677">
        <w:rPr>
          <w:b/>
        </w:rPr>
        <w:t>IRB</w:t>
      </w:r>
    </w:p>
    <w:p w14:paraId="4837F47C" w14:textId="39E5AB4D" w:rsidR="000D48AF" w:rsidRPr="00AA4677" w:rsidRDefault="000D48AF" w:rsidP="005920B2">
      <w:pPr>
        <w:rPr>
          <w:b/>
        </w:rPr>
      </w:pPr>
      <w:r w:rsidRPr="00AA4677">
        <w:rPr>
          <w:b/>
        </w:rPr>
        <w:lastRenderedPageBreak/>
        <w:t>Factors Considered by the ORC t</w:t>
      </w:r>
      <w:r w:rsidR="005920B2" w:rsidRPr="00AA4677">
        <w:rPr>
          <w:b/>
        </w:rPr>
        <w:t>o have SBU provide IRB Services</w:t>
      </w:r>
    </w:p>
    <w:p w14:paraId="25AB12E3" w14:textId="77777777" w:rsidR="000D48AF" w:rsidRPr="00AA4677" w:rsidRDefault="000D48AF" w:rsidP="009A4D02">
      <w:pPr>
        <w:pStyle w:val="BodyText"/>
        <w:spacing w:line="259" w:lineRule="auto"/>
        <w:ind w:right="481"/>
        <w:rPr>
          <w:rFonts w:asciiTheme="minorHAnsi" w:hAnsiTheme="minorHAnsi" w:cstheme="minorHAnsi"/>
        </w:rPr>
      </w:pPr>
      <w:r w:rsidRPr="00AA4677">
        <w:rPr>
          <w:rFonts w:asciiTheme="minorHAnsi" w:hAnsiTheme="minorHAnsi" w:cstheme="minorHAnsi"/>
        </w:rPr>
        <w:t>The Reliance Administrator evaluates the following factors, and others as appropriate, when considering a request for an SBU IRB to serve as the IRB of record for a particular study or studies:</w:t>
      </w:r>
    </w:p>
    <w:p w14:paraId="2F006023" w14:textId="77777777" w:rsidR="000D48AF" w:rsidRPr="00AA4677" w:rsidRDefault="000D48AF">
      <w:pPr>
        <w:pStyle w:val="ListParagraph"/>
        <w:widowControl w:val="0"/>
        <w:numPr>
          <w:ilvl w:val="0"/>
          <w:numId w:val="226"/>
        </w:numPr>
        <w:tabs>
          <w:tab w:val="left" w:pos="360"/>
        </w:tabs>
        <w:autoSpaceDE w:val="0"/>
        <w:autoSpaceDN w:val="0"/>
        <w:spacing w:before="159" w:after="0" w:line="240" w:lineRule="auto"/>
        <w:ind w:left="0" w:firstLine="0"/>
        <w:contextualSpacing w:val="0"/>
      </w:pPr>
      <w:r w:rsidRPr="00AA4677">
        <w:rPr>
          <w:rFonts w:cstheme="minorHAnsi"/>
        </w:rPr>
        <w:t>The terms</w:t>
      </w:r>
      <w:r w:rsidRPr="00AA4677">
        <w:t xml:space="preserve"> of the external site(s)</w:t>
      </w:r>
      <w:r w:rsidRPr="00AA4677">
        <w:rPr>
          <w:spacing w:val="-7"/>
        </w:rPr>
        <w:t xml:space="preserve"> </w:t>
      </w:r>
      <w:proofErr w:type="gramStart"/>
      <w:r w:rsidRPr="00AA4677">
        <w:t>FWA;</w:t>
      </w:r>
      <w:proofErr w:type="gramEnd"/>
    </w:p>
    <w:p w14:paraId="3C74F81B" w14:textId="77777777" w:rsidR="000D48AF" w:rsidRPr="00AA4677" w:rsidRDefault="000D48AF">
      <w:pPr>
        <w:pStyle w:val="ListParagraph"/>
        <w:widowControl w:val="0"/>
        <w:numPr>
          <w:ilvl w:val="0"/>
          <w:numId w:val="226"/>
        </w:numPr>
        <w:tabs>
          <w:tab w:val="left" w:pos="360"/>
        </w:tabs>
        <w:autoSpaceDE w:val="0"/>
        <w:autoSpaceDN w:val="0"/>
        <w:spacing w:after="0" w:line="240" w:lineRule="auto"/>
        <w:ind w:left="360"/>
        <w:contextualSpacing w:val="0"/>
      </w:pPr>
      <w:r w:rsidRPr="00AA4677">
        <w:t>The accreditation status of the external</w:t>
      </w:r>
      <w:r w:rsidRPr="00AA4677">
        <w:rPr>
          <w:spacing w:val="-9"/>
        </w:rPr>
        <w:t xml:space="preserve"> </w:t>
      </w:r>
      <w:r w:rsidRPr="00AA4677">
        <w:t>site(s)</w:t>
      </w:r>
    </w:p>
    <w:p w14:paraId="6E5EF208" w14:textId="77777777" w:rsidR="000D48AF" w:rsidRPr="00AA4677" w:rsidRDefault="000D48AF">
      <w:pPr>
        <w:pStyle w:val="ListParagraph"/>
        <w:widowControl w:val="0"/>
        <w:numPr>
          <w:ilvl w:val="0"/>
          <w:numId w:val="226"/>
        </w:numPr>
        <w:tabs>
          <w:tab w:val="left" w:pos="360"/>
        </w:tabs>
        <w:autoSpaceDE w:val="0"/>
        <w:autoSpaceDN w:val="0"/>
        <w:spacing w:before="1" w:after="0" w:line="240" w:lineRule="auto"/>
        <w:ind w:left="360"/>
        <w:contextualSpacing w:val="0"/>
      </w:pPr>
      <w:r w:rsidRPr="00AA4677">
        <w:t>Prior experience with the site(s) and</w:t>
      </w:r>
      <w:r w:rsidRPr="00AA4677">
        <w:rPr>
          <w:spacing w:val="-2"/>
        </w:rPr>
        <w:t xml:space="preserve"> </w:t>
      </w:r>
      <w:proofErr w:type="gramStart"/>
      <w:r w:rsidRPr="00AA4677">
        <w:t>investigators;</w:t>
      </w:r>
      <w:proofErr w:type="gramEnd"/>
    </w:p>
    <w:p w14:paraId="4B780F06" w14:textId="77777777" w:rsidR="000D48AF" w:rsidRPr="00AA4677" w:rsidRDefault="000D48AF">
      <w:pPr>
        <w:pStyle w:val="ListParagraph"/>
        <w:widowControl w:val="0"/>
        <w:numPr>
          <w:ilvl w:val="0"/>
          <w:numId w:val="226"/>
        </w:numPr>
        <w:tabs>
          <w:tab w:val="left" w:pos="360"/>
        </w:tabs>
        <w:autoSpaceDE w:val="0"/>
        <w:autoSpaceDN w:val="0"/>
        <w:spacing w:after="0" w:line="240" w:lineRule="auto"/>
        <w:ind w:left="360" w:right="615"/>
        <w:contextualSpacing w:val="0"/>
      </w:pPr>
      <w:r w:rsidRPr="00AA4677">
        <w:t>The</w:t>
      </w:r>
      <w:r w:rsidRPr="00AA4677">
        <w:rPr>
          <w:spacing w:val="-3"/>
        </w:rPr>
        <w:t xml:space="preserve"> </w:t>
      </w:r>
      <w:r w:rsidRPr="00AA4677">
        <w:t>compliance</w:t>
      </w:r>
      <w:r w:rsidRPr="00AA4677">
        <w:rPr>
          <w:spacing w:val="-3"/>
        </w:rPr>
        <w:t xml:space="preserve"> </w:t>
      </w:r>
      <w:r w:rsidRPr="00AA4677">
        <w:t>history</w:t>
      </w:r>
      <w:r w:rsidRPr="00AA4677">
        <w:rPr>
          <w:spacing w:val="-5"/>
        </w:rPr>
        <w:t xml:space="preserve"> </w:t>
      </w:r>
      <w:r w:rsidRPr="00AA4677">
        <w:t>of</w:t>
      </w:r>
      <w:r w:rsidRPr="00AA4677">
        <w:rPr>
          <w:spacing w:val="-3"/>
        </w:rPr>
        <w:t xml:space="preserve"> </w:t>
      </w:r>
      <w:r w:rsidRPr="00AA4677">
        <w:t>the</w:t>
      </w:r>
      <w:r w:rsidRPr="00AA4677">
        <w:rPr>
          <w:spacing w:val="-2"/>
        </w:rPr>
        <w:t xml:space="preserve"> </w:t>
      </w:r>
      <w:r w:rsidRPr="00AA4677">
        <w:t>site(s)</w:t>
      </w:r>
      <w:r w:rsidRPr="00AA4677">
        <w:rPr>
          <w:spacing w:val="-5"/>
        </w:rPr>
        <w:t xml:space="preserve"> </w:t>
      </w:r>
      <w:r w:rsidRPr="00AA4677">
        <w:t>and</w:t>
      </w:r>
      <w:r w:rsidRPr="00AA4677">
        <w:rPr>
          <w:spacing w:val="-2"/>
        </w:rPr>
        <w:t xml:space="preserve"> </w:t>
      </w:r>
      <w:r w:rsidRPr="00AA4677">
        <w:t>investigators</w:t>
      </w:r>
      <w:r w:rsidRPr="00AA4677">
        <w:rPr>
          <w:spacing w:val="-4"/>
        </w:rPr>
        <w:t xml:space="preserve"> </w:t>
      </w:r>
      <w:r w:rsidRPr="00AA4677">
        <w:t>(e.g.,</w:t>
      </w:r>
      <w:r w:rsidRPr="00AA4677">
        <w:rPr>
          <w:spacing w:val="-3"/>
        </w:rPr>
        <w:t xml:space="preserve"> </w:t>
      </w:r>
      <w:r w:rsidRPr="00AA4677">
        <w:t>outcomes</w:t>
      </w:r>
      <w:r w:rsidRPr="00AA4677">
        <w:rPr>
          <w:spacing w:val="-3"/>
        </w:rPr>
        <w:t xml:space="preserve"> </w:t>
      </w:r>
      <w:r w:rsidRPr="00AA4677">
        <w:t>of</w:t>
      </w:r>
      <w:r w:rsidRPr="00AA4677">
        <w:rPr>
          <w:spacing w:val="-3"/>
        </w:rPr>
        <w:t xml:space="preserve"> </w:t>
      </w:r>
      <w:r w:rsidRPr="00AA4677">
        <w:t>prior</w:t>
      </w:r>
      <w:r w:rsidRPr="00AA4677">
        <w:rPr>
          <w:spacing w:val="-2"/>
        </w:rPr>
        <w:t xml:space="preserve"> </w:t>
      </w:r>
      <w:r w:rsidRPr="00AA4677">
        <w:t>audits</w:t>
      </w:r>
      <w:r w:rsidRPr="00AA4677">
        <w:rPr>
          <w:spacing w:val="-4"/>
        </w:rPr>
        <w:t xml:space="preserve"> </w:t>
      </w:r>
      <w:r w:rsidRPr="00AA4677">
        <w:t>or inspections, corrective</w:t>
      </w:r>
      <w:r w:rsidRPr="00AA4677">
        <w:rPr>
          <w:spacing w:val="-4"/>
        </w:rPr>
        <w:t xml:space="preserve"> </w:t>
      </w:r>
      <w:r w:rsidRPr="00AA4677">
        <w:t>actions</w:t>
      </w:r>
      <w:proofErr w:type="gramStart"/>
      <w:r w:rsidRPr="00AA4677">
        <w:t>);</w:t>
      </w:r>
      <w:proofErr w:type="gramEnd"/>
    </w:p>
    <w:p w14:paraId="57E5253B" w14:textId="77777777" w:rsidR="000D48AF" w:rsidRPr="00AA4677" w:rsidRDefault="000D48AF">
      <w:pPr>
        <w:pStyle w:val="ListParagraph"/>
        <w:widowControl w:val="0"/>
        <w:numPr>
          <w:ilvl w:val="0"/>
          <w:numId w:val="226"/>
        </w:numPr>
        <w:tabs>
          <w:tab w:val="left" w:pos="360"/>
        </w:tabs>
        <w:autoSpaceDE w:val="0"/>
        <w:autoSpaceDN w:val="0"/>
        <w:spacing w:after="0" w:line="293" w:lineRule="exact"/>
        <w:ind w:left="360"/>
        <w:contextualSpacing w:val="0"/>
      </w:pPr>
      <w:r w:rsidRPr="00AA4677">
        <w:t>The research activities to be conducted at the external</w:t>
      </w:r>
      <w:r w:rsidRPr="00AA4677">
        <w:rPr>
          <w:spacing w:val="-4"/>
        </w:rPr>
        <w:t xml:space="preserve"> </w:t>
      </w:r>
      <w:r w:rsidRPr="00AA4677">
        <w:t>site(s</w:t>
      </w:r>
      <w:proofErr w:type="gramStart"/>
      <w:r w:rsidRPr="00AA4677">
        <w:t>);</w:t>
      </w:r>
      <w:proofErr w:type="gramEnd"/>
    </w:p>
    <w:p w14:paraId="0CD2304A" w14:textId="77777777" w:rsidR="000D48AF" w:rsidRPr="00AA4677" w:rsidRDefault="000D48AF">
      <w:pPr>
        <w:pStyle w:val="ListParagraph"/>
        <w:widowControl w:val="0"/>
        <w:numPr>
          <w:ilvl w:val="0"/>
          <w:numId w:val="226"/>
        </w:numPr>
        <w:tabs>
          <w:tab w:val="left" w:pos="360"/>
        </w:tabs>
        <w:autoSpaceDE w:val="0"/>
        <w:autoSpaceDN w:val="0"/>
        <w:spacing w:before="2" w:after="0" w:line="240" w:lineRule="auto"/>
        <w:ind w:left="360" w:right="862"/>
        <w:contextualSpacing w:val="0"/>
      </w:pPr>
      <w:r w:rsidRPr="00AA4677">
        <w:t>The willingness of the external site(s) to accept SBU’s reliance terms and procedures; and/or</w:t>
      </w:r>
    </w:p>
    <w:p w14:paraId="769330EA" w14:textId="77777777" w:rsidR="000D48AF" w:rsidRPr="00AA4677" w:rsidRDefault="000D48AF">
      <w:pPr>
        <w:pStyle w:val="ListParagraph"/>
        <w:widowControl w:val="0"/>
        <w:numPr>
          <w:ilvl w:val="0"/>
          <w:numId w:val="226"/>
        </w:numPr>
        <w:tabs>
          <w:tab w:val="left" w:pos="360"/>
        </w:tabs>
        <w:autoSpaceDE w:val="0"/>
        <w:autoSpaceDN w:val="0"/>
        <w:spacing w:after="0" w:line="240" w:lineRule="auto"/>
        <w:ind w:left="360" w:right="826"/>
        <w:contextualSpacing w:val="0"/>
      </w:pPr>
      <w:r w:rsidRPr="00AA4677">
        <w:t>The</w:t>
      </w:r>
      <w:r w:rsidRPr="00AA4677">
        <w:rPr>
          <w:spacing w:val="-3"/>
        </w:rPr>
        <w:t xml:space="preserve"> </w:t>
      </w:r>
      <w:r w:rsidRPr="00AA4677">
        <w:t>ability of</w:t>
      </w:r>
      <w:r w:rsidRPr="00AA4677">
        <w:rPr>
          <w:spacing w:val="-3"/>
        </w:rPr>
        <w:t xml:space="preserve"> </w:t>
      </w:r>
      <w:r w:rsidRPr="00AA4677">
        <w:t>the</w:t>
      </w:r>
      <w:r w:rsidRPr="00AA4677">
        <w:rPr>
          <w:spacing w:val="-3"/>
        </w:rPr>
        <w:t xml:space="preserve"> </w:t>
      </w:r>
      <w:r w:rsidRPr="00AA4677">
        <w:t>site(s)</w:t>
      </w:r>
      <w:r w:rsidRPr="00AA4677">
        <w:rPr>
          <w:spacing w:val="-4"/>
        </w:rPr>
        <w:t xml:space="preserve"> </w:t>
      </w:r>
      <w:r w:rsidRPr="00AA4677">
        <w:t>to</w:t>
      </w:r>
      <w:r w:rsidRPr="00AA4677">
        <w:rPr>
          <w:spacing w:val="-5"/>
        </w:rPr>
        <w:t xml:space="preserve"> </w:t>
      </w:r>
      <w:r w:rsidRPr="00AA4677">
        <w:t>collaboratively</w:t>
      </w:r>
      <w:r w:rsidRPr="00AA4677">
        <w:rPr>
          <w:spacing w:val="-5"/>
        </w:rPr>
        <w:t xml:space="preserve"> </w:t>
      </w:r>
      <w:r w:rsidRPr="00AA4677">
        <w:t>provide</w:t>
      </w:r>
      <w:r w:rsidRPr="00AA4677">
        <w:rPr>
          <w:spacing w:val="-3"/>
        </w:rPr>
        <w:t xml:space="preserve"> </w:t>
      </w:r>
      <w:r w:rsidRPr="00AA4677">
        <w:t>meaningful</w:t>
      </w:r>
      <w:r w:rsidRPr="00AA4677">
        <w:rPr>
          <w:spacing w:val="-5"/>
        </w:rPr>
        <w:t xml:space="preserve"> </w:t>
      </w:r>
      <w:r w:rsidRPr="00AA4677">
        <w:t>oversight</w:t>
      </w:r>
      <w:r w:rsidRPr="00AA4677">
        <w:rPr>
          <w:spacing w:val="-4"/>
        </w:rPr>
        <w:t xml:space="preserve"> </w:t>
      </w:r>
      <w:r w:rsidRPr="00AA4677">
        <w:t>of</w:t>
      </w:r>
      <w:r w:rsidRPr="00AA4677">
        <w:rPr>
          <w:spacing w:val="-3"/>
        </w:rPr>
        <w:t xml:space="preserve"> </w:t>
      </w:r>
      <w:r w:rsidRPr="00AA4677">
        <w:t>the</w:t>
      </w:r>
      <w:r w:rsidRPr="00AA4677">
        <w:rPr>
          <w:spacing w:val="-3"/>
        </w:rPr>
        <w:t xml:space="preserve"> </w:t>
      </w:r>
      <w:r w:rsidRPr="00AA4677">
        <w:t xml:space="preserve">proposed research, </w:t>
      </w:r>
      <w:proofErr w:type="gramStart"/>
      <w:r w:rsidRPr="00AA4677">
        <w:t>taking into account</w:t>
      </w:r>
      <w:proofErr w:type="gramEnd"/>
      <w:r w:rsidRPr="00AA4677">
        <w:t xml:space="preserve"> factors such</w:t>
      </w:r>
      <w:r w:rsidRPr="00AA4677">
        <w:rPr>
          <w:spacing w:val="-7"/>
        </w:rPr>
        <w:t xml:space="preserve"> </w:t>
      </w:r>
      <w:r w:rsidRPr="00AA4677">
        <w:t>as:</w:t>
      </w:r>
    </w:p>
    <w:p w14:paraId="07C87D64" w14:textId="77777777" w:rsidR="000D48AF" w:rsidRPr="00AA4677" w:rsidRDefault="000D48AF">
      <w:pPr>
        <w:pStyle w:val="ListParagraph"/>
        <w:widowControl w:val="0"/>
        <w:numPr>
          <w:ilvl w:val="1"/>
          <w:numId w:val="226"/>
        </w:numPr>
        <w:tabs>
          <w:tab w:val="left" w:pos="360"/>
          <w:tab w:val="left" w:pos="720"/>
        </w:tabs>
        <w:autoSpaceDE w:val="0"/>
        <w:autoSpaceDN w:val="0"/>
        <w:spacing w:after="0" w:line="293" w:lineRule="exact"/>
        <w:ind w:left="360" w:firstLine="0"/>
        <w:contextualSpacing w:val="0"/>
      </w:pPr>
      <w:r w:rsidRPr="00AA4677">
        <w:t>The risks and procedures of the</w:t>
      </w:r>
      <w:r w:rsidRPr="00AA4677">
        <w:rPr>
          <w:spacing w:val="-4"/>
        </w:rPr>
        <w:t xml:space="preserve"> </w:t>
      </w:r>
      <w:proofErr w:type="gramStart"/>
      <w:r w:rsidRPr="00AA4677">
        <w:t>research;</w:t>
      </w:r>
      <w:proofErr w:type="gramEnd"/>
    </w:p>
    <w:p w14:paraId="317F2CE3" w14:textId="77777777" w:rsidR="000D48AF" w:rsidRPr="00AA4677" w:rsidRDefault="000D48AF">
      <w:pPr>
        <w:pStyle w:val="ListParagraph"/>
        <w:widowControl w:val="0"/>
        <w:numPr>
          <w:ilvl w:val="1"/>
          <w:numId w:val="226"/>
        </w:numPr>
        <w:tabs>
          <w:tab w:val="left" w:pos="720"/>
        </w:tabs>
        <w:autoSpaceDE w:val="0"/>
        <w:autoSpaceDN w:val="0"/>
        <w:spacing w:after="0" w:line="240" w:lineRule="auto"/>
        <w:ind w:left="720" w:right="271"/>
        <w:contextualSpacing w:val="0"/>
      </w:pPr>
      <w:r w:rsidRPr="00AA4677">
        <w:t>The resources available at each site and ability to accommodate or collaborate with each other in observing the consent process, performing compliance reviews, investigations of potential noncompliance, and similar</w:t>
      </w:r>
      <w:r w:rsidRPr="00AA4677">
        <w:rPr>
          <w:spacing w:val="-6"/>
        </w:rPr>
        <w:t xml:space="preserve"> </w:t>
      </w:r>
      <w:proofErr w:type="gramStart"/>
      <w:r w:rsidRPr="00AA4677">
        <w:t>matters;</w:t>
      </w:r>
      <w:proofErr w:type="gramEnd"/>
    </w:p>
    <w:p w14:paraId="76E9C5D8" w14:textId="77777777" w:rsidR="000D48AF" w:rsidRPr="00AA4677" w:rsidRDefault="000D48AF">
      <w:pPr>
        <w:pStyle w:val="ListParagraph"/>
        <w:widowControl w:val="0"/>
        <w:numPr>
          <w:ilvl w:val="1"/>
          <w:numId w:val="226"/>
        </w:numPr>
        <w:tabs>
          <w:tab w:val="left" w:pos="720"/>
        </w:tabs>
        <w:autoSpaceDE w:val="0"/>
        <w:autoSpaceDN w:val="0"/>
        <w:spacing w:before="40" w:after="0" w:line="240" w:lineRule="auto"/>
        <w:ind w:left="720" w:right="528"/>
        <w:contextualSpacing w:val="0"/>
      </w:pPr>
      <w:r w:rsidRPr="00AA4677">
        <w:t>The expertise and experience of the SBU IRB with the proposed research,</w:t>
      </w:r>
      <w:r w:rsidRPr="00AA4677">
        <w:rPr>
          <w:spacing w:val="-36"/>
        </w:rPr>
        <w:t xml:space="preserve"> </w:t>
      </w:r>
      <w:r w:rsidRPr="00AA4677">
        <w:t>subject population, and applicable</w:t>
      </w:r>
      <w:r w:rsidRPr="00AA4677">
        <w:rPr>
          <w:spacing w:val="-3"/>
        </w:rPr>
        <w:t xml:space="preserve"> </w:t>
      </w:r>
      <w:proofErr w:type="gramStart"/>
      <w:r w:rsidRPr="00AA4677">
        <w:t>regulations;</w:t>
      </w:r>
      <w:proofErr w:type="gramEnd"/>
    </w:p>
    <w:p w14:paraId="0157F751" w14:textId="77777777" w:rsidR="000D48AF" w:rsidRPr="00AA4677" w:rsidRDefault="000D48AF">
      <w:pPr>
        <w:pStyle w:val="ListParagraph"/>
        <w:widowControl w:val="0"/>
        <w:numPr>
          <w:ilvl w:val="1"/>
          <w:numId w:val="226"/>
        </w:numPr>
        <w:tabs>
          <w:tab w:val="left" w:pos="720"/>
        </w:tabs>
        <w:autoSpaceDE w:val="0"/>
        <w:autoSpaceDN w:val="0"/>
        <w:spacing w:after="0" w:line="240" w:lineRule="auto"/>
        <w:ind w:left="720" w:right="160"/>
        <w:contextualSpacing w:val="0"/>
      </w:pPr>
      <w:r w:rsidRPr="00AA4677">
        <w:t>The</w:t>
      </w:r>
      <w:r w:rsidRPr="00AA4677">
        <w:rPr>
          <w:spacing w:val="-3"/>
        </w:rPr>
        <w:t xml:space="preserve"> </w:t>
      </w:r>
      <w:r w:rsidRPr="00AA4677">
        <w:t>ability</w:t>
      </w:r>
      <w:r w:rsidRPr="00AA4677">
        <w:rPr>
          <w:spacing w:val="-3"/>
        </w:rPr>
        <w:t xml:space="preserve"> </w:t>
      </w:r>
      <w:r w:rsidRPr="00AA4677">
        <w:t>of</w:t>
      </w:r>
      <w:r w:rsidRPr="00AA4677">
        <w:rPr>
          <w:spacing w:val="-4"/>
        </w:rPr>
        <w:t xml:space="preserve"> </w:t>
      </w:r>
      <w:r w:rsidRPr="00AA4677">
        <w:t>the</w:t>
      </w:r>
      <w:r w:rsidRPr="00AA4677">
        <w:rPr>
          <w:spacing w:val="-2"/>
        </w:rPr>
        <w:t xml:space="preserve"> </w:t>
      </w:r>
      <w:r w:rsidRPr="00AA4677">
        <w:t>SBU</w:t>
      </w:r>
      <w:r w:rsidRPr="00AA4677">
        <w:rPr>
          <w:spacing w:val="-3"/>
        </w:rPr>
        <w:t xml:space="preserve"> </w:t>
      </w:r>
      <w:r w:rsidRPr="00AA4677">
        <w:t>IRB</w:t>
      </w:r>
      <w:r w:rsidRPr="00AA4677">
        <w:rPr>
          <w:spacing w:val="-4"/>
        </w:rPr>
        <w:t xml:space="preserve"> </w:t>
      </w:r>
      <w:r w:rsidRPr="00AA4677">
        <w:t>to</w:t>
      </w:r>
      <w:r w:rsidRPr="00AA4677">
        <w:rPr>
          <w:spacing w:val="-2"/>
        </w:rPr>
        <w:t xml:space="preserve"> </w:t>
      </w:r>
      <w:r w:rsidRPr="00AA4677">
        <w:t>comply</w:t>
      </w:r>
      <w:r w:rsidRPr="00AA4677">
        <w:rPr>
          <w:spacing w:val="-3"/>
        </w:rPr>
        <w:t xml:space="preserve"> </w:t>
      </w:r>
      <w:r w:rsidRPr="00AA4677">
        <w:t>with</w:t>
      </w:r>
      <w:r w:rsidRPr="00AA4677">
        <w:rPr>
          <w:spacing w:val="-4"/>
        </w:rPr>
        <w:t xml:space="preserve"> </w:t>
      </w:r>
      <w:r w:rsidRPr="00AA4677">
        <w:t>the</w:t>
      </w:r>
      <w:r w:rsidRPr="00AA4677">
        <w:rPr>
          <w:spacing w:val="-2"/>
        </w:rPr>
        <w:t xml:space="preserve"> </w:t>
      </w:r>
      <w:r w:rsidRPr="00AA4677">
        <w:t>relevant</w:t>
      </w:r>
      <w:r w:rsidRPr="00AA4677">
        <w:rPr>
          <w:spacing w:val="-2"/>
        </w:rPr>
        <w:t xml:space="preserve"> </w:t>
      </w:r>
      <w:r w:rsidRPr="00AA4677">
        <w:t>local</w:t>
      </w:r>
      <w:r w:rsidRPr="00AA4677">
        <w:rPr>
          <w:spacing w:val="-3"/>
        </w:rPr>
        <w:t xml:space="preserve"> </w:t>
      </w:r>
      <w:r w:rsidRPr="00AA4677">
        <w:t>context</w:t>
      </w:r>
      <w:r w:rsidRPr="00AA4677">
        <w:rPr>
          <w:spacing w:val="-4"/>
        </w:rPr>
        <w:t xml:space="preserve"> </w:t>
      </w:r>
      <w:r w:rsidRPr="00AA4677">
        <w:t>considerations</w:t>
      </w:r>
      <w:r w:rsidRPr="00AA4677">
        <w:rPr>
          <w:spacing w:val="-3"/>
        </w:rPr>
        <w:t xml:space="preserve"> </w:t>
      </w:r>
      <w:r w:rsidRPr="00AA4677">
        <w:t>of the external site(s), as provided by that site(s);</w:t>
      </w:r>
      <w:r w:rsidRPr="00AA4677">
        <w:rPr>
          <w:spacing w:val="-8"/>
        </w:rPr>
        <w:t xml:space="preserve"> </w:t>
      </w:r>
      <w:r w:rsidRPr="00AA4677">
        <w:t>and/or</w:t>
      </w:r>
    </w:p>
    <w:p w14:paraId="26B79E0B" w14:textId="77777777" w:rsidR="000D48AF" w:rsidRPr="00AA4677" w:rsidRDefault="000D48AF">
      <w:pPr>
        <w:pStyle w:val="ListParagraph"/>
        <w:widowControl w:val="0"/>
        <w:numPr>
          <w:ilvl w:val="1"/>
          <w:numId w:val="226"/>
        </w:numPr>
        <w:tabs>
          <w:tab w:val="left" w:pos="720"/>
        </w:tabs>
        <w:autoSpaceDE w:val="0"/>
        <w:autoSpaceDN w:val="0"/>
        <w:spacing w:after="0" w:line="240" w:lineRule="auto"/>
        <w:ind w:left="720" w:right="155"/>
        <w:contextualSpacing w:val="0"/>
      </w:pPr>
      <w:r w:rsidRPr="00AA4677">
        <w:t>The willingness or ability of the external site(s) to provide information and respond to questions regarding investigator qualifications, conflicts of interest, organizational requirements, local context, and other matters that may inform the IRB of</w:t>
      </w:r>
      <w:r w:rsidRPr="00AA4677">
        <w:rPr>
          <w:spacing w:val="-25"/>
        </w:rPr>
        <w:t xml:space="preserve"> </w:t>
      </w:r>
      <w:r w:rsidRPr="00AA4677">
        <w:t>record.</w:t>
      </w:r>
    </w:p>
    <w:p w14:paraId="2F288A39" w14:textId="2A7CFF12" w:rsidR="000D48AF" w:rsidRPr="00AA4677" w:rsidRDefault="000D48AF" w:rsidP="005920B2">
      <w:pPr>
        <w:pStyle w:val="BodyText"/>
        <w:spacing w:before="1"/>
        <w:ind w:right="266"/>
      </w:pPr>
    </w:p>
    <w:p w14:paraId="414B7517" w14:textId="77777777" w:rsidR="000D48AF" w:rsidRPr="00AA4677" w:rsidRDefault="000D48AF" w:rsidP="009A4D02">
      <w:pPr>
        <w:pStyle w:val="BodyText"/>
        <w:spacing w:before="1"/>
        <w:ind w:right="266"/>
        <w:rPr>
          <w:rFonts w:asciiTheme="minorHAnsi" w:hAnsiTheme="minorHAnsi" w:cstheme="minorHAnsi"/>
        </w:rPr>
      </w:pPr>
      <w:r w:rsidRPr="00AA4677">
        <w:rPr>
          <w:rFonts w:asciiTheme="minorHAnsi" w:hAnsiTheme="minorHAnsi" w:cstheme="minorHAnsi"/>
        </w:rPr>
        <w:t xml:space="preserve">The Reliance Administrator will present relevant factors for consideration by the IO or AVP-RC, who will make the final decision regarding </w:t>
      </w:r>
      <w:proofErr w:type="gramStart"/>
      <w:r w:rsidRPr="00AA4677">
        <w:rPr>
          <w:rFonts w:asciiTheme="minorHAnsi" w:hAnsiTheme="minorHAnsi" w:cstheme="minorHAnsi"/>
        </w:rPr>
        <w:t>whether or not</w:t>
      </w:r>
      <w:proofErr w:type="gramEnd"/>
      <w:r w:rsidRPr="00AA4677">
        <w:rPr>
          <w:rFonts w:asciiTheme="minorHAnsi" w:hAnsiTheme="minorHAnsi" w:cstheme="minorHAnsi"/>
        </w:rPr>
        <w:t xml:space="preserve"> the SBU IRB will serve as the IRB or record. The PI will be notified of the decision.</w:t>
      </w:r>
    </w:p>
    <w:p w14:paraId="06D7B8AB" w14:textId="77777777" w:rsidR="000D48AF" w:rsidRPr="00AA4677" w:rsidRDefault="000D48AF" w:rsidP="000D48AF">
      <w:pPr>
        <w:pStyle w:val="BodyText"/>
        <w:rPr>
          <w:sz w:val="23"/>
        </w:rPr>
      </w:pPr>
    </w:p>
    <w:p w14:paraId="12B33D18" w14:textId="49879CCD" w:rsidR="000D48AF" w:rsidRPr="00AA4677" w:rsidRDefault="0040284F" w:rsidP="005920B2">
      <w:pPr>
        <w:rPr>
          <w:b/>
        </w:rPr>
      </w:pPr>
      <w:r w:rsidRPr="00AA4677">
        <w:rPr>
          <w:b/>
        </w:rPr>
        <w:t>17.1</w:t>
      </w:r>
      <w:r w:rsidR="00785476" w:rsidRPr="00AA4677">
        <w:rPr>
          <w:b/>
        </w:rPr>
        <w:t>7</w:t>
      </w:r>
      <w:r w:rsidRPr="00AA4677">
        <w:rPr>
          <w:b/>
        </w:rPr>
        <w:t xml:space="preserve">.3 </w:t>
      </w:r>
      <w:r w:rsidR="000D48AF" w:rsidRPr="00AA4677">
        <w:rPr>
          <w:b/>
        </w:rPr>
        <w:t>Responsibilities when SBU is the Reviewing IRB</w:t>
      </w:r>
    </w:p>
    <w:p w14:paraId="013B7606" w14:textId="77777777" w:rsidR="000D48AF" w:rsidRPr="00AA4677" w:rsidRDefault="000D48AF">
      <w:pPr>
        <w:pStyle w:val="ListParagraph"/>
        <w:widowControl w:val="0"/>
        <w:numPr>
          <w:ilvl w:val="0"/>
          <w:numId w:val="225"/>
        </w:numPr>
        <w:tabs>
          <w:tab w:val="left" w:pos="379"/>
        </w:tabs>
        <w:autoSpaceDE w:val="0"/>
        <w:autoSpaceDN w:val="0"/>
        <w:spacing w:after="0" w:line="240" w:lineRule="auto"/>
        <w:ind w:hanging="378"/>
        <w:contextualSpacing w:val="0"/>
      </w:pPr>
      <w:r w:rsidRPr="00AA4677">
        <w:t>Responsibilities of the SBU</w:t>
      </w:r>
      <w:r w:rsidRPr="00AA4677">
        <w:rPr>
          <w:spacing w:val="-5"/>
        </w:rPr>
        <w:t xml:space="preserve"> </w:t>
      </w:r>
      <w:r w:rsidRPr="00AA4677">
        <w:t>IRB</w:t>
      </w:r>
    </w:p>
    <w:p w14:paraId="612B6F69" w14:textId="77777777" w:rsidR="000D48AF" w:rsidRPr="00AA4677" w:rsidRDefault="000D48AF" w:rsidP="000D48AF">
      <w:pPr>
        <w:pStyle w:val="BodyText"/>
        <w:spacing w:before="11"/>
        <w:rPr>
          <w:sz w:val="22"/>
        </w:rPr>
      </w:pPr>
    </w:p>
    <w:p w14:paraId="5A5E07EE" w14:textId="77777777" w:rsidR="000D48AF" w:rsidRPr="00AA4677" w:rsidRDefault="000D48AF">
      <w:pPr>
        <w:pStyle w:val="ListParagraph"/>
        <w:widowControl w:val="0"/>
        <w:numPr>
          <w:ilvl w:val="0"/>
          <w:numId w:val="227"/>
        </w:numPr>
        <w:tabs>
          <w:tab w:val="left" w:pos="360"/>
        </w:tabs>
        <w:autoSpaceDE w:val="0"/>
        <w:autoSpaceDN w:val="0"/>
        <w:spacing w:after="0" w:line="240" w:lineRule="auto"/>
        <w:ind w:left="360" w:right="144"/>
        <w:contextualSpacing w:val="0"/>
      </w:pPr>
      <w:r w:rsidRPr="00AA4677">
        <w:t>Policies and procedures in the conduct of review for all sites (SBU and external) will mirror those</w:t>
      </w:r>
      <w:r w:rsidRPr="00AA4677">
        <w:rPr>
          <w:spacing w:val="-5"/>
        </w:rPr>
        <w:t xml:space="preserve"> </w:t>
      </w:r>
      <w:r w:rsidRPr="00AA4677">
        <w:t>outlined</w:t>
      </w:r>
      <w:r w:rsidRPr="00AA4677">
        <w:rPr>
          <w:spacing w:val="-3"/>
        </w:rPr>
        <w:t xml:space="preserve"> </w:t>
      </w:r>
      <w:r w:rsidRPr="00AA4677">
        <w:t>throughout these</w:t>
      </w:r>
      <w:r w:rsidRPr="00AA4677">
        <w:rPr>
          <w:spacing w:val="-2"/>
        </w:rPr>
        <w:t xml:space="preserve"> </w:t>
      </w:r>
      <w:r w:rsidRPr="00AA4677">
        <w:t>SOPs,</w:t>
      </w:r>
      <w:r w:rsidRPr="00AA4677">
        <w:rPr>
          <w:spacing w:val="-5"/>
        </w:rPr>
        <w:t xml:space="preserve"> </w:t>
      </w:r>
      <w:r w:rsidRPr="00AA4677">
        <w:t>as</w:t>
      </w:r>
      <w:r w:rsidRPr="00AA4677">
        <w:rPr>
          <w:spacing w:val="-2"/>
        </w:rPr>
        <w:t xml:space="preserve"> </w:t>
      </w:r>
      <w:r w:rsidRPr="00AA4677">
        <w:t>set</w:t>
      </w:r>
      <w:r w:rsidRPr="00AA4677">
        <w:rPr>
          <w:spacing w:val="-2"/>
        </w:rPr>
        <w:t xml:space="preserve"> </w:t>
      </w:r>
      <w:r w:rsidRPr="00AA4677">
        <w:t>forth</w:t>
      </w:r>
      <w:r w:rsidRPr="00AA4677">
        <w:rPr>
          <w:spacing w:val="-2"/>
        </w:rPr>
        <w:t xml:space="preserve"> </w:t>
      </w:r>
      <w:r w:rsidRPr="00AA4677">
        <w:t>in</w:t>
      </w:r>
      <w:r w:rsidRPr="00AA4677">
        <w:rPr>
          <w:spacing w:val="-4"/>
        </w:rPr>
        <w:t xml:space="preserve"> </w:t>
      </w:r>
      <w:r w:rsidRPr="00AA4677">
        <w:t>Domain</w:t>
      </w:r>
      <w:r w:rsidRPr="00AA4677">
        <w:rPr>
          <w:spacing w:val="-3"/>
        </w:rPr>
        <w:t xml:space="preserve"> </w:t>
      </w:r>
      <w:r w:rsidRPr="00AA4677">
        <w:t>II</w:t>
      </w:r>
      <w:r w:rsidRPr="00AA4677">
        <w:rPr>
          <w:spacing w:val="-4"/>
        </w:rPr>
        <w:t xml:space="preserve"> </w:t>
      </w:r>
      <w:r w:rsidRPr="00AA4677">
        <w:t>of</w:t>
      </w:r>
      <w:r w:rsidRPr="00AA4677">
        <w:rPr>
          <w:spacing w:val="-5"/>
        </w:rPr>
        <w:t xml:space="preserve"> </w:t>
      </w:r>
      <w:r w:rsidRPr="00AA4677">
        <w:t>the</w:t>
      </w:r>
      <w:r w:rsidRPr="00AA4677">
        <w:rPr>
          <w:spacing w:val="-2"/>
        </w:rPr>
        <w:t xml:space="preserve"> </w:t>
      </w:r>
      <w:r w:rsidRPr="00AA4677">
        <w:t>AAHRPP</w:t>
      </w:r>
      <w:r w:rsidRPr="00AA4677">
        <w:rPr>
          <w:spacing w:val="-2"/>
        </w:rPr>
        <w:t xml:space="preserve"> </w:t>
      </w:r>
      <w:r w:rsidRPr="00AA4677">
        <w:t>accreditation standards. Possible exceptions are noted in section 17.16.4. Additionally, the following SBU IRB responsibilities are to be applicable for all</w:t>
      </w:r>
      <w:r w:rsidRPr="00AA4677">
        <w:rPr>
          <w:spacing w:val="-10"/>
        </w:rPr>
        <w:t xml:space="preserve"> </w:t>
      </w:r>
      <w:r w:rsidRPr="00AA4677">
        <w:t>sites:</w:t>
      </w:r>
    </w:p>
    <w:p w14:paraId="64631345" w14:textId="77777777" w:rsidR="000D48AF" w:rsidRPr="00AA4677" w:rsidRDefault="000D48AF">
      <w:pPr>
        <w:pStyle w:val="ListParagraph"/>
        <w:widowControl w:val="0"/>
        <w:numPr>
          <w:ilvl w:val="1"/>
          <w:numId w:val="227"/>
        </w:numPr>
        <w:tabs>
          <w:tab w:val="left" w:pos="720"/>
        </w:tabs>
        <w:autoSpaceDE w:val="0"/>
        <w:autoSpaceDN w:val="0"/>
        <w:spacing w:before="7" w:after="0" w:line="232" w:lineRule="auto"/>
        <w:ind w:left="720" w:right="438"/>
        <w:contextualSpacing w:val="0"/>
      </w:pPr>
      <w:r w:rsidRPr="00AA4677">
        <w:lastRenderedPageBreak/>
        <w:t>Have the final authority to decide whether SBU or external researcher or</w:t>
      </w:r>
      <w:r w:rsidRPr="00AA4677">
        <w:rPr>
          <w:spacing w:val="-36"/>
        </w:rPr>
        <w:t xml:space="preserve"> </w:t>
      </w:r>
      <w:r w:rsidRPr="00AA4677">
        <w:t xml:space="preserve">research </w:t>
      </w:r>
      <w:proofErr w:type="gramStart"/>
      <w:r w:rsidRPr="00AA4677">
        <w:t>staffs’</w:t>
      </w:r>
      <w:proofErr w:type="gramEnd"/>
      <w:r w:rsidRPr="00AA4677">
        <w:t xml:space="preserve"> COI and its management, if any, allows the research to be</w:t>
      </w:r>
      <w:r w:rsidRPr="00AA4677">
        <w:rPr>
          <w:spacing w:val="-20"/>
        </w:rPr>
        <w:t xml:space="preserve"> </w:t>
      </w:r>
      <w:r w:rsidRPr="00AA4677">
        <w:t>approved</w:t>
      </w:r>
    </w:p>
    <w:p w14:paraId="47E727CA" w14:textId="77777777" w:rsidR="000D48AF" w:rsidRPr="00AA4677" w:rsidRDefault="000D48AF">
      <w:pPr>
        <w:pStyle w:val="ListParagraph"/>
        <w:widowControl w:val="0"/>
        <w:numPr>
          <w:ilvl w:val="1"/>
          <w:numId w:val="227"/>
        </w:numPr>
        <w:tabs>
          <w:tab w:val="left" w:pos="720"/>
        </w:tabs>
        <w:autoSpaceDE w:val="0"/>
        <w:autoSpaceDN w:val="0"/>
        <w:spacing w:before="3" w:after="0" w:line="297" w:lineRule="exact"/>
        <w:ind w:left="720"/>
        <w:contextualSpacing w:val="0"/>
      </w:pPr>
      <w:r w:rsidRPr="00AA4677">
        <w:t>Have the authority to request an audit of research being</w:t>
      </w:r>
      <w:r w:rsidRPr="00AA4677">
        <w:rPr>
          <w:spacing w:val="-11"/>
        </w:rPr>
        <w:t xml:space="preserve"> </w:t>
      </w:r>
      <w:r w:rsidRPr="00AA4677">
        <w:t>reviewed.</w:t>
      </w:r>
    </w:p>
    <w:p w14:paraId="09EE558A" w14:textId="77777777" w:rsidR="000D48AF" w:rsidRPr="00AA4677" w:rsidRDefault="000D48AF">
      <w:pPr>
        <w:pStyle w:val="ListParagraph"/>
        <w:widowControl w:val="0"/>
        <w:numPr>
          <w:ilvl w:val="1"/>
          <w:numId w:val="227"/>
        </w:numPr>
        <w:tabs>
          <w:tab w:val="left" w:pos="720"/>
        </w:tabs>
        <w:autoSpaceDE w:val="0"/>
        <w:autoSpaceDN w:val="0"/>
        <w:spacing w:after="0" w:line="237" w:lineRule="auto"/>
        <w:ind w:left="720" w:right="366"/>
        <w:contextualSpacing w:val="0"/>
      </w:pPr>
      <w:r w:rsidRPr="00AA4677">
        <w:t>Make relevant IRB policies readily available to relying external sites, including</w:t>
      </w:r>
      <w:r w:rsidRPr="00AA4677">
        <w:rPr>
          <w:spacing w:val="-35"/>
        </w:rPr>
        <w:t xml:space="preserve"> </w:t>
      </w:r>
      <w:r w:rsidRPr="00AA4677">
        <w:t>their HRPP staff, researchers, and research staff, and ensure that changes to those policies are communicated as</w:t>
      </w:r>
      <w:r w:rsidRPr="00AA4677">
        <w:rPr>
          <w:spacing w:val="2"/>
        </w:rPr>
        <w:t xml:space="preserve"> </w:t>
      </w:r>
      <w:r w:rsidRPr="00AA4677">
        <w:t>well.</w:t>
      </w:r>
    </w:p>
    <w:p w14:paraId="17544ADA" w14:textId="77777777" w:rsidR="000D48AF" w:rsidRPr="00AA4677" w:rsidRDefault="000D48AF">
      <w:pPr>
        <w:pStyle w:val="ListParagraph"/>
        <w:widowControl w:val="0"/>
        <w:numPr>
          <w:ilvl w:val="1"/>
          <w:numId w:val="227"/>
        </w:numPr>
        <w:tabs>
          <w:tab w:val="left" w:pos="720"/>
        </w:tabs>
        <w:autoSpaceDE w:val="0"/>
        <w:autoSpaceDN w:val="0"/>
        <w:spacing w:before="1" w:after="0" w:line="237" w:lineRule="auto"/>
        <w:ind w:left="720" w:right="475"/>
        <w:contextualSpacing w:val="0"/>
      </w:pPr>
      <w:r w:rsidRPr="00AA4677">
        <w:t>Ensure that an ORC contact person along with contact information is specified</w:t>
      </w:r>
      <w:r w:rsidRPr="00AA4677">
        <w:rPr>
          <w:spacing w:val="-34"/>
        </w:rPr>
        <w:t xml:space="preserve"> </w:t>
      </w:r>
      <w:r w:rsidRPr="00AA4677">
        <w:t>for researchers and research staff to obtain answers to questions, express concerns, and convey suggestions regarding the SBU</w:t>
      </w:r>
      <w:r w:rsidRPr="00AA4677">
        <w:rPr>
          <w:spacing w:val="-2"/>
        </w:rPr>
        <w:t xml:space="preserve"> </w:t>
      </w:r>
      <w:r w:rsidRPr="00AA4677">
        <w:t>IRB.</w:t>
      </w:r>
    </w:p>
    <w:p w14:paraId="17C85E1F" w14:textId="73071A73" w:rsidR="000D48AF" w:rsidRPr="00AA4677" w:rsidRDefault="000D48AF">
      <w:pPr>
        <w:pStyle w:val="ListParagraph"/>
        <w:widowControl w:val="0"/>
        <w:numPr>
          <w:ilvl w:val="0"/>
          <w:numId w:val="227"/>
        </w:numPr>
        <w:tabs>
          <w:tab w:val="left" w:pos="360"/>
        </w:tabs>
        <w:autoSpaceDE w:val="0"/>
        <w:autoSpaceDN w:val="0"/>
        <w:spacing w:after="0" w:line="240" w:lineRule="auto"/>
        <w:ind w:left="360" w:right="218"/>
        <w:contextualSpacing w:val="0"/>
      </w:pPr>
      <w:r w:rsidRPr="00AA4677">
        <w:t xml:space="preserve">Adding sites to an already approved IRB study will be considered a </w:t>
      </w:r>
      <w:proofErr w:type="gramStart"/>
      <w:r w:rsidRPr="00AA4677">
        <w:t>modification, and</w:t>
      </w:r>
      <w:proofErr w:type="gramEnd"/>
      <w:r w:rsidRPr="00AA4677">
        <w:t xml:space="preserve"> will be conducted by the expedited or full board process. </w:t>
      </w:r>
      <w:proofErr w:type="gramStart"/>
      <w:r w:rsidRPr="00AA4677">
        <w:t>In order for</w:t>
      </w:r>
      <w:proofErr w:type="gramEnd"/>
      <w:r w:rsidRPr="00AA4677">
        <w:t xml:space="preserve"> the review to be</w:t>
      </w:r>
      <w:r w:rsidRPr="00AA4677">
        <w:rPr>
          <w:spacing w:val="-38"/>
        </w:rPr>
        <w:t xml:space="preserve"> </w:t>
      </w:r>
      <w:r w:rsidR="000F3C5C" w:rsidRPr="00AA4677">
        <w:rPr>
          <w:spacing w:val="-38"/>
        </w:rPr>
        <w:t xml:space="preserve"> </w:t>
      </w:r>
      <w:r w:rsidRPr="00AA4677">
        <w:t>conducted</w:t>
      </w:r>
    </w:p>
    <w:p w14:paraId="403ADEF4" w14:textId="0B33738E" w:rsidR="000D48AF" w:rsidRPr="00AA4677" w:rsidRDefault="000D48AF" w:rsidP="005920B2">
      <w:pPr>
        <w:pStyle w:val="BodyText"/>
        <w:tabs>
          <w:tab w:val="left" w:pos="360"/>
        </w:tabs>
        <w:ind w:left="360" w:right="160"/>
        <w:rPr>
          <w:rFonts w:asciiTheme="minorHAnsi" w:hAnsiTheme="minorHAnsi" w:cstheme="minorHAnsi"/>
        </w:rPr>
      </w:pPr>
      <w:r w:rsidRPr="00AA4677">
        <w:rPr>
          <w:rFonts w:asciiTheme="minorHAnsi" w:hAnsiTheme="minorHAnsi" w:cstheme="minorHAnsi"/>
        </w:rPr>
        <w:t>via the expedited process criteria, such a modification is usually considered a “minor</w:t>
      </w:r>
      <w:r w:rsidRPr="00AA4677">
        <w:rPr>
          <w:rFonts w:asciiTheme="minorHAnsi" w:hAnsiTheme="minorHAnsi" w:cstheme="minorHAnsi"/>
          <w:spacing w:val="-37"/>
        </w:rPr>
        <w:t xml:space="preserve"> </w:t>
      </w:r>
      <w:r w:rsidRPr="00AA4677">
        <w:rPr>
          <w:rFonts w:asciiTheme="minorHAnsi" w:hAnsiTheme="minorHAnsi" w:cstheme="minorHAnsi"/>
        </w:rPr>
        <w:t>change to previously approved research”</w:t>
      </w:r>
      <w:r w:rsidR="00497BE3" w:rsidRPr="00AA4677">
        <w:rPr>
          <w:rFonts w:asciiTheme="minorHAnsi" w:hAnsiTheme="minorHAnsi" w:cstheme="minorHAnsi"/>
        </w:rPr>
        <w:t xml:space="preserve"> when the proposed sites participation is determined by the IRB reviewer that does not significantly affect an assessment of the risks and benefits of the study and does not substantially change the specific aims or design of the study.</w:t>
      </w:r>
      <w:r w:rsidRPr="00AA4677">
        <w:rPr>
          <w:rFonts w:asciiTheme="minorHAnsi" w:hAnsiTheme="minorHAnsi" w:cstheme="minorHAnsi"/>
        </w:rPr>
        <w:t xml:space="preserve"> Factors that </w:t>
      </w:r>
      <w:proofErr w:type="gramStart"/>
      <w:r w:rsidRPr="00AA4677">
        <w:rPr>
          <w:rFonts w:asciiTheme="minorHAnsi" w:hAnsiTheme="minorHAnsi" w:cstheme="minorHAnsi"/>
        </w:rPr>
        <w:t>will indicate</w:t>
      </w:r>
      <w:proofErr w:type="gramEnd"/>
      <w:r w:rsidRPr="00AA4677">
        <w:rPr>
          <w:rFonts w:asciiTheme="minorHAnsi" w:hAnsiTheme="minorHAnsi" w:cstheme="minorHAnsi"/>
        </w:rPr>
        <w:t xml:space="preserve"> that a full review is required may include, e.g., involv</w:t>
      </w:r>
      <w:r w:rsidR="00A2660A" w:rsidRPr="00AA4677">
        <w:rPr>
          <w:rFonts w:asciiTheme="minorHAnsi" w:hAnsiTheme="minorHAnsi" w:cstheme="minorHAnsi"/>
        </w:rPr>
        <w:t>ement of investigators with financial conflict of interest</w:t>
      </w:r>
      <w:r w:rsidRPr="00AA4677">
        <w:rPr>
          <w:rFonts w:asciiTheme="minorHAnsi" w:hAnsiTheme="minorHAnsi" w:cstheme="minorHAnsi"/>
        </w:rPr>
        <w:t>, FDA 483 issues that have not been resolved adequately, or any other site-specific issues that are deemed</w:t>
      </w:r>
      <w:r w:rsidRPr="00AA4677">
        <w:rPr>
          <w:rFonts w:asciiTheme="minorHAnsi" w:hAnsiTheme="minorHAnsi" w:cstheme="minorHAnsi"/>
          <w:spacing w:val="-29"/>
        </w:rPr>
        <w:t xml:space="preserve"> </w:t>
      </w:r>
      <w:r w:rsidRPr="00AA4677">
        <w:rPr>
          <w:rFonts w:asciiTheme="minorHAnsi" w:hAnsiTheme="minorHAnsi" w:cstheme="minorHAnsi"/>
        </w:rPr>
        <w:t>questionable.</w:t>
      </w:r>
      <w:r w:rsidR="009A4D02" w:rsidRPr="00AA4677">
        <w:rPr>
          <w:rFonts w:asciiTheme="minorHAnsi" w:hAnsiTheme="minorHAnsi" w:cstheme="minorHAnsi"/>
        </w:rPr>
        <w:t xml:space="preserve"> </w:t>
      </w:r>
      <w:r w:rsidRPr="00AA4677">
        <w:rPr>
          <w:rFonts w:asciiTheme="minorHAnsi" w:hAnsiTheme="minorHAnsi" w:cstheme="minorHAnsi"/>
        </w:rPr>
        <w:t>Additional site amendments (regardless of type of review) do not change the expiration date of the IRB approval for the ‘main’ protocol.</w:t>
      </w:r>
    </w:p>
    <w:p w14:paraId="2D87FECC" w14:textId="77777777" w:rsidR="000D48AF" w:rsidRPr="00AA4677" w:rsidRDefault="000D48AF" w:rsidP="000D48AF">
      <w:pPr>
        <w:pStyle w:val="BodyText"/>
        <w:spacing w:before="3"/>
        <w:rPr>
          <w:sz w:val="22"/>
        </w:rPr>
      </w:pPr>
    </w:p>
    <w:p w14:paraId="5546AEE0" w14:textId="77777777" w:rsidR="000D48AF" w:rsidRPr="00AA4677" w:rsidRDefault="000D48AF">
      <w:pPr>
        <w:pStyle w:val="ListParagraph"/>
        <w:widowControl w:val="0"/>
        <w:numPr>
          <w:ilvl w:val="0"/>
          <w:numId w:val="225"/>
        </w:numPr>
        <w:tabs>
          <w:tab w:val="left" w:pos="379"/>
        </w:tabs>
        <w:autoSpaceDE w:val="0"/>
        <w:autoSpaceDN w:val="0"/>
        <w:spacing w:after="0" w:line="240" w:lineRule="auto"/>
        <w:ind w:hanging="378"/>
        <w:contextualSpacing w:val="0"/>
      </w:pPr>
      <w:r w:rsidRPr="00AA4677">
        <w:t>Responsibilities of the SBU Principal</w:t>
      </w:r>
      <w:r w:rsidRPr="00AA4677">
        <w:rPr>
          <w:spacing w:val="-7"/>
        </w:rPr>
        <w:t xml:space="preserve"> </w:t>
      </w:r>
      <w:r w:rsidRPr="00AA4677">
        <w:t>Investigator</w:t>
      </w:r>
    </w:p>
    <w:p w14:paraId="13AFAE41" w14:textId="77777777" w:rsidR="000D48AF" w:rsidRPr="00AA4677" w:rsidRDefault="000D48AF" w:rsidP="000D48AF">
      <w:pPr>
        <w:pStyle w:val="BodyText"/>
        <w:rPr>
          <w:sz w:val="23"/>
        </w:rPr>
      </w:pPr>
    </w:p>
    <w:p w14:paraId="55BCB626" w14:textId="77777777" w:rsidR="000D48AF" w:rsidRPr="00AA4677" w:rsidRDefault="000D48AF">
      <w:pPr>
        <w:pStyle w:val="ListParagraph"/>
        <w:widowControl w:val="0"/>
        <w:numPr>
          <w:ilvl w:val="0"/>
          <w:numId w:val="227"/>
        </w:numPr>
        <w:tabs>
          <w:tab w:val="left" w:pos="360"/>
        </w:tabs>
        <w:autoSpaceDE w:val="0"/>
        <w:autoSpaceDN w:val="0"/>
        <w:spacing w:after="0" w:line="240" w:lineRule="auto"/>
        <w:ind w:left="360" w:right="698"/>
        <w:contextualSpacing w:val="0"/>
      </w:pPr>
      <w:r w:rsidRPr="00AA4677">
        <w:t xml:space="preserve">Develop a communication plan with the </w:t>
      </w:r>
      <w:proofErr w:type="gramStart"/>
      <w:r w:rsidRPr="00AA4677">
        <w:t>PI’s</w:t>
      </w:r>
      <w:proofErr w:type="gramEnd"/>
      <w:r w:rsidRPr="00AA4677">
        <w:t xml:space="preserve"> at collaborating sites to ensure they have access to current project status, current protocols, consent documents,</w:t>
      </w:r>
      <w:r w:rsidRPr="00AA4677">
        <w:rPr>
          <w:spacing w:val="-40"/>
        </w:rPr>
        <w:t xml:space="preserve"> </w:t>
      </w:r>
      <w:r w:rsidRPr="00AA4677">
        <w:t>etc.</w:t>
      </w:r>
    </w:p>
    <w:p w14:paraId="20C1DCF5" w14:textId="77777777" w:rsidR="000D48AF" w:rsidRPr="00AA4677" w:rsidRDefault="000D48AF" w:rsidP="00860A55">
      <w:pPr>
        <w:pStyle w:val="BodyText"/>
        <w:spacing w:before="40"/>
        <w:ind w:left="360"/>
        <w:rPr>
          <w:rFonts w:asciiTheme="minorHAnsi" w:hAnsiTheme="minorHAnsi" w:cstheme="minorHAnsi"/>
        </w:rPr>
      </w:pPr>
      <w:r w:rsidRPr="00AA4677">
        <w:rPr>
          <w:rFonts w:asciiTheme="minorHAnsi" w:hAnsiTheme="minorHAnsi" w:cstheme="minorHAnsi"/>
        </w:rPr>
        <w:t>regarding the study. The IRB will review the plan provided by the SBU PI to ensure open communication with the collaborating site(s).</w:t>
      </w:r>
    </w:p>
    <w:p w14:paraId="48466FCE" w14:textId="77777777" w:rsidR="000D48AF" w:rsidRPr="00AA4677" w:rsidRDefault="000D48AF">
      <w:pPr>
        <w:pStyle w:val="ListParagraph"/>
        <w:widowControl w:val="0"/>
        <w:numPr>
          <w:ilvl w:val="0"/>
          <w:numId w:val="227"/>
        </w:numPr>
        <w:tabs>
          <w:tab w:val="left" w:pos="360"/>
        </w:tabs>
        <w:autoSpaceDE w:val="0"/>
        <w:autoSpaceDN w:val="0"/>
        <w:spacing w:after="0" w:line="240" w:lineRule="auto"/>
        <w:ind w:left="360" w:right="185"/>
        <w:contextualSpacing w:val="0"/>
        <w:rPr>
          <w:rFonts w:cstheme="minorHAnsi"/>
        </w:rPr>
      </w:pPr>
      <w:r w:rsidRPr="00AA4677">
        <w:rPr>
          <w:rFonts w:cstheme="minorHAnsi"/>
        </w:rPr>
        <w:t xml:space="preserve">Submit information to the IRB pertaining to the </w:t>
      </w:r>
      <w:proofErr w:type="gramStart"/>
      <w:r w:rsidRPr="00AA4677">
        <w:rPr>
          <w:rFonts w:cstheme="minorHAnsi"/>
        </w:rPr>
        <w:t>particular characteristics</w:t>
      </w:r>
      <w:proofErr w:type="gramEnd"/>
      <w:r w:rsidRPr="00AA4677">
        <w:rPr>
          <w:rFonts w:cstheme="minorHAnsi"/>
        </w:rPr>
        <w:t xml:space="preserve"> of each site’s local research context to be considered through knowledge of its local research context (a) by the IRB, (b) through consultants, or (c) through review by appropriate designated institutional officials at external site(s). Additionally, the submission will also include details for the IRB’s evaluation regarding the management plan for information that is relevant to the protection of participants (e.g., conflict of interest, unanticipated problems involving risks to participants or others, interim results, protocol modifications). When the Stony Brook researcher is the lead researcher of a multi-site study, this information will also be made known to the IRB of record (e.g., Independent</w:t>
      </w:r>
      <w:r w:rsidRPr="00AA4677">
        <w:rPr>
          <w:rFonts w:cstheme="minorHAnsi"/>
          <w:spacing w:val="2"/>
        </w:rPr>
        <w:t xml:space="preserve"> </w:t>
      </w:r>
      <w:r w:rsidRPr="00AA4677">
        <w:rPr>
          <w:rFonts w:cstheme="minorHAnsi"/>
        </w:rPr>
        <w:t>IRB).</w:t>
      </w:r>
    </w:p>
    <w:p w14:paraId="513C12A4" w14:textId="77777777" w:rsidR="000D48AF" w:rsidRPr="00AA4677" w:rsidRDefault="000D48AF" w:rsidP="000D48AF">
      <w:pPr>
        <w:pStyle w:val="BodyText"/>
        <w:rPr>
          <w:rFonts w:asciiTheme="minorHAnsi" w:hAnsiTheme="minorHAnsi" w:cstheme="minorHAnsi"/>
          <w:sz w:val="23"/>
        </w:rPr>
      </w:pPr>
    </w:p>
    <w:p w14:paraId="4F6BF926" w14:textId="2FAE6FB1" w:rsidR="00523B2F" w:rsidRPr="00AA4677" w:rsidRDefault="0040284F" w:rsidP="005920B2">
      <w:pPr>
        <w:rPr>
          <w:b/>
        </w:rPr>
      </w:pPr>
      <w:r w:rsidRPr="00AA4677">
        <w:rPr>
          <w:b/>
        </w:rPr>
        <w:t>17.1</w:t>
      </w:r>
      <w:r w:rsidR="00785476" w:rsidRPr="00AA4677">
        <w:rPr>
          <w:b/>
        </w:rPr>
        <w:t>7</w:t>
      </w:r>
      <w:r w:rsidRPr="00AA4677">
        <w:rPr>
          <w:b/>
        </w:rPr>
        <w:t xml:space="preserve">.4 </w:t>
      </w:r>
      <w:r w:rsidR="000D48AF" w:rsidRPr="00AA4677">
        <w:rPr>
          <w:b/>
        </w:rPr>
        <w:t xml:space="preserve">SBU Ceding IRB Review to an External IRB </w:t>
      </w:r>
    </w:p>
    <w:p w14:paraId="08A4117F" w14:textId="658C38CD" w:rsidR="000D48AF" w:rsidRPr="00AA4677" w:rsidRDefault="000D48AF" w:rsidP="005920B2">
      <w:pPr>
        <w:rPr>
          <w:b/>
        </w:rPr>
      </w:pPr>
      <w:r w:rsidRPr="00AA4677">
        <w:rPr>
          <w:b/>
        </w:rPr>
        <w:t>Standing Reliance</w:t>
      </w:r>
      <w:r w:rsidRPr="00AA4677">
        <w:rPr>
          <w:b/>
          <w:spacing w:val="-4"/>
        </w:rPr>
        <w:t xml:space="preserve"> </w:t>
      </w:r>
      <w:r w:rsidRPr="00AA4677">
        <w:rPr>
          <w:b/>
        </w:rPr>
        <w:t>Agreements</w:t>
      </w:r>
    </w:p>
    <w:p w14:paraId="193FE88A" w14:textId="654BB066" w:rsidR="000D48AF" w:rsidRPr="00AA4677" w:rsidRDefault="000D48AF" w:rsidP="005920B2">
      <w:pPr>
        <w:pStyle w:val="BodyText"/>
        <w:spacing w:line="240" w:lineRule="exact"/>
        <w:rPr>
          <w:rFonts w:asciiTheme="minorHAnsi" w:hAnsiTheme="minorHAnsi" w:cstheme="minorHAnsi"/>
        </w:rPr>
      </w:pPr>
      <w:r w:rsidRPr="00AA4677">
        <w:rPr>
          <w:rFonts w:asciiTheme="minorHAnsi" w:hAnsiTheme="minorHAnsi" w:cstheme="minorHAnsi"/>
        </w:rPr>
        <w:lastRenderedPageBreak/>
        <w:t>SBU has standing agreements in place to engage the services of external IRBs for the review of</w:t>
      </w:r>
    </w:p>
    <w:p w14:paraId="43C8C0D6" w14:textId="77777777" w:rsidR="000D48AF" w:rsidRPr="00AA4677" w:rsidRDefault="000D48AF" w:rsidP="005920B2">
      <w:pPr>
        <w:pStyle w:val="BodyText"/>
        <w:spacing w:before="21"/>
        <w:rPr>
          <w:rFonts w:asciiTheme="minorHAnsi" w:hAnsiTheme="minorHAnsi" w:cstheme="minorHAnsi"/>
        </w:rPr>
      </w:pPr>
      <w:r w:rsidRPr="00AA4677">
        <w:rPr>
          <w:rFonts w:asciiTheme="minorHAnsi" w:hAnsiTheme="minorHAnsi" w:cstheme="minorHAnsi"/>
        </w:rPr>
        <w:t xml:space="preserve">specific categories of research </w:t>
      </w:r>
      <w:proofErr w:type="gramStart"/>
      <w:r w:rsidRPr="00AA4677">
        <w:rPr>
          <w:rFonts w:asciiTheme="minorHAnsi" w:hAnsiTheme="minorHAnsi" w:cstheme="minorHAnsi"/>
        </w:rPr>
        <w:t>including</w:t>
      </w:r>
      <w:proofErr w:type="gramEnd"/>
      <w:r w:rsidRPr="00AA4677">
        <w:rPr>
          <w:rFonts w:asciiTheme="minorHAnsi" w:hAnsiTheme="minorHAnsi" w:cstheme="minorHAnsi"/>
        </w:rPr>
        <w:t>:</w:t>
      </w:r>
    </w:p>
    <w:p w14:paraId="079AAF42" w14:textId="77777777" w:rsidR="000D48AF" w:rsidRPr="00AA4677" w:rsidRDefault="000D48AF">
      <w:pPr>
        <w:pStyle w:val="ListParagraph"/>
        <w:widowControl w:val="0"/>
        <w:numPr>
          <w:ilvl w:val="0"/>
          <w:numId w:val="227"/>
        </w:numPr>
        <w:tabs>
          <w:tab w:val="left" w:pos="360"/>
        </w:tabs>
        <w:autoSpaceDE w:val="0"/>
        <w:autoSpaceDN w:val="0"/>
        <w:spacing w:before="184" w:after="0" w:line="240" w:lineRule="auto"/>
        <w:ind w:left="0" w:firstLine="0"/>
        <w:contextualSpacing w:val="0"/>
        <w:rPr>
          <w:rFonts w:cstheme="minorHAnsi"/>
        </w:rPr>
      </w:pPr>
      <w:r w:rsidRPr="00AA4677">
        <w:rPr>
          <w:rFonts w:cstheme="minorHAnsi"/>
        </w:rPr>
        <w:t>Advarra and WCG for industry-initiated, industry-funded</w:t>
      </w:r>
      <w:r w:rsidRPr="00AA4677">
        <w:rPr>
          <w:rFonts w:cstheme="minorHAnsi"/>
          <w:spacing w:val="-6"/>
        </w:rPr>
        <w:t xml:space="preserve"> </w:t>
      </w:r>
      <w:r w:rsidRPr="00AA4677">
        <w:rPr>
          <w:rFonts w:cstheme="minorHAnsi"/>
        </w:rPr>
        <w:t>research</w:t>
      </w:r>
    </w:p>
    <w:p w14:paraId="54421E76" w14:textId="77777777" w:rsidR="000D48AF" w:rsidRPr="00AA4677" w:rsidRDefault="000D48AF">
      <w:pPr>
        <w:pStyle w:val="ListParagraph"/>
        <w:widowControl w:val="0"/>
        <w:numPr>
          <w:ilvl w:val="0"/>
          <w:numId w:val="227"/>
        </w:numPr>
        <w:tabs>
          <w:tab w:val="left" w:pos="360"/>
        </w:tabs>
        <w:autoSpaceDE w:val="0"/>
        <w:autoSpaceDN w:val="0"/>
        <w:spacing w:before="2" w:after="0" w:line="305" w:lineRule="exact"/>
        <w:ind w:left="0" w:firstLine="0"/>
        <w:contextualSpacing w:val="0"/>
        <w:rPr>
          <w:rFonts w:cstheme="minorHAnsi"/>
        </w:rPr>
      </w:pPr>
      <w:r w:rsidRPr="00AA4677">
        <w:rPr>
          <w:rFonts w:cstheme="minorHAnsi"/>
        </w:rPr>
        <w:t>NCI’s Adult CIRB for NCI research involving adult</w:t>
      </w:r>
      <w:r w:rsidRPr="00AA4677">
        <w:rPr>
          <w:rFonts w:cstheme="minorHAnsi"/>
          <w:spacing w:val="-4"/>
        </w:rPr>
        <w:t xml:space="preserve"> </w:t>
      </w:r>
      <w:r w:rsidRPr="00AA4677">
        <w:rPr>
          <w:rFonts w:cstheme="minorHAnsi"/>
        </w:rPr>
        <w:t>subjects</w:t>
      </w:r>
    </w:p>
    <w:p w14:paraId="07978A82" w14:textId="77777777" w:rsidR="000D48AF" w:rsidRPr="00AA4677" w:rsidRDefault="000D48AF">
      <w:pPr>
        <w:pStyle w:val="ListParagraph"/>
        <w:widowControl w:val="0"/>
        <w:numPr>
          <w:ilvl w:val="0"/>
          <w:numId w:val="227"/>
        </w:numPr>
        <w:tabs>
          <w:tab w:val="left" w:pos="360"/>
        </w:tabs>
        <w:autoSpaceDE w:val="0"/>
        <w:autoSpaceDN w:val="0"/>
        <w:spacing w:after="0" w:line="305" w:lineRule="exact"/>
        <w:ind w:left="0" w:firstLine="0"/>
        <w:contextualSpacing w:val="0"/>
        <w:rPr>
          <w:rFonts w:cstheme="minorHAnsi"/>
        </w:rPr>
      </w:pPr>
      <w:r w:rsidRPr="00AA4677">
        <w:rPr>
          <w:rFonts w:cstheme="minorHAnsi"/>
        </w:rPr>
        <w:t>NCI’s Pediatric CIRB for NCI research involving</w:t>
      </w:r>
      <w:r w:rsidRPr="00AA4677">
        <w:rPr>
          <w:rFonts w:cstheme="minorHAnsi"/>
          <w:spacing w:val="-6"/>
        </w:rPr>
        <w:t xml:space="preserve"> </w:t>
      </w:r>
      <w:r w:rsidRPr="00AA4677">
        <w:rPr>
          <w:rFonts w:cstheme="minorHAnsi"/>
        </w:rPr>
        <w:t>children</w:t>
      </w:r>
    </w:p>
    <w:p w14:paraId="5BA95772" w14:textId="77777777" w:rsidR="000D48AF" w:rsidRPr="00AA4677" w:rsidRDefault="000D48AF" w:rsidP="009A4D02">
      <w:pPr>
        <w:pStyle w:val="BodyText"/>
        <w:spacing w:before="2"/>
        <w:rPr>
          <w:rFonts w:asciiTheme="minorHAnsi" w:hAnsiTheme="minorHAnsi" w:cstheme="minorHAnsi"/>
        </w:rPr>
      </w:pPr>
    </w:p>
    <w:p w14:paraId="0A8C8F6D" w14:textId="77777777" w:rsidR="000D48AF" w:rsidRPr="00AA4677" w:rsidRDefault="000D48AF" w:rsidP="009A4D02">
      <w:pPr>
        <w:pStyle w:val="BodyText"/>
        <w:spacing w:line="256" w:lineRule="auto"/>
        <w:ind w:right="287"/>
        <w:rPr>
          <w:rFonts w:asciiTheme="minorHAnsi" w:hAnsiTheme="minorHAnsi" w:cstheme="minorHAnsi"/>
        </w:rPr>
      </w:pPr>
      <w:r w:rsidRPr="00AA4677">
        <w:rPr>
          <w:rFonts w:asciiTheme="minorHAnsi" w:hAnsiTheme="minorHAnsi" w:cstheme="minorHAnsi"/>
        </w:rPr>
        <w:t xml:space="preserve">SBU is a participating institution in the SMART IRB initiative as well, having signed an overarching agreement indicating willingness to cede to other institutions’ IRBs, pending satisfactory evaluation of factors identified below. When the SMART IRB agreement is utilized, a letter acknowledging SBU is ceding review is required. </w:t>
      </w:r>
    </w:p>
    <w:p w14:paraId="4D67085C" w14:textId="77777777" w:rsidR="000D48AF" w:rsidRPr="00AA4677" w:rsidRDefault="000D48AF" w:rsidP="009A4D02">
      <w:pPr>
        <w:pStyle w:val="BodyText"/>
        <w:spacing w:before="166" w:line="259" w:lineRule="auto"/>
        <w:rPr>
          <w:rFonts w:asciiTheme="minorHAnsi" w:hAnsiTheme="minorHAnsi" w:cstheme="minorHAnsi"/>
        </w:rPr>
      </w:pPr>
      <w:r w:rsidRPr="00AA4677">
        <w:rPr>
          <w:rFonts w:asciiTheme="minorHAnsi" w:hAnsiTheme="minorHAnsi" w:cstheme="minorHAnsi"/>
        </w:rPr>
        <w:t>Research that falls within the above parameters must be registered with the University prior to submission to the external IRB following the procedures outlined in Section 17.16.3 (C). Post- approval requirements for investigators are also summarized in Section 17.16.3 (C).</w:t>
      </w:r>
    </w:p>
    <w:p w14:paraId="1BDD0810" w14:textId="77777777" w:rsidR="00232AFE" w:rsidRPr="00AA4677" w:rsidRDefault="00232AFE" w:rsidP="00860A55">
      <w:pPr>
        <w:pStyle w:val="BodyText"/>
        <w:rPr>
          <w:rFonts w:asciiTheme="minorHAnsi" w:hAnsiTheme="minorHAnsi" w:cstheme="minorHAnsi"/>
        </w:rPr>
      </w:pPr>
    </w:p>
    <w:p w14:paraId="04B8A15E" w14:textId="75BECBF7" w:rsidR="000D48AF" w:rsidRPr="00AA4677" w:rsidRDefault="000D48AF" w:rsidP="00860A55">
      <w:pPr>
        <w:pStyle w:val="BodyText"/>
        <w:rPr>
          <w:rFonts w:asciiTheme="minorHAnsi" w:hAnsiTheme="minorHAnsi" w:cstheme="minorHAnsi"/>
        </w:rPr>
      </w:pPr>
      <w:r w:rsidRPr="00AA4677">
        <w:rPr>
          <w:rFonts w:asciiTheme="minorHAnsi" w:hAnsiTheme="minorHAnsi" w:cstheme="minorHAnsi"/>
        </w:rPr>
        <w:t xml:space="preserve">Exception </w:t>
      </w:r>
      <w:proofErr w:type="gramStart"/>
      <w:r w:rsidRPr="00AA4677">
        <w:rPr>
          <w:rFonts w:asciiTheme="minorHAnsi" w:hAnsiTheme="minorHAnsi" w:cstheme="minorHAnsi"/>
        </w:rPr>
        <w:t>to</w:t>
      </w:r>
      <w:proofErr w:type="gramEnd"/>
      <w:r w:rsidRPr="00AA4677">
        <w:rPr>
          <w:rFonts w:asciiTheme="minorHAnsi" w:hAnsiTheme="minorHAnsi" w:cstheme="minorHAnsi"/>
        </w:rPr>
        <w:t xml:space="preserve"> the pre-registration requirements applies to studies reviewed by NCI-CIRB. These studies may be submitted to the external IRB via the study specific worksheet once other applicable local approvals are in place (i.e. PRC approval). The study may only </w:t>
      </w:r>
      <w:r w:rsidR="00B66442" w:rsidRPr="00AA4677">
        <w:rPr>
          <w:rFonts w:asciiTheme="minorHAnsi" w:hAnsiTheme="minorHAnsi" w:cstheme="minorHAnsi"/>
        </w:rPr>
        <w:t>begin</w:t>
      </w:r>
      <w:r w:rsidRPr="00AA4677">
        <w:rPr>
          <w:rFonts w:asciiTheme="minorHAnsi" w:hAnsiTheme="minorHAnsi" w:cstheme="minorHAnsi"/>
        </w:rPr>
        <w:t xml:space="preserve"> once it is uploaded to myResearch IRB, ancillary reviews are complete, and submission is acknowledged by the ORC.</w:t>
      </w:r>
    </w:p>
    <w:p w14:paraId="5766F675" w14:textId="77777777" w:rsidR="0010641F" w:rsidRPr="00AA4677" w:rsidRDefault="0010641F" w:rsidP="00860A55">
      <w:pPr>
        <w:pStyle w:val="BodyText"/>
        <w:rPr>
          <w:rFonts w:asciiTheme="minorHAnsi" w:hAnsiTheme="minorHAnsi" w:cstheme="minorHAnsi"/>
          <w:b/>
        </w:rPr>
      </w:pPr>
    </w:p>
    <w:p w14:paraId="55834097" w14:textId="58630AF1" w:rsidR="00860A55" w:rsidRPr="00AA4677" w:rsidRDefault="0010641F" w:rsidP="00860A55">
      <w:pPr>
        <w:pStyle w:val="BodyText"/>
        <w:rPr>
          <w:rFonts w:asciiTheme="minorHAnsi" w:hAnsiTheme="minorHAnsi" w:cstheme="minorHAnsi"/>
          <w:b/>
        </w:rPr>
      </w:pPr>
      <w:r w:rsidRPr="00AA4677">
        <w:rPr>
          <w:rFonts w:asciiTheme="minorHAnsi" w:hAnsiTheme="minorHAnsi" w:cstheme="minorHAnsi"/>
          <w:b/>
        </w:rPr>
        <w:t>17.1</w:t>
      </w:r>
      <w:r w:rsidR="00785476" w:rsidRPr="00AA4677">
        <w:rPr>
          <w:rFonts w:asciiTheme="minorHAnsi" w:hAnsiTheme="minorHAnsi" w:cstheme="minorHAnsi"/>
          <w:b/>
        </w:rPr>
        <w:t>7</w:t>
      </w:r>
      <w:r w:rsidRPr="00AA4677">
        <w:rPr>
          <w:rFonts w:asciiTheme="minorHAnsi" w:hAnsiTheme="minorHAnsi" w:cstheme="minorHAnsi"/>
          <w:b/>
        </w:rPr>
        <w:t>.4.1 Responsibilities when SBU is the Reviewing IRB</w:t>
      </w:r>
    </w:p>
    <w:p w14:paraId="6338A3EC" w14:textId="77777777" w:rsidR="00F320BA" w:rsidRPr="00AA4677" w:rsidRDefault="00F320BA" w:rsidP="00860A55">
      <w:pPr>
        <w:pStyle w:val="BodyText"/>
        <w:rPr>
          <w:rFonts w:asciiTheme="minorHAnsi" w:hAnsiTheme="minorHAnsi" w:cstheme="minorHAnsi"/>
        </w:rPr>
      </w:pPr>
    </w:p>
    <w:p w14:paraId="0494568E" w14:textId="2964FC2A" w:rsidR="0010641F" w:rsidRPr="00AA4677" w:rsidRDefault="0010641F">
      <w:pPr>
        <w:numPr>
          <w:ilvl w:val="2"/>
          <w:numId w:val="309"/>
        </w:numPr>
        <w:shd w:val="clear" w:color="auto" w:fill="FFFFFF"/>
        <w:spacing w:after="0" w:line="240" w:lineRule="auto"/>
        <w:ind w:left="360"/>
        <w:rPr>
          <w:rFonts w:cstheme="minorHAnsi"/>
          <w:szCs w:val="20"/>
        </w:rPr>
      </w:pPr>
      <w:r w:rsidRPr="00AA4677">
        <w:rPr>
          <w:rFonts w:cstheme="minorHAnsi"/>
          <w:szCs w:val="20"/>
        </w:rPr>
        <w:t xml:space="preserve">Specifying which studies are eligible for review by </w:t>
      </w:r>
      <w:r w:rsidRPr="00AA4677">
        <w:rPr>
          <w:rFonts w:cstheme="minorHAnsi"/>
        </w:rPr>
        <w:t>another organization’s IRB</w:t>
      </w:r>
      <w:r w:rsidRPr="00AA4677">
        <w:rPr>
          <w:rFonts w:cstheme="minorHAnsi"/>
          <w:szCs w:val="20"/>
        </w:rPr>
        <w:t>, and describing the mechanism</w:t>
      </w:r>
      <w:r w:rsidR="00F320BA" w:rsidRPr="00AA4677">
        <w:rPr>
          <w:rFonts w:cstheme="minorHAnsi"/>
          <w:szCs w:val="20"/>
        </w:rPr>
        <w:t xml:space="preserve"> for making the determination </w:t>
      </w:r>
    </w:p>
    <w:p w14:paraId="49C93AB6" w14:textId="31A249FD" w:rsidR="0010641F" w:rsidRPr="00AA4677" w:rsidRDefault="0010641F">
      <w:pPr>
        <w:numPr>
          <w:ilvl w:val="2"/>
          <w:numId w:val="309"/>
        </w:numPr>
        <w:shd w:val="clear" w:color="auto" w:fill="FFFFFF"/>
        <w:spacing w:after="0" w:line="240" w:lineRule="auto"/>
        <w:ind w:left="360"/>
        <w:rPr>
          <w:rFonts w:cstheme="minorHAnsi"/>
          <w:szCs w:val="20"/>
        </w:rPr>
      </w:pPr>
      <w:r w:rsidRPr="00AA4677">
        <w:rPr>
          <w:rFonts w:cstheme="minorHAnsi"/>
          <w:szCs w:val="20"/>
        </w:rPr>
        <w:t>Ensuring, through education or other support, that researchers understand which activities are eligible</w:t>
      </w:r>
      <w:r w:rsidRPr="00AA4677">
        <w:rPr>
          <w:rFonts w:cstheme="minorHAnsi"/>
        </w:rPr>
        <w:t xml:space="preserve"> for review by another IRB</w:t>
      </w:r>
    </w:p>
    <w:p w14:paraId="743CA9A8" w14:textId="77777777" w:rsidR="0010641F" w:rsidRPr="00AA4677" w:rsidRDefault="0010641F">
      <w:pPr>
        <w:numPr>
          <w:ilvl w:val="2"/>
          <w:numId w:val="309"/>
        </w:numPr>
        <w:shd w:val="clear" w:color="auto" w:fill="FFFFFF"/>
        <w:spacing w:after="0" w:line="240" w:lineRule="auto"/>
        <w:ind w:left="360"/>
        <w:rPr>
          <w:rFonts w:cstheme="minorHAnsi"/>
          <w:szCs w:val="20"/>
        </w:rPr>
      </w:pPr>
      <w:r w:rsidRPr="00AA4677">
        <w:rPr>
          <w:rFonts w:cstheme="minorHAnsi"/>
          <w:szCs w:val="20"/>
        </w:rPr>
        <w:t>Ensuring that researchers are knowledgeable about the need to obtain any approvals from their own organization prior to see</w:t>
      </w:r>
      <w:r w:rsidRPr="00AA4677">
        <w:rPr>
          <w:rFonts w:cstheme="minorHAnsi"/>
        </w:rPr>
        <w:t>king review by another IRB</w:t>
      </w:r>
      <w:r w:rsidRPr="00AA4677">
        <w:rPr>
          <w:rFonts w:cstheme="minorHAnsi"/>
          <w:szCs w:val="20"/>
        </w:rPr>
        <w:t>, and that researchers know when to seek guidance</w:t>
      </w:r>
    </w:p>
    <w:p w14:paraId="47848ED3" w14:textId="54E1C483" w:rsidR="0010641F" w:rsidRPr="00AA4677" w:rsidRDefault="0010641F">
      <w:pPr>
        <w:numPr>
          <w:ilvl w:val="2"/>
          <w:numId w:val="309"/>
        </w:numPr>
        <w:shd w:val="clear" w:color="auto" w:fill="FFFFFF"/>
        <w:spacing w:after="0" w:line="240" w:lineRule="auto"/>
        <w:ind w:left="360"/>
        <w:rPr>
          <w:rFonts w:cstheme="minorHAnsi"/>
          <w:szCs w:val="20"/>
        </w:rPr>
      </w:pPr>
      <w:r w:rsidRPr="00AA4677">
        <w:rPr>
          <w:rFonts w:cstheme="minorHAnsi"/>
          <w:szCs w:val="20"/>
        </w:rPr>
        <w:t>Complying with the determinations and require</w:t>
      </w:r>
      <w:r w:rsidRPr="00AA4677">
        <w:rPr>
          <w:rFonts w:cstheme="minorHAnsi"/>
        </w:rPr>
        <w:t>ments of the reviewing IRB</w:t>
      </w:r>
    </w:p>
    <w:p w14:paraId="5520527F" w14:textId="31EC52FB"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Pr</w:t>
      </w:r>
      <w:r w:rsidRPr="00AA4677">
        <w:rPr>
          <w:rFonts w:cstheme="minorHAnsi"/>
        </w:rPr>
        <w:t xml:space="preserve">oviding the reviewing IRB </w:t>
      </w:r>
      <w:r w:rsidRPr="00AA4677">
        <w:rPr>
          <w:rFonts w:cstheme="minorHAnsi"/>
          <w:szCs w:val="20"/>
        </w:rPr>
        <w:t>with requested information about local requirements or local research context issues relevant to the IRB’s de</w:t>
      </w:r>
      <w:r w:rsidRPr="00AA4677">
        <w:rPr>
          <w:rFonts w:cstheme="minorHAnsi"/>
        </w:rPr>
        <w:t xml:space="preserve">termination, prior to IRB </w:t>
      </w:r>
      <w:r w:rsidRPr="00AA4677">
        <w:rPr>
          <w:rFonts w:cstheme="minorHAnsi"/>
          <w:szCs w:val="20"/>
        </w:rPr>
        <w:t>review.</w:t>
      </w:r>
    </w:p>
    <w:p w14:paraId="5409C3CD" w14:textId="5E0A0F72"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N</w:t>
      </w:r>
      <w:r w:rsidRPr="00AA4677">
        <w:rPr>
          <w:rFonts w:cstheme="minorHAnsi"/>
        </w:rPr>
        <w:t>otifying the reviewing IRB</w:t>
      </w:r>
      <w:r w:rsidRPr="00AA4677">
        <w:rPr>
          <w:rFonts w:cstheme="minorHAnsi"/>
          <w:szCs w:val="20"/>
        </w:rPr>
        <w:t xml:space="preserve"> when loca</w:t>
      </w:r>
      <w:r w:rsidRPr="00AA4677">
        <w:rPr>
          <w:rFonts w:cstheme="minorHAnsi"/>
        </w:rPr>
        <w:t>l policies that impact IRB</w:t>
      </w:r>
      <w:r w:rsidRPr="00AA4677">
        <w:rPr>
          <w:rFonts w:cstheme="minorHAnsi"/>
          <w:szCs w:val="20"/>
        </w:rPr>
        <w:t xml:space="preserve"> review are updated. </w:t>
      </w:r>
    </w:p>
    <w:p w14:paraId="15A97E5F" w14:textId="2BC437DE"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Ensuring that officials of the relying organization may not approve the research if it has not been app</w:t>
      </w:r>
      <w:r w:rsidRPr="00AA4677">
        <w:rPr>
          <w:rFonts w:cstheme="minorHAnsi"/>
        </w:rPr>
        <w:t>roved by the reviewing IRB</w:t>
      </w:r>
    </w:p>
    <w:p w14:paraId="2261AF65" w14:textId="4CE9DD15" w:rsidR="00F320BA" w:rsidRPr="00AA4677" w:rsidRDefault="00F320BA">
      <w:pPr>
        <w:numPr>
          <w:ilvl w:val="2"/>
          <w:numId w:val="309"/>
        </w:numPr>
        <w:shd w:val="clear" w:color="auto" w:fill="FFFFFF"/>
        <w:spacing w:after="0" w:line="240" w:lineRule="auto"/>
        <w:ind w:left="360"/>
        <w:rPr>
          <w:rFonts w:cstheme="minorHAnsi"/>
          <w:szCs w:val="20"/>
        </w:rPr>
      </w:pPr>
      <w:proofErr w:type="gramStart"/>
      <w:r w:rsidRPr="00AA4677">
        <w:rPr>
          <w:rFonts w:cstheme="minorHAnsi"/>
          <w:szCs w:val="20"/>
        </w:rPr>
        <w:lastRenderedPageBreak/>
        <w:t>Acknowledging</w:t>
      </w:r>
      <w:proofErr w:type="gramEnd"/>
      <w:r w:rsidRPr="00AA4677">
        <w:rPr>
          <w:rFonts w:cstheme="minorHAnsi"/>
          <w:szCs w:val="20"/>
        </w:rPr>
        <w:t xml:space="preserve"> that researchers must cooperate</w:t>
      </w:r>
      <w:r w:rsidRPr="00AA4677">
        <w:rPr>
          <w:rFonts w:cstheme="minorHAnsi"/>
        </w:rPr>
        <w:t xml:space="preserve"> in the reviewing IRB’s </w:t>
      </w:r>
      <w:r w:rsidRPr="00AA4677">
        <w:rPr>
          <w:rFonts w:cstheme="minorHAnsi"/>
          <w:szCs w:val="20"/>
        </w:rPr>
        <w:t>responsibility for initial and continuing review, record keeping, and reporting, and that all information reque</w:t>
      </w:r>
      <w:r w:rsidRPr="00AA4677">
        <w:rPr>
          <w:rFonts w:cstheme="minorHAnsi"/>
        </w:rPr>
        <w:t xml:space="preserve">sted by the reviewing IRB </w:t>
      </w:r>
      <w:r w:rsidRPr="00AA4677">
        <w:rPr>
          <w:rFonts w:cstheme="minorHAnsi"/>
          <w:szCs w:val="20"/>
        </w:rPr>
        <w:t>must be provided in a timely manner.</w:t>
      </w:r>
    </w:p>
    <w:p w14:paraId="189287F7" w14:textId="265486F2"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 xml:space="preserve">Requiring researchers and research staff </w:t>
      </w:r>
      <w:proofErr w:type="gramStart"/>
      <w:r w:rsidRPr="00AA4677">
        <w:rPr>
          <w:rFonts w:cstheme="minorHAnsi"/>
          <w:szCs w:val="20"/>
        </w:rPr>
        <w:t>disclose</w:t>
      </w:r>
      <w:proofErr w:type="gramEnd"/>
      <w:r w:rsidRPr="00AA4677">
        <w:rPr>
          <w:rFonts w:cstheme="minorHAnsi"/>
          <w:szCs w:val="20"/>
        </w:rPr>
        <w:t xml:space="preserve"> conflicts of interest according to the process agreed upon between the organiz</w:t>
      </w:r>
      <w:r w:rsidRPr="00AA4677">
        <w:rPr>
          <w:rFonts w:cstheme="minorHAnsi"/>
        </w:rPr>
        <w:t xml:space="preserve">ation and reviewing </w:t>
      </w:r>
      <w:proofErr w:type="gramStart"/>
      <w:r w:rsidRPr="00AA4677">
        <w:rPr>
          <w:rFonts w:cstheme="minorHAnsi"/>
        </w:rPr>
        <w:t>IRB</w:t>
      </w:r>
      <w:r w:rsidRPr="00AA4677">
        <w:rPr>
          <w:rFonts w:cstheme="minorHAnsi"/>
          <w:szCs w:val="20"/>
        </w:rPr>
        <w:t>, and</w:t>
      </w:r>
      <w:proofErr w:type="gramEnd"/>
      <w:r w:rsidRPr="00AA4677">
        <w:rPr>
          <w:rFonts w:cstheme="minorHAnsi"/>
          <w:szCs w:val="20"/>
        </w:rPr>
        <w:t xml:space="preserve"> comply with any </w:t>
      </w:r>
      <w:proofErr w:type="gramStart"/>
      <w:r w:rsidRPr="00AA4677">
        <w:rPr>
          <w:rFonts w:cstheme="minorHAnsi"/>
          <w:szCs w:val="20"/>
        </w:rPr>
        <w:t>conflict of interest</w:t>
      </w:r>
      <w:proofErr w:type="gramEnd"/>
      <w:r w:rsidRPr="00AA4677">
        <w:rPr>
          <w:rFonts w:cstheme="minorHAnsi"/>
          <w:szCs w:val="20"/>
        </w:rPr>
        <w:t xml:space="preserve"> management plans that may result. </w:t>
      </w:r>
    </w:p>
    <w:p w14:paraId="4876D324" w14:textId="38C75C45"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Reporting prom</w:t>
      </w:r>
      <w:r w:rsidRPr="00AA4677">
        <w:rPr>
          <w:rFonts w:cstheme="minorHAnsi"/>
        </w:rPr>
        <w:t xml:space="preserve">ptly to the reviewing IRB </w:t>
      </w:r>
      <w:r w:rsidRPr="00AA4677">
        <w:rPr>
          <w:rFonts w:cstheme="minorHAnsi"/>
          <w:szCs w:val="20"/>
        </w:rPr>
        <w:t>any proposed changes to the research. The investigator cannot implement changes to the research (including changes in the consent d</w:t>
      </w:r>
      <w:r w:rsidRPr="00AA4677">
        <w:rPr>
          <w:rFonts w:cstheme="minorHAnsi"/>
        </w:rPr>
        <w:t>ocument) without prior IRB</w:t>
      </w:r>
      <w:r w:rsidRPr="00AA4677">
        <w:rPr>
          <w:rFonts w:cstheme="minorHAnsi"/>
          <w:szCs w:val="20"/>
        </w:rPr>
        <w:t xml:space="preserve"> review and approval, except where necessary to eliminate apparent immediate hazards to the participants. </w:t>
      </w:r>
    </w:p>
    <w:p w14:paraId="118EDFB4" w14:textId="57BCFD49"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Ensuring researchers will not enroll participants in research prior to review and app</w:t>
      </w:r>
      <w:r w:rsidRPr="00AA4677">
        <w:rPr>
          <w:rFonts w:cstheme="minorHAnsi"/>
        </w:rPr>
        <w:t>roval by the reviewing IRB</w:t>
      </w:r>
      <w:r w:rsidRPr="00AA4677">
        <w:rPr>
          <w:rFonts w:cstheme="minorHAnsi"/>
          <w:szCs w:val="20"/>
        </w:rPr>
        <w:t>, and meeting all other applicable requirements and approvals for the study</w:t>
      </w:r>
    </w:p>
    <w:p w14:paraId="3128A4C7" w14:textId="1033356B"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Ensuring that researchers, when responsible for enrolling participants, will obtain, document, and maintain records of consent for each participant or each participant’s legally authorized representative</w:t>
      </w:r>
    </w:p>
    <w:p w14:paraId="7F463C75" w14:textId="1C6E5653"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Reporting prom</w:t>
      </w:r>
      <w:r w:rsidRPr="00AA4677">
        <w:rPr>
          <w:rFonts w:cstheme="minorHAnsi"/>
        </w:rPr>
        <w:t xml:space="preserve">ptly to the reviewing IRB </w:t>
      </w:r>
      <w:r w:rsidRPr="00AA4677">
        <w:rPr>
          <w:rFonts w:cstheme="minorHAnsi"/>
          <w:szCs w:val="20"/>
        </w:rPr>
        <w:t>any unanticipated problems involving risks to participants or others according to the requirements specified in the reliance agreement</w:t>
      </w:r>
    </w:p>
    <w:p w14:paraId="448A505C" w14:textId="4A367227"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Ensuring researchers provide to the reviewing IRB data safety monitoring reports they receive,</w:t>
      </w:r>
      <w:r w:rsidRPr="00AA4677">
        <w:rPr>
          <w:rFonts w:cstheme="minorHAnsi"/>
        </w:rPr>
        <w:t xml:space="preserve"> according to the IRB’s </w:t>
      </w:r>
      <w:r w:rsidRPr="00AA4677">
        <w:rPr>
          <w:rFonts w:cstheme="minorHAnsi"/>
          <w:szCs w:val="20"/>
        </w:rPr>
        <w:t>reporting policy</w:t>
      </w:r>
    </w:p>
    <w:p w14:paraId="0939BD01" w14:textId="0A60D86D"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Ensuring reporting of non-compliance, participant complaints, protocol deviations or other events according to the requirements specified in the reliance agreement</w:t>
      </w:r>
    </w:p>
    <w:p w14:paraId="07149234" w14:textId="7AAC3389"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 xml:space="preserve">Conducting monitoring in addition to, or in cooperation </w:t>
      </w:r>
      <w:r w:rsidRPr="00AA4677">
        <w:rPr>
          <w:rFonts w:cstheme="minorHAnsi"/>
        </w:rPr>
        <w:t>with, the reviewing IRB</w:t>
      </w:r>
      <w:r w:rsidRPr="00AA4677">
        <w:rPr>
          <w:rFonts w:cstheme="minorHAnsi"/>
          <w:szCs w:val="20"/>
        </w:rPr>
        <w:t>, when appropriate</w:t>
      </w:r>
    </w:p>
    <w:p w14:paraId="3B398944" w14:textId="77D867E5"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 xml:space="preserve">Specifying the contact person and providing contact information for researchers and research staff to obtain answers to questions, express concerns, and convey suggestions regarding the use </w:t>
      </w:r>
      <w:r w:rsidRPr="00AA4677">
        <w:rPr>
          <w:rFonts w:cstheme="minorHAnsi"/>
        </w:rPr>
        <w:t>of the reviewing IRB</w:t>
      </w:r>
    </w:p>
    <w:p w14:paraId="2953CE45" w14:textId="398C6294" w:rsidR="00F320BA" w:rsidRPr="00AA4677" w:rsidRDefault="00F320BA">
      <w:pPr>
        <w:numPr>
          <w:ilvl w:val="2"/>
          <w:numId w:val="309"/>
        </w:numPr>
        <w:shd w:val="clear" w:color="auto" w:fill="FFFFFF"/>
        <w:spacing w:after="0" w:line="240" w:lineRule="auto"/>
        <w:ind w:left="360"/>
        <w:rPr>
          <w:rFonts w:cstheme="minorHAnsi"/>
          <w:szCs w:val="20"/>
        </w:rPr>
      </w:pPr>
      <w:r w:rsidRPr="00AA4677">
        <w:rPr>
          <w:rFonts w:cstheme="minorHAnsi"/>
          <w:szCs w:val="20"/>
        </w:rPr>
        <w:t>Ensuring researchers and research staff have appropriate qualifications and expertise to conduct the research, are knowledgeable about laws, regulations, codes and guidance governing their research, and are knowledgeable about the organization’s policies and procedures</w:t>
      </w:r>
    </w:p>
    <w:p w14:paraId="5AA23F33" w14:textId="77777777" w:rsidR="0010641F" w:rsidRPr="00AA4677" w:rsidRDefault="0010641F" w:rsidP="00F320BA">
      <w:pPr>
        <w:spacing w:after="0" w:line="240" w:lineRule="auto"/>
        <w:rPr>
          <w:b/>
        </w:rPr>
      </w:pPr>
    </w:p>
    <w:p w14:paraId="3A1354DC" w14:textId="21371EB8" w:rsidR="000D48AF" w:rsidRPr="00AA4677" w:rsidRDefault="000D48AF" w:rsidP="00F320BA">
      <w:pPr>
        <w:spacing w:after="0" w:line="240" w:lineRule="auto"/>
        <w:rPr>
          <w:b/>
        </w:rPr>
      </w:pPr>
      <w:r w:rsidRPr="00AA4677">
        <w:rPr>
          <w:b/>
        </w:rPr>
        <w:t>Factors Considered by the ORC in the decision to allow SBU to Cede to an External IRB</w:t>
      </w:r>
    </w:p>
    <w:p w14:paraId="12AB613A" w14:textId="77777777" w:rsidR="000D48AF" w:rsidRPr="00AA4677" w:rsidRDefault="000D48AF" w:rsidP="00F320BA">
      <w:pPr>
        <w:spacing w:after="0" w:line="240" w:lineRule="auto"/>
        <w:rPr>
          <w:rFonts w:cstheme="minorHAnsi"/>
        </w:rPr>
      </w:pPr>
      <w:r w:rsidRPr="00AA4677">
        <w:rPr>
          <w:rFonts w:cstheme="minorHAnsi"/>
        </w:rPr>
        <w:t>SBU may choose to enter into an agreement to rely upon other external IRBs, most commonly when required as a condition of a grant or contract. The Reliance Administrator evaluates the following factors, and others as appropriate, when considering a request to rely upon an external IRB:</w:t>
      </w:r>
    </w:p>
    <w:p w14:paraId="53BDB7B9" w14:textId="77777777" w:rsidR="000D48AF" w:rsidRPr="00AA4677" w:rsidRDefault="000D48AF">
      <w:pPr>
        <w:pStyle w:val="ListParagraph"/>
        <w:widowControl w:val="0"/>
        <w:numPr>
          <w:ilvl w:val="0"/>
          <w:numId w:val="224"/>
        </w:numPr>
        <w:tabs>
          <w:tab w:val="left" w:pos="450"/>
        </w:tabs>
        <w:autoSpaceDE w:val="0"/>
        <w:autoSpaceDN w:val="0"/>
        <w:spacing w:after="0" w:line="240" w:lineRule="auto"/>
        <w:ind w:left="450" w:hanging="450"/>
        <w:contextualSpacing w:val="0"/>
        <w:rPr>
          <w:rFonts w:cstheme="minorHAnsi"/>
        </w:rPr>
      </w:pPr>
      <w:r w:rsidRPr="00AA4677">
        <w:rPr>
          <w:rFonts w:cstheme="minorHAnsi"/>
        </w:rPr>
        <w:t>Phase of the Research. Phase I research will be reviewed by SBU IRB. Exceptions will be considered on a case-by-case basis.</w:t>
      </w:r>
    </w:p>
    <w:p w14:paraId="303E2341" w14:textId="77777777" w:rsidR="000D48AF" w:rsidRPr="00AA4677" w:rsidRDefault="000D48AF">
      <w:pPr>
        <w:pStyle w:val="ListParagraph"/>
        <w:widowControl w:val="0"/>
        <w:numPr>
          <w:ilvl w:val="0"/>
          <w:numId w:val="224"/>
        </w:numPr>
        <w:tabs>
          <w:tab w:val="left" w:pos="450"/>
        </w:tabs>
        <w:autoSpaceDE w:val="0"/>
        <w:autoSpaceDN w:val="0"/>
        <w:spacing w:after="0" w:line="240" w:lineRule="auto"/>
        <w:ind w:left="450" w:hanging="450"/>
        <w:contextualSpacing w:val="0"/>
        <w:rPr>
          <w:rFonts w:cstheme="minorHAnsi"/>
        </w:rPr>
      </w:pPr>
      <w:r w:rsidRPr="00AA4677">
        <w:rPr>
          <w:rFonts w:cstheme="minorHAnsi"/>
        </w:rPr>
        <w:t>The accreditation status of the proposed</w:t>
      </w:r>
      <w:r w:rsidRPr="00AA4677">
        <w:rPr>
          <w:rFonts w:cstheme="minorHAnsi"/>
          <w:spacing w:val="-6"/>
        </w:rPr>
        <w:t xml:space="preserve"> </w:t>
      </w:r>
      <w:proofErr w:type="gramStart"/>
      <w:r w:rsidRPr="00AA4677">
        <w:rPr>
          <w:rFonts w:cstheme="minorHAnsi"/>
        </w:rPr>
        <w:t>IRB;</w:t>
      </w:r>
      <w:proofErr w:type="gramEnd"/>
    </w:p>
    <w:p w14:paraId="5ADB2F6E" w14:textId="77777777" w:rsidR="000D48AF" w:rsidRPr="00AA4677" w:rsidRDefault="000D48AF">
      <w:pPr>
        <w:pStyle w:val="ListParagraph"/>
        <w:widowControl w:val="0"/>
        <w:numPr>
          <w:ilvl w:val="0"/>
          <w:numId w:val="224"/>
        </w:numPr>
        <w:tabs>
          <w:tab w:val="left" w:pos="450"/>
        </w:tabs>
        <w:autoSpaceDE w:val="0"/>
        <w:autoSpaceDN w:val="0"/>
        <w:spacing w:after="0" w:line="242" w:lineRule="auto"/>
        <w:ind w:left="450" w:right="359" w:hanging="450"/>
        <w:contextualSpacing w:val="0"/>
        <w:rPr>
          <w:rFonts w:cstheme="minorHAnsi"/>
        </w:rPr>
      </w:pPr>
      <w:r w:rsidRPr="00AA4677">
        <w:rPr>
          <w:rFonts w:cstheme="minorHAnsi"/>
        </w:rPr>
        <w:lastRenderedPageBreak/>
        <w:t>The</w:t>
      </w:r>
      <w:r w:rsidRPr="00AA4677">
        <w:rPr>
          <w:rFonts w:cstheme="minorHAnsi"/>
          <w:spacing w:val="-2"/>
        </w:rPr>
        <w:t xml:space="preserve"> </w:t>
      </w:r>
      <w:r w:rsidRPr="00AA4677">
        <w:rPr>
          <w:rFonts w:cstheme="minorHAnsi"/>
        </w:rPr>
        <w:t>compliance</w:t>
      </w:r>
      <w:r w:rsidRPr="00AA4677">
        <w:rPr>
          <w:rFonts w:cstheme="minorHAnsi"/>
          <w:spacing w:val="-2"/>
        </w:rPr>
        <w:t xml:space="preserve"> </w:t>
      </w:r>
      <w:r w:rsidRPr="00AA4677">
        <w:rPr>
          <w:rFonts w:cstheme="minorHAnsi"/>
        </w:rPr>
        <w:t>history</w:t>
      </w:r>
      <w:r w:rsidRPr="00AA4677">
        <w:rPr>
          <w:rFonts w:cstheme="minorHAnsi"/>
          <w:spacing w:val="-5"/>
        </w:rPr>
        <w:t xml:space="preserve"> </w:t>
      </w:r>
      <w:r w:rsidRPr="00AA4677">
        <w:rPr>
          <w:rFonts w:cstheme="minorHAnsi"/>
        </w:rPr>
        <w:t>of</w:t>
      </w:r>
      <w:r w:rsidRPr="00AA4677">
        <w:rPr>
          <w:rFonts w:cstheme="minorHAnsi"/>
          <w:spacing w:val="-2"/>
        </w:rPr>
        <w:t xml:space="preserve"> </w:t>
      </w:r>
      <w:r w:rsidRPr="00AA4677">
        <w:rPr>
          <w:rFonts w:cstheme="minorHAnsi"/>
        </w:rPr>
        <w:t>the</w:t>
      </w:r>
      <w:r w:rsidRPr="00AA4677">
        <w:rPr>
          <w:rFonts w:cstheme="minorHAnsi"/>
          <w:spacing w:val="-2"/>
        </w:rPr>
        <w:t xml:space="preserve"> </w:t>
      </w:r>
      <w:r w:rsidRPr="00AA4677">
        <w:rPr>
          <w:rFonts w:cstheme="minorHAnsi"/>
        </w:rPr>
        <w:t>IRB</w:t>
      </w:r>
      <w:r w:rsidRPr="00AA4677">
        <w:rPr>
          <w:rFonts w:cstheme="minorHAnsi"/>
          <w:spacing w:val="-4"/>
        </w:rPr>
        <w:t xml:space="preserve"> </w:t>
      </w:r>
      <w:r w:rsidRPr="00AA4677">
        <w:rPr>
          <w:rFonts w:cstheme="minorHAnsi"/>
        </w:rPr>
        <w:t>(e.g.,</w:t>
      </w:r>
      <w:r w:rsidRPr="00AA4677">
        <w:rPr>
          <w:rFonts w:cstheme="minorHAnsi"/>
          <w:spacing w:val="-3"/>
        </w:rPr>
        <w:t xml:space="preserve"> </w:t>
      </w:r>
      <w:r w:rsidRPr="00AA4677">
        <w:rPr>
          <w:rFonts w:cstheme="minorHAnsi"/>
        </w:rPr>
        <w:t>outcomes</w:t>
      </w:r>
      <w:r w:rsidRPr="00AA4677">
        <w:rPr>
          <w:rFonts w:cstheme="minorHAnsi"/>
          <w:spacing w:val="-7"/>
        </w:rPr>
        <w:t xml:space="preserve"> </w:t>
      </w:r>
      <w:r w:rsidRPr="00AA4677">
        <w:rPr>
          <w:rFonts w:cstheme="minorHAnsi"/>
        </w:rPr>
        <w:t>of</w:t>
      </w:r>
      <w:r w:rsidRPr="00AA4677">
        <w:rPr>
          <w:rFonts w:cstheme="minorHAnsi"/>
          <w:spacing w:val="-3"/>
        </w:rPr>
        <w:t xml:space="preserve"> </w:t>
      </w:r>
      <w:r w:rsidRPr="00AA4677">
        <w:rPr>
          <w:rFonts w:cstheme="minorHAnsi"/>
        </w:rPr>
        <w:t>prior</w:t>
      </w:r>
      <w:r w:rsidRPr="00AA4677">
        <w:rPr>
          <w:rFonts w:cstheme="minorHAnsi"/>
          <w:spacing w:val="-4"/>
        </w:rPr>
        <w:t xml:space="preserve"> </w:t>
      </w:r>
      <w:r w:rsidRPr="00AA4677">
        <w:rPr>
          <w:rFonts w:cstheme="minorHAnsi"/>
        </w:rPr>
        <w:t>audits</w:t>
      </w:r>
      <w:r w:rsidRPr="00AA4677">
        <w:rPr>
          <w:rFonts w:cstheme="minorHAnsi"/>
          <w:spacing w:val="-5"/>
        </w:rPr>
        <w:t xml:space="preserve"> </w:t>
      </w:r>
      <w:r w:rsidRPr="00AA4677">
        <w:rPr>
          <w:rFonts w:cstheme="minorHAnsi"/>
        </w:rPr>
        <w:t>or</w:t>
      </w:r>
      <w:r w:rsidRPr="00AA4677">
        <w:rPr>
          <w:rFonts w:cstheme="minorHAnsi"/>
          <w:spacing w:val="-2"/>
        </w:rPr>
        <w:t xml:space="preserve"> </w:t>
      </w:r>
      <w:r w:rsidRPr="00AA4677">
        <w:rPr>
          <w:rFonts w:cstheme="minorHAnsi"/>
        </w:rPr>
        <w:t>inspections,</w:t>
      </w:r>
      <w:r w:rsidRPr="00AA4677">
        <w:rPr>
          <w:rFonts w:cstheme="minorHAnsi"/>
          <w:spacing w:val="-4"/>
        </w:rPr>
        <w:t xml:space="preserve"> </w:t>
      </w:r>
      <w:r w:rsidRPr="00AA4677">
        <w:rPr>
          <w:rFonts w:cstheme="minorHAnsi"/>
        </w:rPr>
        <w:t>corrective actions</w:t>
      </w:r>
      <w:proofErr w:type="gramStart"/>
      <w:r w:rsidRPr="00AA4677">
        <w:rPr>
          <w:rFonts w:cstheme="minorHAnsi"/>
        </w:rPr>
        <w:t>);</w:t>
      </w:r>
      <w:proofErr w:type="gramEnd"/>
    </w:p>
    <w:p w14:paraId="25B77F5B" w14:textId="77777777" w:rsidR="000D48AF" w:rsidRPr="00AA4677" w:rsidRDefault="000D48AF">
      <w:pPr>
        <w:pStyle w:val="ListParagraph"/>
        <w:widowControl w:val="0"/>
        <w:numPr>
          <w:ilvl w:val="0"/>
          <w:numId w:val="224"/>
        </w:numPr>
        <w:tabs>
          <w:tab w:val="left" w:pos="450"/>
        </w:tabs>
        <w:autoSpaceDE w:val="0"/>
        <w:autoSpaceDN w:val="0"/>
        <w:spacing w:after="0" w:line="289" w:lineRule="exact"/>
        <w:ind w:left="450" w:hanging="450"/>
        <w:contextualSpacing w:val="0"/>
      </w:pPr>
      <w:r w:rsidRPr="00AA4677">
        <w:t>Prior experience with the</w:t>
      </w:r>
      <w:r w:rsidRPr="00AA4677">
        <w:rPr>
          <w:spacing w:val="-1"/>
        </w:rPr>
        <w:t xml:space="preserve"> </w:t>
      </w:r>
      <w:proofErr w:type="gramStart"/>
      <w:r w:rsidRPr="00AA4677">
        <w:t>IRB;</w:t>
      </w:r>
      <w:proofErr w:type="gramEnd"/>
    </w:p>
    <w:p w14:paraId="0B9D8B39" w14:textId="77777777" w:rsidR="000D48AF" w:rsidRPr="00AA4677" w:rsidRDefault="000D48AF">
      <w:pPr>
        <w:pStyle w:val="ListParagraph"/>
        <w:widowControl w:val="0"/>
        <w:numPr>
          <w:ilvl w:val="0"/>
          <w:numId w:val="224"/>
        </w:numPr>
        <w:tabs>
          <w:tab w:val="left" w:pos="450"/>
        </w:tabs>
        <w:autoSpaceDE w:val="0"/>
        <w:autoSpaceDN w:val="0"/>
        <w:spacing w:after="0" w:line="240" w:lineRule="auto"/>
        <w:ind w:left="450" w:hanging="450"/>
        <w:contextualSpacing w:val="0"/>
      </w:pPr>
      <w:r w:rsidRPr="00AA4677">
        <w:t>The federal IRB registration and organizational FWA, as</w:t>
      </w:r>
      <w:r w:rsidRPr="00AA4677">
        <w:rPr>
          <w:spacing w:val="-1"/>
        </w:rPr>
        <w:t xml:space="preserve"> </w:t>
      </w:r>
      <w:proofErr w:type="gramStart"/>
      <w:r w:rsidRPr="00AA4677">
        <w:t>applicable;</w:t>
      </w:r>
      <w:proofErr w:type="gramEnd"/>
    </w:p>
    <w:p w14:paraId="35F2AFEC" w14:textId="7E7A49F0" w:rsidR="000D48AF" w:rsidRPr="00AA4677" w:rsidRDefault="000D48AF">
      <w:pPr>
        <w:pStyle w:val="ListParagraph"/>
        <w:widowControl w:val="0"/>
        <w:numPr>
          <w:ilvl w:val="0"/>
          <w:numId w:val="224"/>
        </w:numPr>
        <w:tabs>
          <w:tab w:val="left" w:pos="450"/>
        </w:tabs>
        <w:autoSpaceDE w:val="0"/>
        <w:autoSpaceDN w:val="0"/>
        <w:spacing w:before="40" w:after="0" w:line="240" w:lineRule="auto"/>
        <w:ind w:left="450" w:right="164" w:hanging="450"/>
        <w:contextualSpacing w:val="0"/>
      </w:pPr>
      <w:r w:rsidRPr="00AA4677">
        <w:t xml:space="preserve">The expertise and experience of the proposed IRB (e.g., </w:t>
      </w:r>
      <w:r w:rsidR="00232AFE" w:rsidRPr="00AA4677">
        <w:t xml:space="preserve">structure and composition of the IRB is appropriate </w:t>
      </w:r>
      <w:r w:rsidRPr="00AA4677">
        <w:t>with reviewing the type of research, research procedures, and subject</w:t>
      </w:r>
      <w:r w:rsidRPr="00AA4677">
        <w:rPr>
          <w:spacing w:val="-5"/>
        </w:rPr>
        <w:t xml:space="preserve"> </w:t>
      </w:r>
      <w:r w:rsidRPr="00AA4677">
        <w:t>population(s)</w:t>
      </w:r>
      <w:proofErr w:type="gramStart"/>
      <w:r w:rsidRPr="00AA4677">
        <w:t>);</w:t>
      </w:r>
      <w:proofErr w:type="gramEnd"/>
    </w:p>
    <w:p w14:paraId="3A53BCA3" w14:textId="77777777" w:rsidR="000D48AF" w:rsidRPr="00AA4677" w:rsidRDefault="000D48AF">
      <w:pPr>
        <w:pStyle w:val="ListParagraph"/>
        <w:widowControl w:val="0"/>
        <w:numPr>
          <w:ilvl w:val="0"/>
          <w:numId w:val="224"/>
        </w:numPr>
        <w:tabs>
          <w:tab w:val="left" w:pos="450"/>
        </w:tabs>
        <w:autoSpaceDE w:val="0"/>
        <w:autoSpaceDN w:val="0"/>
        <w:spacing w:after="0" w:line="293" w:lineRule="exact"/>
        <w:ind w:left="450" w:hanging="450"/>
        <w:contextualSpacing w:val="0"/>
      </w:pPr>
      <w:r w:rsidRPr="00AA4677">
        <w:t>The research activities to be conducted at the</w:t>
      </w:r>
      <w:r w:rsidRPr="00AA4677">
        <w:rPr>
          <w:spacing w:val="-5"/>
        </w:rPr>
        <w:t xml:space="preserve"> </w:t>
      </w:r>
      <w:r w:rsidRPr="00AA4677">
        <w:t>University</w:t>
      </w:r>
    </w:p>
    <w:p w14:paraId="39789321" w14:textId="77777777" w:rsidR="000D48AF" w:rsidRPr="00AA4677" w:rsidRDefault="000D48AF">
      <w:pPr>
        <w:pStyle w:val="ListParagraph"/>
        <w:widowControl w:val="0"/>
        <w:numPr>
          <w:ilvl w:val="0"/>
          <w:numId w:val="224"/>
        </w:numPr>
        <w:tabs>
          <w:tab w:val="left" w:pos="450"/>
        </w:tabs>
        <w:autoSpaceDE w:val="0"/>
        <w:autoSpaceDN w:val="0"/>
        <w:spacing w:after="0" w:line="240" w:lineRule="auto"/>
        <w:ind w:left="450" w:hanging="450"/>
        <w:contextualSpacing w:val="0"/>
      </w:pPr>
      <w:r w:rsidRPr="00AA4677">
        <w:t>The risks and complexities of the proposed</w:t>
      </w:r>
      <w:r w:rsidRPr="00AA4677">
        <w:rPr>
          <w:spacing w:val="-4"/>
        </w:rPr>
        <w:t xml:space="preserve"> </w:t>
      </w:r>
      <w:proofErr w:type="gramStart"/>
      <w:r w:rsidRPr="00AA4677">
        <w:t>research;</w:t>
      </w:r>
      <w:proofErr w:type="gramEnd"/>
    </w:p>
    <w:p w14:paraId="61B131A0" w14:textId="77777777" w:rsidR="000D48AF" w:rsidRPr="00AA4677" w:rsidRDefault="000D48AF">
      <w:pPr>
        <w:pStyle w:val="ListParagraph"/>
        <w:widowControl w:val="0"/>
        <w:numPr>
          <w:ilvl w:val="0"/>
          <w:numId w:val="224"/>
        </w:numPr>
        <w:tabs>
          <w:tab w:val="left" w:pos="450"/>
        </w:tabs>
        <w:autoSpaceDE w:val="0"/>
        <w:autoSpaceDN w:val="0"/>
        <w:spacing w:after="0" w:line="240" w:lineRule="auto"/>
        <w:ind w:left="450" w:right="261" w:hanging="450"/>
        <w:contextualSpacing w:val="0"/>
      </w:pPr>
      <w:r w:rsidRPr="00AA4677">
        <w:t>The proposed reliance terms and procedures, including acceptance of SBU local context issues, as well as the procedures for collaborative management of matters such as</w:t>
      </w:r>
      <w:r w:rsidRPr="00AA4677">
        <w:rPr>
          <w:spacing w:val="-39"/>
        </w:rPr>
        <w:t xml:space="preserve"> </w:t>
      </w:r>
      <w:r w:rsidRPr="00AA4677">
        <w:t xml:space="preserve">conflicts of interest disclosures, investigator training, noncompliance, unanticipated problems, and federal </w:t>
      </w:r>
      <w:proofErr w:type="gramStart"/>
      <w:r w:rsidRPr="00AA4677">
        <w:t>reports;</w:t>
      </w:r>
      <w:proofErr w:type="gramEnd"/>
    </w:p>
    <w:p w14:paraId="65C9C2C1" w14:textId="77777777" w:rsidR="000D48AF" w:rsidRPr="00AA4677" w:rsidRDefault="000D48AF">
      <w:pPr>
        <w:pStyle w:val="ListParagraph"/>
        <w:widowControl w:val="0"/>
        <w:numPr>
          <w:ilvl w:val="0"/>
          <w:numId w:val="224"/>
        </w:numPr>
        <w:tabs>
          <w:tab w:val="left" w:pos="501"/>
        </w:tabs>
        <w:autoSpaceDE w:val="0"/>
        <w:autoSpaceDN w:val="0"/>
        <w:spacing w:before="1" w:after="0" w:line="240" w:lineRule="auto"/>
        <w:ind w:left="450" w:right="478" w:hanging="450"/>
        <w:contextualSpacing w:val="0"/>
      </w:pPr>
      <w:r w:rsidRPr="00AA4677">
        <w:t>The plan for review and allowance of the incorporation of site-specific consent language; and</w:t>
      </w:r>
    </w:p>
    <w:p w14:paraId="08415B14" w14:textId="77777777" w:rsidR="000D48AF" w:rsidRPr="00AA4677" w:rsidRDefault="000D48AF">
      <w:pPr>
        <w:pStyle w:val="ListParagraph"/>
        <w:widowControl w:val="0"/>
        <w:numPr>
          <w:ilvl w:val="0"/>
          <w:numId w:val="224"/>
        </w:numPr>
        <w:tabs>
          <w:tab w:val="left" w:pos="501"/>
        </w:tabs>
        <w:autoSpaceDE w:val="0"/>
        <w:autoSpaceDN w:val="0"/>
        <w:spacing w:after="0" w:line="240" w:lineRule="auto"/>
        <w:ind w:left="450" w:right="478" w:hanging="450"/>
        <w:contextualSpacing w:val="0"/>
      </w:pPr>
      <w:r w:rsidRPr="00AA4677">
        <w:t>The plan for incorporation of other relevant local requirements or context information</w:t>
      </w:r>
      <w:r w:rsidRPr="00AA4677">
        <w:rPr>
          <w:spacing w:val="-36"/>
        </w:rPr>
        <w:t xml:space="preserve"> </w:t>
      </w:r>
      <w:r w:rsidRPr="00AA4677">
        <w:t>in the review</w:t>
      </w:r>
      <w:r w:rsidRPr="00AA4677">
        <w:rPr>
          <w:spacing w:val="-4"/>
        </w:rPr>
        <w:t xml:space="preserve"> </w:t>
      </w:r>
      <w:r w:rsidRPr="00AA4677">
        <w:t>process.</w:t>
      </w:r>
    </w:p>
    <w:p w14:paraId="4E4FD67F" w14:textId="77777777" w:rsidR="000D48AF" w:rsidRPr="00AA4677" w:rsidRDefault="000D48AF" w:rsidP="001A652A">
      <w:pPr>
        <w:pStyle w:val="BodyText"/>
        <w:spacing w:before="120" w:line="256" w:lineRule="auto"/>
        <w:ind w:right="891"/>
        <w:rPr>
          <w:rFonts w:asciiTheme="minorHAnsi" w:hAnsiTheme="minorHAnsi"/>
        </w:rPr>
      </w:pPr>
      <w:r w:rsidRPr="00AA4677">
        <w:rPr>
          <w:rFonts w:asciiTheme="minorHAnsi" w:hAnsiTheme="minorHAnsi"/>
        </w:rPr>
        <w:t>When reliance on a non-accredited IRB is proposed, the evaluation will also take into consideration one or more of the following based upon the risks of the research and the University’s familiarity with the IRB:</w:t>
      </w:r>
    </w:p>
    <w:p w14:paraId="67E4A3DF" w14:textId="733420C9" w:rsidR="000D48AF" w:rsidRPr="00AA4677" w:rsidRDefault="000D48AF">
      <w:pPr>
        <w:pStyle w:val="ListParagraph"/>
        <w:widowControl w:val="0"/>
        <w:numPr>
          <w:ilvl w:val="0"/>
          <w:numId w:val="223"/>
        </w:numPr>
        <w:tabs>
          <w:tab w:val="left" w:pos="360"/>
        </w:tabs>
        <w:autoSpaceDE w:val="0"/>
        <w:autoSpaceDN w:val="0"/>
        <w:spacing w:before="168" w:after="0" w:line="240" w:lineRule="auto"/>
        <w:ind w:left="360" w:right="164"/>
        <w:contextualSpacing w:val="0"/>
      </w:pPr>
      <w:r w:rsidRPr="00AA4677">
        <w:t xml:space="preserve">A statement of assurance from the proposed IRB that its review will be consistent with applicable </w:t>
      </w:r>
      <w:r w:rsidR="006752DE" w:rsidRPr="00AA4677">
        <w:t xml:space="preserve">law, and </w:t>
      </w:r>
      <w:r w:rsidRPr="00AA4677">
        <w:t>ethical and regulatory standards</w:t>
      </w:r>
      <w:r w:rsidR="005629CF" w:rsidRPr="00AA4677">
        <w:t xml:space="preserve"> (for initial review, continuing review and review of modifications)</w:t>
      </w:r>
      <w:r w:rsidRPr="00AA4677">
        <w:t>, and that it will report any regulatory investigations, citations, or actions taken regarding the reviewing IRB, and, when</w:t>
      </w:r>
      <w:r w:rsidRPr="00AA4677">
        <w:rPr>
          <w:spacing w:val="-31"/>
        </w:rPr>
        <w:t xml:space="preserve"> </w:t>
      </w:r>
      <w:r w:rsidRPr="00AA4677">
        <w:t>applicable, to the organization’s FWA (Note, this statement of assurance is acceptable to AAHRPP if the risks are minimal);</w:t>
      </w:r>
    </w:p>
    <w:p w14:paraId="496F84C4" w14:textId="77777777" w:rsidR="000D48AF" w:rsidRPr="00AA4677" w:rsidRDefault="000D48AF">
      <w:pPr>
        <w:pStyle w:val="ListParagraph"/>
        <w:widowControl w:val="0"/>
        <w:numPr>
          <w:ilvl w:val="0"/>
          <w:numId w:val="223"/>
        </w:numPr>
        <w:tabs>
          <w:tab w:val="left" w:pos="360"/>
        </w:tabs>
        <w:autoSpaceDE w:val="0"/>
        <w:autoSpaceDN w:val="0"/>
        <w:spacing w:after="0" w:line="240" w:lineRule="auto"/>
        <w:ind w:left="360" w:right="426"/>
        <w:contextualSpacing w:val="0"/>
        <w:jc w:val="both"/>
      </w:pPr>
      <w:r w:rsidRPr="00AA4677">
        <w:t>An attestation about, or summary of, any quality assessment of the reviewing IRB such as evaluation by an external consultant or internal evaluation of compliance using the FDA’s self-evaluation checklist or AAHRPP’s self-evaluation</w:t>
      </w:r>
      <w:r w:rsidRPr="00AA4677">
        <w:rPr>
          <w:spacing w:val="1"/>
        </w:rPr>
        <w:t xml:space="preserve"> </w:t>
      </w:r>
      <w:proofErr w:type="gramStart"/>
      <w:r w:rsidRPr="00AA4677">
        <w:t>instrument;</w:t>
      </w:r>
      <w:proofErr w:type="gramEnd"/>
    </w:p>
    <w:p w14:paraId="56453C7A" w14:textId="77777777" w:rsidR="000D48AF" w:rsidRPr="00AA4677" w:rsidRDefault="000D48AF">
      <w:pPr>
        <w:pStyle w:val="ListParagraph"/>
        <w:widowControl w:val="0"/>
        <w:numPr>
          <w:ilvl w:val="0"/>
          <w:numId w:val="223"/>
        </w:numPr>
        <w:tabs>
          <w:tab w:val="left" w:pos="360"/>
        </w:tabs>
        <w:autoSpaceDE w:val="0"/>
        <w:autoSpaceDN w:val="0"/>
        <w:spacing w:after="0" w:line="240" w:lineRule="auto"/>
        <w:ind w:left="360" w:right="157"/>
        <w:contextualSpacing w:val="0"/>
      </w:pPr>
      <w:r w:rsidRPr="00AA4677">
        <w:t>The willingness of the external IRB to accommodate requests for relevant minutes and other records of the proposed study and/or to copy the University’s HRPP office on correspondence</w:t>
      </w:r>
      <w:r w:rsidRPr="00AA4677">
        <w:rPr>
          <w:spacing w:val="-3"/>
        </w:rPr>
        <w:t xml:space="preserve"> </w:t>
      </w:r>
      <w:r w:rsidRPr="00AA4677">
        <w:t>such</w:t>
      </w:r>
      <w:r w:rsidRPr="00AA4677">
        <w:rPr>
          <w:spacing w:val="-3"/>
        </w:rPr>
        <w:t xml:space="preserve"> </w:t>
      </w:r>
      <w:r w:rsidRPr="00AA4677">
        <w:t>as</w:t>
      </w:r>
      <w:r w:rsidRPr="00AA4677">
        <w:rPr>
          <w:spacing w:val="-6"/>
        </w:rPr>
        <w:t xml:space="preserve"> </w:t>
      </w:r>
      <w:r w:rsidRPr="00AA4677">
        <w:t>determination</w:t>
      </w:r>
      <w:r w:rsidRPr="00AA4677">
        <w:rPr>
          <w:spacing w:val="-3"/>
        </w:rPr>
        <w:t xml:space="preserve"> </w:t>
      </w:r>
      <w:r w:rsidRPr="00AA4677">
        <w:t>letters</w:t>
      </w:r>
      <w:r w:rsidRPr="00AA4677">
        <w:rPr>
          <w:spacing w:val="-4"/>
        </w:rPr>
        <w:t xml:space="preserve"> </w:t>
      </w:r>
      <w:r w:rsidRPr="00AA4677">
        <w:t>and</w:t>
      </w:r>
      <w:r w:rsidRPr="00AA4677">
        <w:rPr>
          <w:spacing w:val="-3"/>
        </w:rPr>
        <w:t xml:space="preserve"> </w:t>
      </w:r>
      <w:r w:rsidRPr="00AA4677">
        <w:t>notices</w:t>
      </w:r>
      <w:r w:rsidRPr="00AA4677">
        <w:rPr>
          <w:spacing w:val="-5"/>
        </w:rPr>
        <w:t xml:space="preserve"> </w:t>
      </w:r>
      <w:r w:rsidRPr="00AA4677">
        <w:t>of</w:t>
      </w:r>
      <w:r w:rsidRPr="00AA4677">
        <w:rPr>
          <w:spacing w:val="-2"/>
        </w:rPr>
        <w:t xml:space="preserve"> </w:t>
      </w:r>
      <w:r w:rsidRPr="00AA4677">
        <w:t>suspensions</w:t>
      </w:r>
      <w:r w:rsidRPr="00AA4677">
        <w:rPr>
          <w:spacing w:val="-6"/>
        </w:rPr>
        <w:t xml:space="preserve"> </w:t>
      </w:r>
      <w:r w:rsidRPr="00AA4677">
        <w:t>or</w:t>
      </w:r>
      <w:r w:rsidRPr="00AA4677">
        <w:rPr>
          <w:spacing w:val="-3"/>
        </w:rPr>
        <w:t xml:space="preserve"> </w:t>
      </w:r>
      <w:r w:rsidRPr="00AA4677">
        <w:t>terminations</w:t>
      </w:r>
      <w:r w:rsidRPr="00AA4677">
        <w:rPr>
          <w:spacing w:val="-3"/>
        </w:rPr>
        <w:t xml:space="preserve"> </w:t>
      </w:r>
      <w:r w:rsidRPr="00AA4677">
        <w:t>of IRB</w:t>
      </w:r>
      <w:r w:rsidRPr="00AA4677">
        <w:rPr>
          <w:spacing w:val="-1"/>
        </w:rPr>
        <w:t xml:space="preserve"> </w:t>
      </w:r>
      <w:proofErr w:type="gramStart"/>
      <w:r w:rsidRPr="00AA4677">
        <w:t>approval;</w:t>
      </w:r>
      <w:proofErr w:type="gramEnd"/>
    </w:p>
    <w:p w14:paraId="392DF607" w14:textId="77777777" w:rsidR="000D48AF" w:rsidRPr="00AA4677" w:rsidRDefault="000D48AF">
      <w:pPr>
        <w:pStyle w:val="ListParagraph"/>
        <w:widowControl w:val="0"/>
        <w:numPr>
          <w:ilvl w:val="0"/>
          <w:numId w:val="223"/>
        </w:numPr>
        <w:tabs>
          <w:tab w:val="left" w:pos="360"/>
        </w:tabs>
        <w:autoSpaceDE w:val="0"/>
        <w:autoSpaceDN w:val="0"/>
        <w:spacing w:before="1" w:after="0" w:line="240" w:lineRule="auto"/>
        <w:ind w:left="360" w:right="185"/>
        <w:contextualSpacing w:val="0"/>
      </w:pPr>
      <w:r w:rsidRPr="00AA4677">
        <w:t>The willingness of the external IRB to accommodate a request for someone from the relying organization to serve as a consultant to the IRB or to observe the review of the proposed study;</w:t>
      </w:r>
      <w:r w:rsidRPr="00AA4677">
        <w:rPr>
          <w:spacing w:val="-3"/>
        </w:rPr>
        <w:t xml:space="preserve"> </w:t>
      </w:r>
      <w:r w:rsidRPr="00AA4677">
        <w:t>and/or</w:t>
      </w:r>
    </w:p>
    <w:p w14:paraId="33443EFD" w14:textId="77777777" w:rsidR="000D48AF" w:rsidRPr="00AA4677" w:rsidRDefault="000D48AF">
      <w:pPr>
        <w:pStyle w:val="ListParagraph"/>
        <w:widowControl w:val="0"/>
        <w:numPr>
          <w:ilvl w:val="0"/>
          <w:numId w:val="223"/>
        </w:numPr>
        <w:tabs>
          <w:tab w:val="left" w:pos="360"/>
        </w:tabs>
        <w:autoSpaceDE w:val="0"/>
        <w:autoSpaceDN w:val="0"/>
        <w:spacing w:after="0" w:line="240" w:lineRule="auto"/>
        <w:ind w:left="360"/>
        <w:contextualSpacing w:val="0"/>
      </w:pPr>
      <w:r w:rsidRPr="00AA4677">
        <w:t>An assessment of the external IRB’s policies and procedures by the IO or</w:t>
      </w:r>
      <w:r w:rsidRPr="00AA4677">
        <w:rPr>
          <w:spacing w:val="-9"/>
        </w:rPr>
        <w:t xml:space="preserve"> </w:t>
      </w:r>
      <w:r w:rsidRPr="00AA4677">
        <w:t>AVP-RC.</w:t>
      </w:r>
    </w:p>
    <w:p w14:paraId="5C313E95" w14:textId="77777777" w:rsidR="000D48AF" w:rsidRPr="00AA4677" w:rsidRDefault="000D48AF">
      <w:pPr>
        <w:pStyle w:val="ListParagraph"/>
        <w:widowControl w:val="0"/>
        <w:numPr>
          <w:ilvl w:val="0"/>
          <w:numId w:val="223"/>
        </w:numPr>
        <w:tabs>
          <w:tab w:val="left" w:pos="360"/>
        </w:tabs>
        <w:autoSpaceDE w:val="0"/>
        <w:autoSpaceDN w:val="0"/>
        <w:spacing w:after="0" w:line="240" w:lineRule="auto"/>
        <w:ind w:left="360"/>
        <w:contextualSpacing w:val="0"/>
      </w:pPr>
      <w:r w:rsidRPr="00AA4677">
        <w:t xml:space="preserve">A non-accredited institution will not be responsible for other additional reviews relevant to the HRPP, including but not limited to biosafety, human stem cell research, conflict of interest, etc.  </w:t>
      </w:r>
      <w:r w:rsidRPr="00AA4677">
        <w:lastRenderedPageBreak/>
        <w:t>Where SBU IRB completes these reviews, the completed review will be made available to the reviewing IRB.</w:t>
      </w:r>
    </w:p>
    <w:p w14:paraId="683ACFB0" w14:textId="77777777" w:rsidR="000D48AF" w:rsidRPr="00AA4677" w:rsidRDefault="000D48AF">
      <w:pPr>
        <w:pStyle w:val="ListParagraph"/>
        <w:widowControl w:val="0"/>
        <w:numPr>
          <w:ilvl w:val="0"/>
          <w:numId w:val="223"/>
        </w:numPr>
        <w:tabs>
          <w:tab w:val="left" w:pos="360"/>
        </w:tabs>
        <w:autoSpaceDE w:val="0"/>
        <w:autoSpaceDN w:val="0"/>
        <w:spacing w:after="0" w:line="240" w:lineRule="auto"/>
        <w:ind w:left="360"/>
        <w:contextualSpacing w:val="0"/>
      </w:pPr>
      <w:r w:rsidRPr="00AA4677">
        <w:t xml:space="preserve">DOD and DOJ sponsored research will not be accepted for </w:t>
      </w:r>
      <w:proofErr w:type="gramStart"/>
      <w:r w:rsidRPr="00AA4677">
        <w:t>reviewed</w:t>
      </w:r>
      <w:proofErr w:type="gramEnd"/>
      <w:r w:rsidRPr="00AA4677">
        <w:t xml:space="preserve"> by non-accredited institutions.</w:t>
      </w:r>
    </w:p>
    <w:p w14:paraId="333E92EB" w14:textId="77777777" w:rsidR="000D48AF" w:rsidRPr="00AA4677" w:rsidRDefault="000D48AF" w:rsidP="000D48AF">
      <w:pPr>
        <w:pStyle w:val="BodyText"/>
        <w:rPr>
          <w:sz w:val="23"/>
        </w:rPr>
      </w:pPr>
    </w:p>
    <w:p w14:paraId="0296FE24" w14:textId="77777777" w:rsidR="000D48AF" w:rsidRPr="00AA4677" w:rsidRDefault="000D48AF" w:rsidP="00860A55">
      <w:pPr>
        <w:pStyle w:val="BodyText"/>
        <w:ind w:right="266"/>
        <w:rPr>
          <w:rFonts w:asciiTheme="minorHAnsi" w:hAnsiTheme="minorHAnsi"/>
        </w:rPr>
      </w:pPr>
      <w:r w:rsidRPr="00AA4677">
        <w:rPr>
          <w:rFonts w:asciiTheme="minorHAnsi" w:hAnsiTheme="minorHAnsi"/>
        </w:rPr>
        <w:t xml:space="preserve">The Reliance Administrator will present relevant factors for consideration by the IO or AVP-RC, who will make the final decision regarding </w:t>
      </w:r>
      <w:proofErr w:type="gramStart"/>
      <w:r w:rsidRPr="00AA4677">
        <w:rPr>
          <w:rFonts w:asciiTheme="minorHAnsi" w:hAnsiTheme="minorHAnsi"/>
        </w:rPr>
        <w:t>whether or not</w:t>
      </w:r>
      <w:proofErr w:type="gramEnd"/>
      <w:r w:rsidRPr="00AA4677">
        <w:rPr>
          <w:rFonts w:asciiTheme="minorHAnsi" w:hAnsiTheme="minorHAnsi"/>
        </w:rPr>
        <w:t xml:space="preserve"> to cede to the requested External IRB. The PI will be notified of the decision.</w:t>
      </w:r>
    </w:p>
    <w:p w14:paraId="75A06A77" w14:textId="77777777" w:rsidR="000D48AF" w:rsidRPr="00AA4677" w:rsidRDefault="000D48AF" w:rsidP="000D48AF">
      <w:pPr>
        <w:pStyle w:val="BodyText"/>
        <w:spacing w:before="9"/>
        <w:rPr>
          <w:rFonts w:asciiTheme="minorHAnsi" w:hAnsiTheme="minorHAnsi"/>
          <w:sz w:val="22"/>
        </w:rPr>
      </w:pPr>
    </w:p>
    <w:p w14:paraId="663B7BFC" w14:textId="3A63E69F" w:rsidR="000D48AF" w:rsidRPr="00AA4677" w:rsidRDefault="0040284F" w:rsidP="005920B2">
      <w:pPr>
        <w:rPr>
          <w:b/>
        </w:rPr>
      </w:pPr>
      <w:r w:rsidRPr="00AA4677">
        <w:rPr>
          <w:b/>
        </w:rPr>
        <w:t>17.1</w:t>
      </w:r>
      <w:r w:rsidR="00785476" w:rsidRPr="00AA4677">
        <w:rPr>
          <w:b/>
        </w:rPr>
        <w:t>7</w:t>
      </w:r>
      <w:r w:rsidRPr="00AA4677">
        <w:rPr>
          <w:b/>
        </w:rPr>
        <w:t xml:space="preserve">.5 </w:t>
      </w:r>
      <w:r w:rsidR="000D48AF" w:rsidRPr="00AA4677">
        <w:rPr>
          <w:b/>
        </w:rPr>
        <w:t>SBU, External IRB, and SBU Investigator Responsibilities When SBU Cedes Review</w:t>
      </w:r>
    </w:p>
    <w:p w14:paraId="13104CEA" w14:textId="77777777" w:rsidR="000D48AF" w:rsidRPr="00AA4677" w:rsidRDefault="000D48AF">
      <w:pPr>
        <w:pStyle w:val="ListParagraph"/>
        <w:widowControl w:val="0"/>
        <w:numPr>
          <w:ilvl w:val="0"/>
          <w:numId w:val="222"/>
        </w:numPr>
        <w:tabs>
          <w:tab w:val="left" w:pos="360"/>
        </w:tabs>
        <w:autoSpaceDE w:val="0"/>
        <w:autoSpaceDN w:val="0"/>
        <w:spacing w:after="0"/>
        <w:ind w:left="450" w:right="1049" w:hanging="450"/>
        <w:contextualSpacing w:val="0"/>
      </w:pPr>
      <w:r w:rsidRPr="00AA4677">
        <w:t xml:space="preserve">The External IRB has the same authority as the SBU </w:t>
      </w:r>
      <w:proofErr w:type="gramStart"/>
      <w:r w:rsidRPr="00AA4677">
        <w:t>IRB</w:t>
      </w:r>
      <w:proofErr w:type="gramEnd"/>
      <w:r w:rsidRPr="00AA4677">
        <w:t xml:space="preserve"> and all determinations and requirements of the external IRBs are equally binding. See section 17.16.4 for possible exceptions to external IRB vs. SBU</w:t>
      </w:r>
      <w:r w:rsidRPr="00AA4677">
        <w:rPr>
          <w:spacing w:val="-4"/>
        </w:rPr>
        <w:t xml:space="preserve"> </w:t>
      </w:r>
      <w:r w:rsidRPr="00AA4677">
        <w:t>responsibilities.</w:t>
      </w:r>
    </w:p>
    <w:p w14:paraId="736362BB" w14:textId="6A1DDF67" w:rsidR="000D48AF" w:rsidRPr="00AA4677" w:rsidRDefault="000D48AF">
      <w:pPr>
        <w:pStyle w:val="ListParagraph"/>
        <w:widowControl w:val="0"/>
        <w:numPr>
          <w:ilvl w:val="0"/>
          <w:numId w:val="222"/>
        </w:numPr>
        <w:tabs>
          <w:tab w:val="left" w:pos="379"/>
        </w:tabs>
        <w:autoSpaceDE w:val="0"/>
        <w:autoSpaceDN w:val="0"/>
        <w:spacing w:before="40" w:after="0"/>
        <w:ind w:left="360" w:right="259" w:hanging="360"/>
        <w:contextualSpacing w:val="0"/>
      </w:pPr>
      <w:r w:rsidRPr="00AA4677">
        <w:t xml:space="preserve">Stony Brook University remains responsible for the conduct of the research in which it engages. Research reviewed by external IRBs remains subject to review, acknowledgement, oversight, and monitoring by SBU (in cooperation with the reviewing IRB when appropriate) and must adhere to all applicable policies, procedures, and requirements of the University HRPP. As with SBU IRB-reviewed research, officials of SBU may not </w:t>
      </w:r>
      <w:proofErr w:type="gramStart"/>
      <w:r w:rsidRPr="00AA4677">
        <w:t>approve</w:t>
      </w:r>
      <w:proofErr w:type="gramEnd"/>
      <w:r w:rsidRPr="00AA4677">
        <w:t xml:space="preserve"> research that is subject to a reliance agreement if it has not been approved by the reviewing IRB. See section 17.16.4 for possible exceptions to external IRB vs. SBU responsibilities. ORC is responsible for notifying the reviewing IRB when SBU policies that may impact IRB review are</w:t>
      </w:r>
      <w:r w:rsidRPr="00AA4677">
        <w:rPr>
          <w:spacing w:val="-11"/>
        </w:rPr>
        <w:t xml:space="preserve"> </w:t>
      </w:r>
      <w:r w:rsidRPr="00AA4677">
        <w:t>updated.</w:t>
      </w:r>
    </w:p>
    <w:p w14:paraId="46CF82D7" w14:textId="1C5C94E1" w:rsidR="000D48AF" w:rsidRPr="00AA4677" w:rsidRDefault="0040284F" w:rsidP="005920B2">
      <w:pPr>
        <w:widowControl w:val="0"/>
        <w:tabs>
          <w:tab w:val="left" w:pos="379"/>
        </w:tabs>
        <w:autoSpaceDE w:val="0"/>
        <w:autoSpaceDN w:val="0"/>
        <w:spacing w:before="157" w:after="0" w:line="240" w:lineRule="auto"/>
        <w:rPr>
          <w:b/>
        </w:rPr>
      </w:pPr>
      <w:r w:rsidRPr="00AA4677">
        <w:rPr>
          <w:b/>
        </w:rPr>
        <w:t>17.1</w:t>
      </w:r>
      <w:r w:rsidR="00785476" w:rsidRPr="00AA4677">
        <w:rPr>
          <w:b/>
        </w:rPr>
        <w:t>7</w:t>
      </w:r>
      <w:r w:rsidRPr="00AA4677">
        <w:rPr>
          <w:b/>
        </w:rPr>
        <w:t xml:space="preserve">.5.1 </w:t>
      </w:r>
      <w:r w:rsidR="000D48AF" w:rsidRPr="00AA4677">
        <w:rPr>
          <w:b/>
        </w:rPr>
        <w:t>Responsibilities of the SBU Investigator When Using an External</w:t>
      </w:r>
      <w:r w:rsidR="000D48AF" w:rsidRPr="00AA4677">
        <w:rPr>
          <w:b/>
          <w:spacing w:val="-10"/>
        </w:rPr>
        <w:t xml:space="preserve"> </w:t>
      </w:r>
      <w:r w:rsidR="000D48AF" w:rsidRPr="00AA4677">
        <w:rPr>
          <w:b/>
        </w:rPr>
        <w:t>IRB</w:t>
      </w:r>
    </w:p>
    <w:p w14:paraId="2E641544" w14:textId="77777777" w:rsidR="00792B40" w:rsidRPr="00AA4677" w:rsidRDefault="00792B40" w:rsidP="005920B2">
      <w:pPr>
        <w:pStyle w:val="Heading1"/>
      </w:pPr>
    </w:p>
    <w:p w14:paraId="21DB42F5" w14:textId="4AD0268F" w:rsidR="000D48AF" w:rsidRPr="00AA4677" w:rsidRDefault="000D48AF" w:rsidP="00792B40">
      <w:r w:rsidRPr="00AA4677">
        <w:t>General Compliance Requirement:</w:t>
      </w:r>
    </w:p>
    <w:p w14:paraId="73A4641A" w14:textId="77777777" w:rsidR="000D48AF" w:rsidRPr="00AA4677" w:rsidRDefault="000D48AF">
      <w:pPr>
        <w:pStyle w:val="ListParagraph"/>
        <w:widowControl w:val="0"/>
        <w:numPr>
          <w:ilvl w:val="1"/>
          <w:numId w:val="305"/>
        </w:numPr>
        <w:tabs>
          <w:tab w:val="left" w:pos="720"/>
        </w:tabs>
        <w:autoSpaceDE w:val="0"/>
        <w:autoSpaceDN w:val="0"/>
        <w:spacing w:before="24" w:after="0"/>
        <w:ind w:left="360" w:right="152"/>
        <w:contextualSpacing w:val="0"/>
      </w:pPr>
      <w:r w:rsidRPr="00AA4677">
        <w:t xml:space="preserve">The SBU Investigator must be familiar </w:t>
      </w:r>
      <w:proofErr w:type="gramStart"/>
      <w:r w:rsidRPr="00AA4677">
        <w:t>with, and</w:t>
      </w:r>
      <w:proofErr w:type="gramEnd"/>
      <w:r w:rsidRPr="00AA4677">
        <w:t xml:space="preserve"> comply with the external IRB’s policies and procedures for initial and continuing review, record keeping, prompt reporting, and any additional requirements or procedures outlined in the IRB reliance agreement or companion materials (e.g., reliance SOPs). All information requested by the reviewing IRB must be provided in a timely manner.</w:t>
      </w:r>
    </w:p>
    <w:p w14:paraId="04A13502" w14:textId="77777777" w:rsidR="000D48AF" w:rsidRPr="00AA4677" w:rsidRDefault="000D48AF">
      <w:pPr>
        <w:pStyle w:val="ListParagraph"/>
        <w:widowControl w:val="0"/>
        <w:numPr>
          <w:ilvl w:val="1"/>
          <w:numId w:val="305"/>
        </w:numPr>
        <w:tabs>
          <w:tab w:val="left" w:pos="720"/>
        </w:tabs>
        <w:autoSpaceDE w:val="0"/>
        <w:autoSpaceDN w:val="0"/>
        <w:spacing w:after="0" w:line="252" w:lineRule="auto"/>
        <w:ind w:left="360" w:right="309"/>
        <w:contextualSpacing w:val="0"/>
      </w:pPr>
      <w:r w:rsidRPr="00AA4677">
        <w:t>Expectations of PI compliance, as detailed in these SOPs, remain in place regardless of the reviewing</w:t>
      </w:r>
      <w:r w:rsidRPr="00AA4677">
        <w:rPr>
          <w:spacing w:val="-3"/>
        </w:rPr>
        <w:t xml:space="preserve"> </w:t>
      </w:r>
      <w:r w:rsidRPr="00AA4677">
        <w:t>IRB.</w:t>
      </w:r>
    </w:p>
    <w:p w14:paraId="377B2F12" w14:textId="77777777" w:rsidR="000D48AF" w:rsidRPr="00AA4677" w:rsidRDefault="000D48AF">
      <w:pPr>
        <w:pStyle w:val="ListParagraph"/>
        <w:widowControl w:val="0"/>
        <w:numPr>
          <w:ilvl w:val="1"/>
          <w:numId w:val="305"/>
        </w:numPr>
        <w:tabs>
          <w:tab w:val="left" w:pos="720"/>
        </w:tabs>
        <w:autoSpaceDE w:val="0"/>
        <w:autoSpaceDN w:val="0"/>
        <w:spacing w:after="0" w:line="256" w:lineRule="auto"/>
        <w:ind w:left="360" w:right="297"/>
        <w:contextualSpacing w:val="0"/>
      </w:pPr>
      <w:r w:rsidRPr="00AA4677">
        <w:t xml:space="preserve">Even though the External IRB may be reviewing the study, the study must not begin at SBU until all HSR training, COI disclosure, and required ancillary reviews and certifications (e.g., Chair endorsement, University Hospital </w:t>
      </w:r>
      <w:proofErr w:type="gramStart"/>
      <w:r w:rsidRPr="00AA4677">
        <w:t>sign-offs</w:t>
      </w:r>
      <w:proofErr w:type="gramEnd"/>
      <w:r w:rsidRPr="00AA4677">
        <w:t>, IBC, RDRC etc. have been</w:t>
      </w:r>
      <w:r w:rsidRPr="00AA4677">
        <w:rPr>
          <w:spacing w:val="-1"/>
        </w:rPr>
        <w:t xml:space="preserve"> </w:t>
      </w:r>
      <w:r w:rsidRPr="00AA4677">
        <w:t>satisfied)</w:t>
      </w:r>
    </w:p>
    <w:p w14:paraId="0BC998DD" w14:textId="77777777" w:rsidR="000D48AF" w:rsidRPr="00AA4677" w:rsidRDefault="000D48AF">
      <w:pPr>
        <w:pStyle w:val="ListParagraph"/>
        <w:widowControl w:val="0"/>
        <w:numPr>
          <w:ilvl w:val="1"/>
          <w:numId w:val="305"/>
        </w:numPr>
        <w:tabs>
          <w:tab w:val="left" w:pos="720"/>
        </w:tabs>
        <w:autoSpaceDE w:val="0"/>
        <w:autoSpaceDN w:val="0"/>
        <w:spacing w:after="0" w:line="256" w:lineRule="auto"/>
        <w:ind w:left="360" w:right="297"/>
        <w:contextualSpacing w:val="0"/>
      </w:pPr>
      <w:r w:rsidRPr="00AA4677">
        <w:t xml:space="preserve">Relevant ancillary reviews conducted by Stony Brook University will be made available to </w:t>
      </w:r>
      <w:r w:rsidRPr="00AA4677">
        <w:lastRenderedPageBreak/>
        <w:t>the reviewing IRB as outlined in the communication plan or Master Service Agreement.</w:t>
      </w:r>
    </w:p>
    <w:p w14:paraId="463E508C" w14:textId="65EFC92D" w:rsidR="000D48AF" w:rsidRPr="00AA4677" w:rsidRDefault="000D48AF" w:rsidP="000D48AF">
      <w:pPr>
        <w:pStyle w:val="BodyText"/>
        <w:spacing w:before="1"/>
        <w:rPr>
          <w:sz w:val="26"/>
        </w:rPr>
      </w:pPr>
    </w:p>
    <w:p w14:paraId="5FA4DEDA" w14:textId="77777777" w:rsidR="000D48AF" w:rsidRPr="00AA4677" w:rsidRDefault="000D48AF" w:rsidP="00792B40">
      <w:pPr>
        <w:rPr>
          <w:b/>
        </w:rPr>
      </w:pPr>
      <w:r w:rsidRPr="00AA4677">
        <w:t>Institutional Registration</w:t>
      </w:r>
      <w:r w:rsidRPr="00AA4677">
        <w:rPr>
          <w:spacing w:val="1"/>
        </w:rPr>
        <w:t xml:space="preserve"> </w:t>
      </w:r>
      <w:r w:rsidRPr="00AA4677">
        <w:t>Requirement:</w:t>
      </w:r>
    </w:p>
    <w:p w14:paraId="530642C9" w14:textId="17635F57" w:rsidR="000D48AF" w:rsidRPr="00AA4677" w:rsidRDefault="000D48AF" w:rsidP="005920B2">
      <w:pPr>
        <w:pStyle w:val="BodyText"/>
        <w:spacing w:before="24" w:line="259" w:lineRule="auto"/>
        <w:ind w:right="459"/>
        <w:rPr>
          <w:rFonts w:asciiTheme="minorHAnsi" w:hAnsiTheme="minorHAnsi"/>
        </w:rPr>
      </w:pPr>
      <w:r w:rsidRPr="00AA4677">
        <w:rPr>
          <w:rFonts w:asciiTheme="minorHAnsi" w:hAnsiTheme="minorHAnsi"/>
        </w:rPr>
        <w:t xml:space="preserve">Studies that will be reviewed by external IRBs must be registered with SBU via myResearch IRB. Details for this registration requirement are available on the SBU website at </w:t>
      </w:r>
      <w:hyperlink r:id="rId166" w:history="1">
        <w:r w:rsidRPr="00696B35">
          <w:rPr>
            <w:rStyle w:val="Hyperlink"/>
            <w:rFonts w:asciiTheme="minorHAnsi" w:hAnsiTheme="minorHAnsi"/>
          </w:rPr>
          <w:t>https://www.stonybrook.edu/commcms/research-compliance/External-IRBs/index.php</w:t>
        </w:r>
      </w:hyperlink>
    </w:p>
    <w:p w14:paraId="695A1B47" w14:textId="48C4E88D" w:rsidR="000D48AF" w:rsidRPr="00AA4677" w:rsidRDefault="000D48AF" w:rsidP="005920B2">
      <w:pPr>
        <w:pStyle w:val="BodyText"/>
        <w:spacing w:before="160" w:line="259" w:lineRule="auto"/>
        <w:ind w:right="188"/>
        <w:rPr>
          <w:rFonts w:asciiTheme="minorHAnsi" w:hAnsiTheme="minorHAnsi"/>
        </w:rPr>
      </w:pPr>
      <w:r w:rsidRPr="00AA4677">
        <w:rPr>
          <w:rFonts w:asciiTheme="minorHAnsi" w:hAnsiTheme="minorHAnsi"/>
        </w:rPr>
        <w:t xml:space="preserve">The Reliance Administrator will review the information and verify that CITI training, COI review, and any other applicable approvals or requirements have been </w:t>
      </w:r>
      <w:proofErr w:type="gramStart"/>
      <w:r w:rsidRPr="00AA4677">
        <w:rPr>
          <w:rFonts w:asciiTheme="minorHAnsi" w:hAnsiTheme="minorHAnsi"/>
        </w:rPr>
        <w:t>completed, and</w:t>
      </w:r>
      <w:proofErr w:type="gramEnd"/>
      <w:r w:rsidRPr="00AA4677">
        <w:rPr>
          <w:rFonts w:asciiTheme="minorHAnsi" w:hAnsiTheme="minorHAnsi"/>
        </w:rPr>
        <w:t xml:space="preserve"> determine the need for relaying local context information to the external IRB in accordance with the reliance agreement. Where waivers or alterations of HIPAA authorization are </w:t>
      </w:r>
      <w:r w:rsidRPr="004129F5">
        <w:rPr>
          <w:rFonts w:asciiTheme="minorHAnsi" w:hAnsiTheme="minorHAnsi"/>
        </w:rPr>
        <w:t>requested, and the external IRB will not be responsible for review (e.g., studies reviewed by the NCI CIRB), the Reliance Administrator will forward such requests to an SBU IRB Chair or a designated expedited reviewer for review. The Reliance Administrator will notify the investigators by e-mail or via m</w:t>
      </w:r>
      <w:r w:rsidR="001A652A" w:rsidRPr="004129F5">
        <w:rPr>
          <w:rFonts w:asciiTheme="minorHAnsi" w:hAnsiTheme="minorHAnsi"/>
        </w:rPr>
        <w:t xml:space="preserve">yResearch IRB once the proposed </w:t>
      </w:r>
      <w:r w:rsidRPr="004129F5">
        <w:rPr>
          <w:rFonts w:asciiTheme="minorHAnsi" w:hAnsiTheme="minorHAnsi"/>
        </w:rPr>
        <w:t>research has been cleared for submission to the external IRB. Once</w:t>
      </w:r>
      <w:r w:rsidRPr="00AA4677">
        <w:rPr>
          <w:rFonts w:asciiTheme="minorHAnsi" w:hAnsiTheme="minorHAnsi"/>
        </w:rPr>
        <w:t xml:space="preserve"> approved by</w:t>
      </w:r>
      <w:r w:rsidRPr="00AA4677">
        <w:rPr>
          <w:rFonts w:asciiTheme="minorHAnsi" w:hAnsiTheme="minorHAnsi"/>
          <w:spacing w:val="-33"/>
        </w:rPr>
        <w:t xml:space="preserve"> </w:t>
      </w:r>
      <w:r w:rsidRPr="00AA4677">
        <w:rPr>
          <w:rFonts w:asciiTheme="minorHAnsi" w:hAnsiTheme="minorHAnsi"/>
        </w:rPr>
        <w:t>the external IRB, investigators must submit in myResearch IRB a copy of the approval letter, any approved consent document(s), and local recruitment materials. If the protocol was modified during the external IRB review process, the approved version of the protocol should be provided as well.</w:t>
      </w:r>
    </w:p>
    <w:p w14:paraId="133A1A49" w14:textId="77777777" w:rsidR="005920B2" w:rsidRPr="00AA4677" w:rsidRDefault="005920B2" w:rsidP="005920B2">
      <w:pPr>
        <w:pStyle w:val="Heading1"/>
      </w:pPr>
    </w:p>
    <w:p w14:paraId="40D56B0E" w14:textId="4E1BDB3B" w:rsidR="000D48AF" w:rsidRPr="00AA4677" w:rsidRDefault="000D48AF" w:rsidP="00792B40">
      <w:pPr>
        <w:rPr>
          <w:b/>
        </w:rPr>
      </w:pPr>
      <w:r w:rsidRPr="00AA4677">
        <w:t>Post-IRB Approval</w:t>
      </w:r>
      <w:r w:rsidRPr="00AA4677">
        <w:rPr>
          <w:spacing w:val="-2"/>
        </w:rPr>
        <w:t xml:space="preserve"> </w:t>
      </w:r>
      <w:r w:rsidRPr="00AA4677">
        <w:t>Requirements:</w:t>
      </w:r>
    </w:p>
    <w:p w14:paraId="5678C004" w14:textId="77777777" w:rsidR="000D48AF" w:rsidRPr="00AA4677" w:rsidRDefault="000D48AF">
      <w:pPr>
        <w:pStyle w:val="ListParagraph"/>
        <w:widowControl w:val="0"/>
        <w:numPr>
          <w:ilvl w:val="1"/>
          <w:numId w:val="306"/>
        </w:numPr>
        <w:tabs>
          <w:tab w:val="left" w:pos="720"/>
        </w:tabs>
        <w:autoSpaceDE w:val="0"/>
        <w:autoSpaceDN w:val="0"/>
        <w:spacing w:before="24" w:after="0" w:line="256" w:lineRule="auto"/>
        <w:ind w:left="360" w:right="189"/>
        <w:contextualSpacing w:val="0"/>
      </w:pPr>
      <w:r w:rsidRPr="00AA4677">
        <w:t xml:space="preserve">Investigators approved through external IRB review must report local unanticipated problems, complaints, and any noncompliance to the ORC via myResearch IRB </w:t>
      </w:r>
      <w:r w:rsidRPr="00AA4677">
        <w:rPr>
          <w:b/>
        </w:rPr>
        <w:t xml:space="preserve">in addition to </w:t>
      </w:r>
      <w:r w:rsidRPr="00AA4677">
        <w:t>reporting to the external IRB. Copies of the report submitted to the external IRB are generally acceptable, but additional information may be requested on an as needed</w:t>
      </w:r>
      <w:r w:rsidRPr="00AA4677">
        <w:rPr>
          <w:spacing w:val="-4"/>
        </w:rPr>
        <w:t xml:space="preserve"> </w:t>
      </w:r>
      <w:r w:rsidRPr="00AA4677">
        <w:t xml:space="preserve">basis. External IRB review </w:t>
      </w:r>
      <w:proofErr w:type="gramStart"/>
      <w:r w:rsidRPr="00AA4677">
        <w:t>outcome</w:t>
      </w:r>
      <w:proofErr w:type="gramEnd"/>
      <w:r w:rsidRPr="00AA4677">
        <w:t xml:space="preserve"> of reportable events must be provided as soon as it is available.</w:t>
      </w:r>
    </w:p>
    <w:p w14:paraId="716B41AD" w14:textId="77777777" w:rsidR="000D48AF" w:rsidRPr="00AA4677" w:rsidRDefault="000D48AF">
      <w:pPr>
        <w:pStyle w:val="ListParagraph"/>
        <w:widowControl w:val="0"/>
        <w:numPr>
          <w:ilvl w:val="1"/>
          <w:numId w:val="306"/>
        </w:numPr>
        <w:tabs>
          <w:tab w:val="left" w:pos="720"/>
        </w:tabs>
        <w:autoSpaceDE w:val="0"/>
        <w:autoSpaceDN w:val="0"/>
        <w:spacing w:before="4" w:after="0" w:line="256" w:lineRule="auto"/>
        <w:ind w:left="360" w:right="158"/>
        <w:contextualSpacing w:val="0"/>
      </w:pPr>
      <w:r w:rsidRPr="00AA4677">
        <w:t>Investigators</w:t>
      </w:r>
      <w:r w:rsidRPr="00AA4677">
        <w:rPr>
          <w:spacing w:val="-5"/>
        </w:rPr>
        <w:t xml:space="preserve"> </w:t>
      </w:r>
      <w:r w:rsidRPr="00AA4677">
        <w:t>must</w:t>
      </w:r>
      <w:r w:rsidRPr="00AA4677">
        <w:rPr>
          <w:spacing w:val="-2"/>
        </w:rPr>
        <w:t xml:space="preserve"> </w:t>
      </w:r>
      <w:r w:rsidRPr="00AA4677">
        <w:t>also</w:t>
      </w:r>
      <w:r w:rsidRPr="00AA4677">
        <w:rPr>
          <w:spacing w:val="-3"/>
        </w:rPr>
        <w:t xml:space="preserve"> </w:t>
      </w:r>
      <w:r w:rsidRPr="00AA4677">
        <w:t>submit</w:t>
      </w:r>
      <w:r w:rsidRPr="00AA4677">
        <w:rPr>
          <w:spacing w:val="-4"/>
        </w:rPr>
        <w:t xml:space="preserve"> </w:t>
      </w:r>
      <w:r w:rsidRPr="00AA4677">
        <w:t>copies</w:t>
      </w:r>
      <w:r w:rsidRPr="00AA4677">
        <w:rPr>
          <w:spacing w:val="-3"/>
        </w:rPr>
        <w:t xml:space="preserve"> </w:t>
      </w:r>
      <w:r w:rsidRPr="00AA4677">
        <w:t>of</w:t>
      </w:r>
      <w:r w:rsidRPr="00AA4677">
        <w:rPr>
          <w:spacing w:val="-4"/>
        </w:rPr>
        <w:t xml:space="preserve"> </w:t>
      </w:r>
      <w:r w:rsidRPr="00AA4677">
        <w:t>continuing</w:t>
      </w:r>
      <w:r w:rsidRPr="00AA4677">
        <w:rPr>
          <w:spacing w:val="-4"/>
        </w:rPr>
        <w:t xml:space="preserve"> </w:t>
      </w:r>
      <w:r w:rsidRPr="00AA4677">
        <w:t>review</w:t>
      </w:r>
      <w:r w:rsidRPr="00AA4677">
        <w:rPr>
          <w:spacing w:val="-5"/>
        </w:rPr>
        <w:t xml:space="preserve"> </w:t>
      </w:r>
      <w:r w:rsidRPr="00AA4677">
        <w:t>reports,</w:t>
      </w:r>
      <w:r w:rsidRPr="00AA4677">
        <w:rPr>
          <w:spacing w:val="-7"/>
        </w:rPr>
        <w:t xml:space="preserve"> </w:t>
      </w:r>
      <w:r w:rsidRPr="00AA4677">
        <w:t>updated</w:t>
      </w:r>
      <w:r w:rsidRPr="00AA4677">
        <w:rPr>
          <w:spacing w:val="-4"/>
        </w:rPr>
        <w:t xml:space="preserve"> </w:t>
      </w:r>
      <w:r w:rsidRPr="00AA4677">
        <w:t>protocols, updated consent forms, study closures and corresponding IRB approval or acknowledgment. Other documentation must be provided upon request.</w:t>
      </w:r>
    </w:p>
    <w:p w14:paraId="3AC37D17" w14:textId="02662179" w:rsidR="000D48AF" w:rsidRPr="00AA4677" w:rsidRDefault="000D48AF">
      <w:pPr>
        <w:pStyle w:val="ListParagraph"/>
        <w:widowControl w:val="0"/>
        <w:numPr>
          <w:ilvl w:val="1"/>
          <w:numId w:val="306"/>
        </w:numPr>
        <w:tabs>
          <w:tab w:val="left" w:pos="720"/>
        </w:tabs>
        <w:autoSpaceDE w:val="0"/>
        <w:autoSpaceDN w:val="0"/>
        <w:spacing w:before="3" w:after="0" w:line="256" w:lineRule="auto"/>
        <w:ind w:left="360" w:right="198"/>
        <w:contextualSpacing w:val="0"/>
      </w:pPr>
      <w:r w:rsidRPr="00AA4677">
        <w:t>Changes in PI and the addition of other research team members must be submitted</w:t>
      </w:r>
      <w:r w:rsidRPr="00AA4677">
        <w:rPr>
          <w:spacing w:val="-33"/>
        </w:rPr>
        <w:t xml:space="preserve"> </w:t>
      </w:r>
      <w:r w:rsidRPr="00AA4677">
        <w:t xml:space="preserve">to the ORC via the IRB </w:t>
      </w:r>
      <w:r w:rsidR="00462D16" w:rsidRPr="00AA4677">
        <w:t xml:space="preserve">electronic </w:t>
      </w:r>
      <w:r w:rsidRPr="00AA4677">
        <w:t xml:space="preserve">management system prior to the new PI or research team member assuming any study responsibilities. CITI </w:t>
      </w:r>
      <w:proofErr w:type="gramStart"/>
      <w:r w:rsidRPr="00AA4677">
        <w:t>trainings</w:t>
      </w:r>
      <w:proofErr w:type="gramEnd"/>
      <w:r w:rsidRPr="00AA4677">
        <w:t>, COI review, and any other applicable requirements will be</w:t>
      </w:r>
      <w:r w:rsidRPr="00AA4677">
        <w:rPr>
          <w:spacing w:val="-1"/>
        </w:rPr>
        <w:t xml:space="preserve"> </w:t>
      </w:r>
      <w:r w:rsidRPr="00AA4677">
        <w:t>verified.</w:t>
      </w:r>
    </w:p>
    <w:p w14:paraId="78A29CEA" w14:textId="77777777" w:rsidR="000D48AF" w:rsidRPr="00AA4677" w:rsidRDefault="000D48AF">
      <w:pPr>
        <w:pStyle w:val="ListParagraph"/>
        <w:widowControl w:val="0"/>
        <w:numPr>
          <w:ilvl w:val="1"/>
          <w:numId w:val="227"/>
        </w:numPr>
        <w:tabs>
          <w:tab w:val="left" w:pos="720"/>
        </w:tabs>
        <w:autoSpaceDE w:val="0"/>
        <w:autoSpaceDN w:val="0"/>
        <w:spacing w:before="1" w:after="0" w:line="254" w:lineRule="auto"/>
        <w:ind w:left="720" w:right="434"/>
        <w:contextualSpacing w:val="0"/>
      </w:pPr>
      <w:r w:rsidRPr="00AA4677">
        <w:t>Notices about, and reports from, DSMB’s, external monitors, auditors, or inspectors must be provided to the ORC via the IRB management</w:t>
      </w:r>
      <w:r w:rsidRPr="00AA4677">
        <w:rPr>
          <w:spacing w:val="-12"/>
        </w:rPr>
        <w:t xml:space="preserve"> </w:t>
      </w:r>
      <w:r w:rsidRPr="00AA4677">
        <w:t>system.</w:t>
      </w:r>
    </w:p>
    <w:p w14:paraId="116ABABE" w14:textId="77777777" w:rsidR="000D48AF" w:rsidRPr="00AA4677" w:rsidRDefault="000D48AF">
      <w:pPr>
        <w:pStyle w:val="ListParagraph"/>
        <w:widowControl w:val="0"/>
        <w:numPr>
          <w:ilvl w:val="1"/>
          <w:numId w:val="227"/>
        </w:numPr>
        <w:tabs>
          <w:tab w:val="left" w:pos="720"/>
        </w:tabs>
        <w:autoSpaceDE w:val="0"/>
        <w:autoSpaceDN w:val="0"/>
        <w:spacing w:before="5" w:after="0" w:line="254" w:lineRule="auto"/>
        <w:ind w:left="720" w:right="1087"/>
        <w:contextualSpacing w:val="0"/>
      </w:pPr>
      <w:r w:rsidRPr="00AA4677">
        <w:t xml:space="preserve">In general, Investigators are reminded that all other University reporting </w:t>
      </w:r>
      <w:r w:rsidRPr="00AA4677">
        <w:lastRenderedPageBreak/>
        <w:t>requirements, such as to Compliance, Privacy, and Risk Management,</w:t>
      </w:r>
      <w:r w:rsidRPr="00AA4677">
        <w:rPr>
          <w:spacing w:val="-31"/>
        </w:rPr>
        <w:t xml:space="preserve"> </w:t>
      </w:r>
      <w:r w:rsidRPr="00AA4677">
        <w:t>remain applicable in addition to HRPP reporting</w:t>
      </w:r>
      <w:r w:rsidRPr="00AA4677">
        <w:rPr>
          <w:spacing w:val="-4"/>
        </w:rPr>
        <w:t xml:space="preserve"> </w:t>
      </w:r>
      <w:r w:rsidRPr="00AA4677">
        <w:t>requirements.</w:t>
      </w:r>
    </w:p>
    <w:p w14:paraId="5290139F" w14:textId="212B540B" w:rsidR="000D48AF" w:rsidRPr="00AA4677" w:rsidRDefault="000D48AF" w:rsidP="000D48AF">
      <w:pPr>
        <w:pStyle w:val="BodyText"/>
        <w:spacing w:before="4"/>
        <w:rPr>
          <w:sz w:val="20"/>
        </w:rPr>
      </w:pPr>
    </w:p>
    <w:p w14:paraId="48365F03" w14:textId="69F31533" w:rsidR="000D48AF" w:rsidRPr="00AA4677" w:rsidRDefault="0040284F" w:rsidP="00792B40">
      <w:pPr>
        <w:rPr>
          <w:b/>
        </w:rPr>
      </w:pPr>
      <w:r w:rsidRPr="00AA4677">
        <w:rPr>
          <w:b/>
        </w:rPr>
        <w:t>17.1</w:t>
      </w:r>
      <w:r w:rsidR="00785476" w:rsidRPr="00AA4677">
        <w:rPr>
          <w:b/>
        </w:rPr>
        <w:t>7</w:t>
      </w:r>
      <w:r w:rsidRPr="00AA4677">
        <w:rPr>
          <w:b/>
        </w:rPr>
        <w:t xml:space="preserve">.6 </w:t>
      </w:r>
      <w:r w:rsidR="000D48AF" w:rsidRPr="00AA4677">
        <w:rPr>
          <w:b/>
        </w:rPr>
        <w:t>Exceptions to IRB vs. Local Site</w:t>
      </w:r>
      <w:r w:rsidR="000D48AF" w:rsidRPr="00AA4677">
        <w:rPr>
          <w:b/>
          <w:spacing w:val="1"/>
        </w:rPr>
        <w:t xml:space="preserve"> </w:t>
      </w:r>
      <w:r w:rsidR="000D48AF" w:rsidRPr="00AA4677">
        <w:rPr>
          <w:b/>
        </w:rPr>
        <w:t>Responsibilities</w:t>
      </w:r>
    </w:p>
    <w:p w14:paraId="68E7D6D2" w14:textId="77777777" w:rsidR="000D48AF" w:rsidRPr="00AA4677" w:rsidRDefault="000D48AF" w:rsidP="001A652A">
      <w:pPr>
        <w:pStyle w:val="BodyText"/>
        <w:spacing w:line="259" w:lineRule="auto"/>
        <w:ind w:right="751"/>
        <w:jc w:val="both"/>
        <w:rPr>
          <w:rFonts w:asciiTheme="minorHAnsi" w:hAnsiTheme="minorHAnsi"/>
        </w:rPr>
      </w:pPr>
      <w:r w:rsidRPr="00AA4677">
        <w:rPr>
          <w:rFonts w:asciiTheme="minorHAnsi" w:hAnsiTheme="minorHAnsi"/>
        </w:rPr>
        <w:t>Certain areas of responsibility can be handled by either the reviewing IRB</w:t>
      </w:r>
      <w:r w:rsidRPr="00AA4677">
        <w:rPr>
          <w:rFonts w:asciiTheme="minorHAnsi" w:hAnsiTheme="minorHAnsi"/>
          <w:spacing w:val="-39"/>
        </w:rPr>
        <w:t xml:space="preserve"> </w:t>
      </w:r>
      <w:r w:rsidRPr="00AA4677">
        <w:rPr>
          <w:rFonts w:asciiTheme="minorHAnsi" w:hAnsiTheme="minorHAnsi"/>
        </w:rPr>
        <w:t>or the local site, provided they have been agreed to in the reliance agreement or outlined in a companion document. For example, alternative procedures may be used for any of the</w:t>
      </w:r>
      <w:r w:rsidRPr="00AA4677">
        <w:rPr>
          <w:rFonts w:asciiTheme="minorHAnsi" w:hAnsiTheme="minorHAnsi"/>
          <w:spacing w:val="-24"/>
        </w:rPr>
        <w:t xml:space="preserve"> </w:t>
      </w:r>
      <w:r w:rsidRPr="00AA4677">
        <w:rPr>
          <w:rFonts w:asciiTheme="minorHAnsi" w:hAnsiTheme="minorHAnsi"/>
        </w:rPr>
        <w:t>following:</w:t>
      </w:r>
    </w:p>
    <w:p w14:paraId="2129233D" w14:textId="77777777" w:rsidR="000D48AF" w:rsidRPr="00AA4677" w:rsidRDefault="000D48AF">
      <w:pPr>
        <w:pStyle w:val="ListParagraph"/>
        <w:widowControl w:val="0"/>
        <w:numPr>
          <w:ilvl w:val="0"/>
          <w:numId w:val="221"/>
        </w:numPr>
        <w:tabs>
          <w:tab w:val="left" w:pos="360"/>
        </w:tabs>
        <w:autoSpaceDE w:val="0"/>
        <w:autoSpaceDN w:val="0"/>
        <w:spacing w:before="161" w:after="0" w:line="240" w:lineRule="auto"/>
        <w:ind w:left="0" w:firstLine="0"/>
        <w:contextualSpacing w:val="0"/>
      </w:pPr>
      <w:r w:rsidRPr="00AA4677">
        <w:t>Conducting and documenting scientific</w:t>
      </w:r>
      <w:r w:rsidRPr="00AA4677">
        <w:rPr>
          <w:spacing w:val="-4"/>
        </w:rPr>
        <w:t xml:space="preserve"> </w:t>
      </w:r>
      <w:r w:rsidRPr="00AA4677">
        <w:t>review</w:t>
      </w:r>
    </w:p>
    <w:p w14:paraId="423992AF" w14:textId="77777777" w:rsidR="000D48AF" w:rsidRPr="00AA4677" w:rsidRDefault="000D48AF">
      <w:pPr>
        <w:pStyle w:val="ListParagraph"/>
        <w:widowControl w:val="0"/>
        <w:numPr>
          <w:ilvl w:val="0"/>
          <w:numId w:val="221"/>
        </w:numPr>
        <w:tabs>
          <w:tab w:val="left" w:pos="360"/>
        </w:tabs>
        <w:autoSpaceDE w:val="0"/>
        <w:autoSpaceDN w:val="0"/>
        <w:spacing w:after="0" w:line="240" w:lineRule="auto"/>
        <w:ind w:left="360" w:right="711"/>
        <w:contextualSpacing w:val="0"/>
      </w:pPr>
      <w:r w:rsidRPr="00AA4677">
        <w:t xml:space="preserve">Management and documentation of ancillary reviews and institutional permissions for </w:t>
      </w:r>
      <w:proofErr w:type="gramStart"/>
      <w:r w:rsidRPr="00AA4677">
        <w:t>research;</w:t>
      </w:r>
      <w:proofErr w:type="gramEnd"/>
    </w:p>
    <w:p w14:paraId="35BD0DE7" w14:textId="77777777" w:rsidR="000D48AF" w:rsidRPr="00AA4677" w:rsidRDefault="000D48AF">
      <w:pPr>
        <w:pStyle w:val="ListParagraph"/>
        <w:widowControl w:val="0"/>
        <w:numPr>
          <w:ilvl w:val="0"/>
          <w:numId w:val="221"/>
        </w:numPr>
        <w:tabs>
          <w:tab w:val="left" w:pos="360"/>
        </w:tabs>
        <w:autoSpaceDE w:val="0"/>
        <w:autoSpaceDN w:val="0"/>
        <w:spacing w:after="0" w:line="240" w:lineRule="auto"/>
        <w:ind w:left="360" w:right="1032"/>
        <w:contextualSpacing w:val="0"/>
      </w:pPr>
      <w:r w:rsidRPr="00AA4677">
        <w:t>Training requirements and verification of qualifications and credentials for external investigators and</w:t>
      </w:r>
      <w:r w:rsidRPr="00AA4677">
        <w:rPr>
          <w:spacing w:val="-2"/>
        </w:rPr>
        <w:t xml:space="preserve"> </w:t>
      </w:r>
      <w:proofErr w:type="gramStart"/>
      <w:r w:rsidRPr="00AA4677">
        <w:t>staff;</w:t>
      </w:r>
      <w:proofErr w:type="gramEnd"/>
    </w:p>
    <w:p w14:paraId="30CB37F4" w14:textId="77777777" w:rsidR="000D48AF" w:rsidRPr="00AA4677" w:rsidRDefault="000D48AF">
      <w:pPr>
        <w:pStyle w:val="ListParagraph"/>
        <w:widowControl w:val="0"/>
        <w:numPr>
          <w:ilvl w:val="0"/>
          <w:numId w:val="221"/>
        </w:numPr>
        <w:tabs>
          <w:tab w:val="left" w:pos="360"/>
        </w:tabs>
        <w:autoSpaceDE w:val="0"/>
        <w:autoSpaceDN w:val="0"/>
        <w:spacing w:after="0" w:line="293" w:lineRule="exact"/>
        <w:ind w:hanging="500"/>
        <w:contextualSpacing w:val="0"/>
      </w:pPr>
      <w:r w:rsidRPr="00AA4677">
        <w:t>For-cause and not-for-cause compliance</w:t>
      </w:r>
      <w:r w:rsidRPr="00AA4677">
        <w:rPr>
          <w:spacing w:val="-4"/>
        </w:rPr>
        <w:t xml:space="preserve"> </w:t>
      </w:r>
      <w:proofErr w:type="gramStart"/>
      <w:r w:rsidRPr="00AA4677">
        <w:t>reviews;</w:t>
      </w:r>
      <w:proofErr w:type="gramEnd"/>
    </w:p>
    <w:p w14:paraId="7F2E47BB" w14:textId="77777777" w:rsidR="000D48AF" w:rsidRPr="00AA4677" w:rsidRDefault="000D48AF">
      <w:pPr>
        <w:pStyle w:val="ListParagraph"/>
        <w:widowControl w:val="0"/>
        <w:numPr>
          <w:ilvl w:val="0"/>
          <w:numId w:val="221"/>
        </w:numPr>
        <w:tabs>
          <w:tab w:val="left" w:pos="360"/>
        </w:tabs>
        <w:autoSpaceDE w:val="0"/>
        <w:autoSpaceDN w:val="0"/>
        <w:spacing w:before="1" w:after="0" w:line="240" w:lineRule="auto"/>
        <w:ind w:hanging="500"/>
        <w:contextualSpacing w:val="0"/>
      </w:pPr>
      <w:r w:rsidRPr="00AA4677">
        <w:t>Site-specific consent language</w:t>
      </w:r>
    </w:p>
    <w:p w14:paraId="2D82C4B3" w14:textId="77777777" w:rsidR="000D48AF" w:rsidRPr="00AA4677" w:rsidRDefault="000D48AF">
      <w:pPr>
        <w:pStyle w:val="ListParagraph"/>
        <w:widowControl w:val="0"/>
        <w:numPr>
          <w:ilvl w:val="0"/>
          <w:numId w:val="221"/>
        </w:numPr>
        <w:tabs>
          <w:tab w:val="left" w:pos="360"/>
        </w:tabs>
        <w:autoSpaceDE w:val="0"/>
        <w:autoSpaceDN w:val="0"/>
        <w:spacing w:after="0" w:line="240" w:lineRule="auto"/>
        <w:ind w:hanging="500"/>
        <w:contextualSpacing w:val="0"/>
      </w:pPr>
      <w:r w:rsidRPr="00AA4677">
        <w:t>HIPAA compliance</w:t>
      </w:r>
    </w:p>
    <w:p w14:paraId="0CC0D2EF" w14:textId="77777777" w:rsidR="000D48AF" w:rsidRPr="00AA4677" w:rsidRDefault="000D48AF">
      <w:pPr>
        <w:pStyle w:val="ListParagraph"/>
        <w:widowControl w:val="0"/>
        <w:numPr>
          <w:ilvl w:val="0"/>
          <w:numId w:val="221"/>
        </w:numPr>
        <w:tabs>
          <w:tab w:val="left" w:pos="360"/>
        </w:tabs>
        <w:autoSpaceDE w:val="0"/>
        <w:autoSpaceDN w:val="0"/>
        <w:spacing w:after="0" w:line="240" w:lineRule="auto"/>
        <w:ind w:left="360" w:right="434"/>
        <w:contextualSpacing w:val="0"/>
      </w:pPr>
      <w:r w:rsidRPr="00AA4677">
        <w:t xml:space="preserve">Handling of matters concerning </w:t>
      </w:r>
      <w:proofErr w:type="gramStart"/>
      <w:r w:rsidRPr="00AA4677">
        <w:t>noncompliance</w:t>
      </w:r>
      <w:proofErr w:type="gramEnd"/>
      <w:r w:rsidRPr="00AA4677">
        <w:t>, including which institution is responsible for deciding whether each allegation of non-compliance has a basis in fact, whether</w:t>
      </w:r>
      <w:r w:rsidRPr="00AA4677">
        <w:rPr>
          <w:spacing w:val="-23"/>
        </w:rPr>
        <w:t xml:space="preserve"> </w:t>
      </w:r>
      <w:r w:rsidRPr="00AA4677">
        <w:t>an</w:t>
      </w:r>
    </w:p>
    <w:p w14:paraId="5C68CE60" w14:textId="77777777" w:rsidR="000D48AF" w:rsidRPr="00AA4677" w:rsidRDefault="000D48AF" w:rsidP="001A652A">
      <w:pPr>
        <w:pStyle w:val="BodyText"/>
        <w:spacing w:before="40"/>
        <w:ind w:left="360" w:right="378"/>
        <w:rPr>
          <w:rFonts w:asciiTheme="minorHAnsi" w:hAnsiTheme="minorHAnsi"/>
        </w:rPr>
      </w:pPr>
      <w:r w:rsidRPr="00AA4677">
        <w:rPr>
          <w:rFonts w:asciiTheme="minorHAnsi" w:hAnsiTheme="minorHAnsi"/>
        </w:rPr>
        <w:t>incident of noncompliance constitutes serious or continuing noncompliance, and who will handle reporting to federal agencies</w:t>
      </w:r>
    </w:p>
    <w:p w14:paraId="3BC21184" w14:textId="20B5B733" w:rsidR="000D48AF" w:rsidRPr="00AA4677" w:rsidRDefault="000D48AF">
      <w:pPr>
        <w:pStyle w:val="ListParagraph"/>
        <w:widowControl w:val="0"/>
        <w:numPr>
          <w:ilvl w:val="0"/>
          <w:numId w:val="221"/>
        </w:numPr>
        <w:tabs>
          <w:tab w:val="left" w:pos="360"/>
        </w:tabs>
        <w:autoSpaceDE w:val="0"/>
        <w:autoSpaceDN w:val="0"/>
        <w:spacing w:after="0" w:line="240" w:lineRule="auto"/>
        <w:ind w:left="360" w:right="612"/>
        <w:contextualSpacing w:val="0"/>
      </w:pPr>
      <w:r w:rsidRPr="00AA4677">
        <w:t>Handling of unanticipated problems, and responsibility of reporting to federal</w:t>
      </w:r>
      <w:r w:rsidRPr="00AA4677">
        <w:rPr>
          <w:spacing w:val="-33"/>
        </w:rPr>
        <w:t xml:space="preserve"> </w:t>
      </w:r>
      <w:r w:rsidRPr="00AA4677">
        <w:t>agencies when</w:t>
      </w:r>
      <w:r w:rsidRPr="00AA4677">
        <w:rPr>
          <w:spacing w:val="1"/>
        </w:rPr>
        <w:t xml:space="preserve"> </w:t>
      </w:r>
      <w:r w:rsidRPr="00AA4677">
        <w:t>required</w:t>
      </w:r>
    </w:p>
    <w:p w14:paraId="1F26CA39" w14:textId="77777777" w:rsidR="000D48AF" w:rsidRPr="00AA4677" w:rsidRDefault="000D48AF">
      <w:pPr>
        <w:pStyle w:val="ListParagraph"/>
        <w:widowControl w:val="0"/>
        <w:numPr>
          <w:ilvl w:val="0"/>
          <w:numId w:val="221"/>
        </w:numPr>
        <w:tabs>
          <w:tab w:val="left" w:pos="501"/>
        </w:tabs>
        <w:autoSpaceDE w:val="0"/>
        <w:autoSpaceDN w:val="0"/>
        <w:spacing w:after="0" w:line="240" w:lineRule="auto"/>
        <w:ind w:left="360" w:right="472"/>
        <w:contextualSpacing w:val="0"/>
      </w:pPr>
      <w:r w:rsidRPr="00AA4677">
        <w:t>Review of investigator financial disclosures for COI (note: the reviewing IRB must provide final approval of any management plans generated to mitigate investigator</w:t>
      </w:r>
      <w:r w:rsidRPr="00AA4677">
        <w:rPr>
          <w:spacing w:val="-14"/>
        </w:rPr>
        <w:t xml:space="preserve"> </w:t>
      </w:r>
      <w:r w:rsidRPr="00AA4677">
        <w:t>FCOI)</w:t>
      </w:r>
    </w:p>
    <w:p w14:paraId="2E28BB4F" w14:textId="77777777" w:rsidR="000D48AF" w:rsidRPr="00AA4677" w:rsidRDefault="000D48AF">
      <w:pPr>
        <w:pStyle w:val="ListParagraph"/>
        <w:widowControl w:val="0"/>
        <w:numPr>
          <w:ilvl w:val="0"/>
          <w:numId w:val="221"/>
        </w:numPr>
        <w:tabs>
          <w:tab w:val="left" w:pos="501"/>
        </w:tabs>
        <w:autoSpaceDE w:val="0"/>
        <w:autoSpaceDN w:val="0"/>
        <w:spacing w:after="0" w:line="293" w:lineRule="exact"/>
        <w:ind w:left="360"/>
        <w:contextualSpacing w:val="0"/>
      </w:pPr>
      <w:r w:rsidRPr="00AA4677">
        <w:t>Managing organizational conflict of interest relating to the</w:t>
      </w:r>
      <w:r w:rsidRPr="00AA4677">
        <w:rPr>
          <w:spacing w:val="-7"/>
        </w:rPr>
        <w:t xml:space="preserve"> </w:t>
      </w:r>
      <w:r w:rsidRPr="00AA4677">
        <w:t>research</w:t>
      </w:r>
    </w:p>
    <w:p w14:paraId="6BA68DEE" w14:textId="77777777" w:rsidR="000D48AF" w:rsidRPr="00AA4677" w:rsidRDefault="000D48AF">
      <w:pPr>
        <w:pStyle w:val="ListParagraph"/>
        <w:widowControl w:val="0"/>
        <w:numPr>
          <w:ilvl w:val="0"/>
          <w:numId w:val="221"/>
        </w:numPr>
        <w:tabs>
          <w:tab w:val="left" w:pos="501"/>
        </w:tabs>
        <w:autoSpaceDE w:val="0"/>
        <w:autoSpaceDN w:val="0"/>
        <w:spacing w:after="0" w:line="240" w:lineRule="auto"/>
        <w:ind w:left="360"/>
        <w:contextualSpacing w:val="0"/>
      </w:pPr>
      <w:r w:rsidRPr="00AA4677">
        <w:t>Procedures for submission and review of interim reports and continuing review</w:t>
      </w:r>
      <w:r w:rsidRPr="00AA4677">
        <w:rPr>
          <w:spacing w:val="-22"/>
        </w:rPr>
        <w:t xml:space="preserve"> </w:t>
      </w:r>
      <w:r w:rsidRPr="00AA4677">
        <w:t>materials</w:t>
      </w:r>
    </w:p>
    <w:p w14:paraId="6F9FC132" w14:textId="77777777" w:rsidR="000D48AF" w:rsidRPr="00AA4677" w:rsidRDefault="000D48AF">
      <w:pPr>
        <w:pStyle w:val="ListParagraph"/>
        <w:widowControl w:val="0"/>
        <w:numPr>
          <w:ilvl w:val="0"/>
          <w:numId w:val="221"/>
        </w:numPr>
        <w:tabs>
          <w:tab w:val="left" w:pos="501"/>
        </w:tabs>
        <w:autoSpaceDE w:val="0"/>
        <w:autoSpaceDN w:val="0"/>
        <w:spacing w:before="1" w:after="0" w:line="240" w:lineRule="auto"/>
        <w:ind w:left="360" w:right="361"/>
        <w:contextualSpacing w:val="0"/>
      </w:pPr>
      <w:r w:rsidRPr="00AA4677">
        <w:t>The communication of IRB determinations and other information to external investigators and</w:t>
      </w:r>
      <w:r w:rsidRPr="00AA4677">
        <w:rPr>
          <w:spacing w:val="-2"/>
        </w:rPr>
        <w:t xml:space="preserve"> </w:t>
      </w:r>
      <w:r w:rsidRPr="00AA4677">
        <w:t>organizations</w:t>
      </w:r>
    </w:p>
    <w:p w14:paraId="5EC37DFE" w14:textId="77777777" w:rsidR="000D48AF" w:rsidRPr="00AA4677" w:rsidRDefault="000D48AF">
      <w:pPr>
        <w:pStyle w:val="ListParagraph"/>
        <w:widowControl w:val="0"/>
        <w:numPr>
          <w:ilvl w:val="0"/>
          <w:numId w:val="221"/>
        </w:numPr>
        <w:tabs>
          <w:tab w:val="left" w:pos="501"/>
        </w:tabs>
        <w:autoSpaceDE w:val="0"/>
        <w:autoSpaceDN w:val="0"/>
        <w:spacing w:after="0" w:line="240" w:lineRule="auto"/>
        <w:ind w:left="360" w:right="148"/>
        <w:contextualSpacing w:val="0"/>
      </w:pPr>
      <w:r w:rsidRPr="00AA4677">
        <w:t>In the case of the termination of a reliance agreement, identification of the party responsible</w:t>
      </w:r>
      <w:r w:rsidRPr="00AA4677">
        <w:rPr>
          <w:spacing w:val="-5"/>
        </w:rPr>
        <w:t xml:space="preserve"> </w:t>
      </w:r>
      <w:r w:rsidRPr="00AA4677">
        <w:t>for</w:t>
      </w:r>
      <w:r w:rsidRPr="00AA4677">
        <w:rPr>
          <w:spacing w:val="-4"/>
        </w:rPr>
        <w:t xml:space="preserve"> </w:t>
      </w:r>
      <w:r w:rsidRPr="00AA4677">
        <w:t>continued</w:t>
      </w:r>
      <w:r w:rsidRPr="00AA4677">
        <w:rPr>
          <w:spacing w:val="-3"/>
        </w:rPr>
        <w:t xml:space="preserve"> </w:t>
      </w:r>
      <w:r w:rsidRPr="00AA4677">
        <w:t>oversight</w:t>
      </w:r>
      <w:r w:rsidRPr="00AA4677">
        <w:rPr>
          <w:spacing w:val="-4"/>
        </w:rPr>
        <w:t xml:space="preserve"> </w:t>
      </w:r>
      <w:r w:rsidRPr="00AA4677">
        <w:t>of</w:t>
      </w:r>
      <w:r w:rsidRPr="00AA4677">
        <w:rPr>
          <w:spacing w:val="-4"/>
        </w:rPr>
        <w:t xml:space="preserve"> </w:t>
      </w:r>
      <w:r w:rsidRPr="00AA4677">
        <w:t>active</w:t>
      </w:r>
      <w:r w:rsidRPr="00AA4677">
        <w:rPr>
          <w:spacing w:val="-3"/>
        </w:rPr>
        <w:t xml:space="preserve"> </w:t>
      </w:r>
      <w:r w:rsidRPr="00AA4677">
        <w:t>studies</w:t>
      </w:r>
      <w:r w:rsidRPr="00AA4677">
        <w:rPr>
          <w:spacing w:val="-2"/>
        </w:rPr>
        <w:t xml:space="preserve"> </w:t>
      </w:r>
      <w:r w:rsidRPr="00AA4677">
        <w:t>until</w:t>
      </w:r>
      <w:r w:rsidRPr="00AA4677">
        <w:rPr>
          <w:spacing w:val="-3"/>
        </w:rPr>
        <w:t xml:space="preserve"> </w:t>
      </w:r>
      <w:r w:rsidRPr="00AA4677">
        <w:t>closure</w:t>
      </w:r>
      <w:r w:rsidRPr="00AA4677">
        <w:rPr>
          <w:spacing w:val="-4"/>
        </w:rPr>
        <w:t xml:space="preserve"> </w:t>
      </w:r>
      <w:r w:rsidRPr="00AA4677">
        <w:t>or</w:t>
      </w:r>
      <w:r w:rsidRPr="00AA4677">
        <w:rPr>
          <w:spacing w:val="-2"/>
        </w:rPr>
        <w:t xml:space="preserve"> </w:t>
      </w:r>
      <w:r w:rsidRPr="00AA4677">
        <w:t>a</w:t>
      </w:r>
      <w:r w:rsidRPr="00AA4677">
        <w:rPr>
          <w:spacing w:val="-5"/>
        </w:rPr>
        <w:t xml:space="preserve"> </w:t>
      </w:r>
      <w:r w:rsidRPr="00AA4677">
        <w:t>mutually</w:t>
      </w:r>
      <w:r w:rsidRPr="00AA4677">
        <w:rPr>
          <w:spacing w:val="-4"/>
        </w:rPr>
        <w:t xml:space="preserve"> </w:t>
      </w:r>
      <w:r w:rsidRPr="00AA4677">
        <w:t>agreed</w:t>
      </w:r>
      <w:r w:rsidRPr="00AA4677">
        <w:rPr>
          <w:spacing w:val="-4"/>
        </w:rPr>
        <w:t xml:space="preserve"> </w:t>
      </w:r>
      <w:r w:rsidRPr="00AA4677">
        <w:t>upon transfer of the</w:t>
      </w:r>
      <w:r w:rsidRPr="00AA4677">
        <w:rPr>
          <w:spacing w:val="-1"/>
        </w:rPr>
        <w:t xml:space="preserve"> </w:t>
      </w:r>
      <w:r w:rsidRPr="00AA4677">
        <w:t>study</w:t>
      </w:r>
    </w:p>
    <w:p w14:paraId="0CC56998" w14:textId="77777777" w:rsidR="000D48AF" w:rsidRPr="00AA4677" w:rsidRDefault="000D48AF" w:rsidP="000D48AF">
      <w:pPr>
        <w:pStyle w:val="BodyText"/>
        <w:spacing w:before="8"/>
        <w:rPr>
          <w:rFonts w:asciiTheme="minorHAnsi" w:hAnsiTheme="minorHAnsi"/>
          <w:sz w:val="19"/>
        </w:rPr>
      </w:pPr>
    </w:p>
    <w:p w14:paraId="4321AC73" w14:textId="524EB4C3" w:rsidR="00792B40" w:rsidRPr="00AA4677" w:rsidRDefault="0040284F" w:rsidP="00792B40">
      <w:pPr>
        <w:rPr>
          <w:b/>
        </w:rPr>
      </w:pPr>
      <w:r w:rsidRPr="00AA4677">
        <w:rPr>
          <w:b/>
        </w:rPr>
        <w:t>17.1</w:t>
      </w:r>
      <w:r w:rsidR="00785476" w:rsidRPr="00AA4677">
        <w:rPr>
          <w:b/>
        </w:rPr>
        <w:t>7</w:t>
      </w:r>
      <w:r w:rsidRPr="00AA4677">
        <w:rPr>
          <w:b/>
        </w:rPr>
        <w:t xml:space="preserve">.7 </w:t>
      </w:r>
      <w:r w:rsidR="000D48AF" w:rsidRPr="00AA4677">
        <w:rPr>
          <w:b/>
        </w:rPr>
        <w:t>NIH Single IRB (sIRB) Policy for Multi-site</w:t>
      </w:r>
      <w:r w:rsidR="000D48AF" w:rsidRPr="00AA4677">
        <w:rPr>
          <w:b/>
          <w:spacing w:val="-5"/>
        </w:rPr>
        <w:t xml:space="preserve"> </w:t>
      </w:r>
      <w:r w:rsidR="000D48AF" w:rsidRPr="00AA4677">
        <w:rPr>
          <w:b/>
        </w:rPr>
        <w:t>Research</w:t>
      </w:r>
    </w:p>
    <w:p w14:paraId="794B7FFE" w14:textId="5D70956F" w:rsidR="000D48AF" w:rsidRPr="00AA4677" w:rsidRDefault="000D48AF" w:rsidP="005920B2">
      <w:pPr>
        <w:pStyle w:val="BodyText"/>
        <w:ind w:right="243"/>
        <w:rPr>
          <w:rFonts w:asciiTheme="minorHAnsi" w:hAnsiTheme="minorHAnsi"/>
        </w:rPr>
      </w:pPr>
      <w:r w:rsidRPr="00AA4677">
        <w:rPr>
          <w:rFonts w:asciiTheme="minorHAnsi" w:hAnsiTheme="minorHAnsi"/>
        </w:rPr>
        <w:t xml:space="preserve">The NIH sIRB policy applies to grant applications proposing non-exempt multi-site human research which are received for due dates on or after January 25, 2018. For contracts, the policy applies to all solicitations issued on or after January 25, 2018. The policy does not apply to career development, research training, or fellowship awards, nor to sites that are not conducting the same protocol as the other sites (e.g., sites providing statistical support or </w:t>
      </w:r>
      <w:r w:rsidRPr="00AA4677">
        <w:rPr>
          <w:rFonts w:asciiTheme="minorHAnsi" w:hAnsiTheme="minorHAnsi"/>
        </w:rPr>
        <w:lastRenderedPageBreak/>
        <w:t>laboratory analysis only) or to foreign sites.</w:t>
      </w:r>
    </w:p>
    <w:p w14:paraId="0ECC0877" w14:textId="422CC5AC" w:rsidR="005920B2" w:rsidRPr="00AA4677" w:rsidRDefault="000D48AF" w:rsidP="00792B40">
      <w:pPr>
        <w:pStyle w:val="BodyText"/>
        <w:spacing w:before="159" w:line="259" w:lineRule="auto"/>
        <w:ind w:right="175"/>
        <w:rPr>
          <w:rFonts w:asciiTheme="minorHAnsi" w:hAnsiTheme="minorHAnsi"/>
        </w:rPr>
      </w:pPr>
      <w:r w:rsidRPr="00AA4677">
        <w:rPr>
          <w:rFonts w:asciiTheme="minorHAnsi" w:hAnsiTheme="minorHAnsi"/>
        </w:rPr>
        <w:t>Exceptions to the policy are automatic when local IRB review is required by federal, tribal, or state law/regulation/policy. Such exceptions and the basis should be cited in the proposed sIRB plan (see below) and apply only to the site(s) to which the law/regulation/policy applies. Other exceptions will be considered when there is compelling justification.  The site(s) and justification for why the site(s) cannot rely on the single IRB of record should be included in the proposed sIRB plan. NIH will consider the exception request and inform</w:t>
      </w:r>
      <w:r w:rsidR="001A652A" w:rsidRPr="00AA4677">
        <w:rPr>
          <w:rFonts w:asciiTheme="minorHAnsi" w:hAnsiTheme="minorHAnsi"/>
        </w:rPr>
        <w:t xml:space="preserve"> the applicant of the outcome.</w:t>
      </w:r>
    </w:p>
    <w:p w14:paraId="331DEE35" w14:textId="77777777" w:rsidR="00792B40" w:rsidRPr="00AA4677" w:rsidRDefault="00792B40" w:rsidP="00792B40"/>
    <w:p w14:paraId="062BC998" w14:textId="3F493D31" w:rsidR="00792B40" w:rsidRPr="00AA4677" w:rsidRDefault="0040284F" w:rsidP="00792B40">
      <w:r w:rsidRPr="00AA4677">
        <w:rPr>
          <w:b/>
        </w:rPr>
        <w:t>17.1</w:t>
      </w:r>
      <w:r w:rsidR="00785476" w:rsidRPr="00AA4677">
        <w:rPr>
          <w:b/>
        </w:rPr>
        <w:t>7</w:t>
      </w:r>
      <w:r w:rsidRPr="00AA4677">
        <w:rPr>
          <w:b/>
        </w:rPr>
        <w:t xml:space="preserve">.7.1 </w:t>
      </w:r>
      <w:r w:rsidR="000D48AF" w:rsidRPr="00AA4677">
        <w:rPr>
          <w:b/>
        </w:rPr>
        <w:t>sIRB The Common Rule’s Cooperative Research Provision</w:t>
      </w:r>
    </w:p>
    <w:p w14:paraId="71A633E1" w14:textId="22EE2F82" w:rsidR="005920B2" w:rsidRPr="00AA4677" w:rsidRDefault="000D48AF" w:rsidP="00792B40">
      <w:pPr>
        <w:rPr>
          <w:b/>
          <w:bCs/>
          <w:color w:val="000000" w:themeColor="text1"/>
        </w:rPr>
      </w:pPr>
      <w:r w:rsidRPr="00AA4677">
        <w:t xml:space="preserve">Effective January 20, 2020, federally funded cooperative research projects that involve more than one domestic institution conducting non-exempt research with human subjects must use a single IRB. The reviewing IRB will be identified by the federal department or agency supporting or conducting the research or </w:t>
      </w:r>
      <w:proofErr w:type="gramStart"/>
      <w:r w:rsidRPr="00AA4677">
        <w:t>propose</w:t>
      </w:r>
      <w:proofErr w:type="gramEnd"/>
      <w:r w:rsidRPr="00AA4677">
        <w:t xml:space="preserve"> by the lead institution (subject to the acceptance of the federal department of agency supporting the research). </w:t>
      </w:r>
      <w:r w:rsidRPr="00AA4677">
        <w:rPr>
          <w:shd w:val="clear" w:color="auto" w:fill="FFFFFF"/>
        </w:rPr>
        <w:t>Exceptions to the</w:t>
      </w:r>
      <w:r w:rsidRPr="00AA4677">
        <w:rPr>
          <w:rFonts w:ascii="effra w01" w:hAnsi="effra w01"/>
          <w:shd w:val="clear" w:color="auto" w:fill="FFFFFF"/>
        </w:rPr>
        <w:t xml:space="preserve"> </w:t>
      </w:r>
      <w:r w:rsidRPr="00AA4677">
        <w:rPr>
          <w:shd w:val="clear" w:color="auto" w:fill="FFFFFF"/>
        </w:rPr>
        <w:t xml:space="preserve">Requirement include international sites, sites involving tribal nations, </w:t>
      </w:r>
      <w:r w:rsidRPr="00AA4677">
        <w:rPr>
          <w:color w:val="000000" w:themeColor="text1"/>
          <w:shd w:val="clear" w:color="auto" w:fill="FFFFFF"/>
        </w:rPr>
        <w:t>or  </w:t>
      </w:r>
      <w:hyperlink r:id="rId167" w:history="1">
        <w:r w:rsidRPr="00AA4677">
          <w:rPr>
            <w:rStyle w:val="Hyperlink"/>
            <w:color w:val="000000" w:themeColor="text1"/>
            <w:u w:val="none"/>
            <w:shd w:val="clear" w:color="auto" w:fill="FFFFFF"/>
          </w:rPr>
          <w:t>studies that received initial IRB approval prior to January 20, 2020</w:t>
        </w:r>
      </w:hyperlink>
    </w:p>
    <w:p w14:paraId="7D0497D3" w14:textId="37CC45EC" w:rsidR="000D48AF" w:rsidRPr="00AA4677" w:rsidRDefault="0040284F" w:rsidP="00792B40">
      <w:pPr>
        <w:rPr>
          <w:b/>
        </w:rPr>
      </w:pPr>
      <w:r w:rsidRPr="00AA4677">
        <w:rPr>
          <w:b/>
        </w:rPr>
        <w:t>17.1</w:t>
      </w:r>
      <w:r w:rsidR="00785476" w:rsidRPr="00AA4677">
        <w:rPr>
          <w:b/>
        </w:rPr>
        <w:t>7</w:t>
      </w:r>
      <w:r w:rsidRPr="00AA4677">
        <w:rPr>
          <w:b/>
        </w:rPr>
        <w:t xml:space="preserve">.7.2 </w:t>
      </w:r>
      <w:r w:rsidR="000D48AF" w:rsidRPr="00AA4677">
        <w:rPr>
          <w:b/>
        </w:rPr>
        <w:t>Selection and Designation of a sIRB</w:t>
      </w:r>
    </w:p>
    <w:p w14:paraId="3441798E" w14:textId="77777777" w:rsidR="000D48AF" w:rsidRPr="00AA4677" w:rsidRDefault="000D48AF" w:rsidP="00792B40">
      <w:r w:rsidRPr="00AA4677">
        <w:t>SBU investigators submitting applications for NIH-funded multi-site research must describe the sIRB plan in the funding proposal (grant application or contract proposal), and, if applicable, may request direct cost funding to cover additional costs related to the requirements of the NIH policy.</w:t>
      </w:r>
    </w:p>
    <w:p w14:paraId="2C822122" w14:textId="4C6F283B" w:rsidR="000D48AF" w:rsidRPr="00AA4677" w:rsidRDefault="000D48AF" w:rsidP="00792B40">
      <w:r w:rsidRPr="00AA4677">
        <w:t xml:space="preserve">The Reliance Administrator in the ORC </w:t>
      </w:r>
      <w:r w:rsidRPr="00AA4677">
        <w:rPr>
          <w:b/>
        </w:rPr>
        <w:t xml:space="preserve">should be contacted as early in the grant writing process as possible </w:t>
      </w:r>
      <w:r w:rsidRPr="00AA4677">
        <w:t>to either confirm that SBU can provide IRB services for the study, or to assist the investigator in making alternative arrangements (e.g., use the IRB at one of the participating sites, ADVARRA IRB, etc.). The Reliance Administrator will consult with others within the organization as needed and make a recommendatio</w:t>
      </w:r>
      <w:r w:rsidR="001A652A" w:rsidRPr="00AA4677">
        <w:t>n to the AVP-RC, or the IO, for</w:t>
      </w:r>
    </w:p>
    <w:p w14:paraId="5A41382E" w14:textId="77777777" w:rsidR="001A652A" w:rsidRPr="00AA4677" w:rsidRDefault="001A652A" w:rsidP="00792B40">
      <w:r w:rsidRPr="00AA4677">
        <w:t>consideration. If SBU IRB can serve as the sIRB, the Reliance Administrator will assist the investigator in working with the Office of Sponsored Programs to ensure accurate, direct cost, budgeting for the service.</w:t>
      </w:r>
    </w:p>
    <w:p w14:paraId="709E9BC4" w14:textId="48CC3E65" w:rsidR="00860A55" w:rsidRPr="00AA4677" w:rsidRDefault="001A652A" w:rsidP="00792B40">
      <w:r w:rsidRPr="00AA4677">
        <w:t>Reliance Agreements for sIRB Studies</w:t>
      </w:r>
      <w:r w:rsidR="00860A55" w:rsidRPr="00AA4677">
        <w:t xml:space="preserve"> - </w:t>
      </w:r>
      <w:r w:rsidRPr="00AA4677">
        <w:t>A Reliance Agreement (or “Authorization Agreement”) between the sIRB and the participating sites is required. S</w:t>
      </w:r>
      <w:r w:rsidR="0040284F" w:rsidRPr="00AA4677">
        <w:t>ee Section 17.16.1 for details.</w:t>
      </w:r>
    </w:p>
    <w:p w14:paraId="538AF426" w14:textId="3ACE1BF9" w:rsidR="001A652A" w:rsidRPr="00AA4677" w:rsidRDefault="0040284F" w:rsidP="00792B40">
      <w:pPr>
        <w:rPr>
          <w:b/>
        </w:rPr>
      </w:pPr>
      <w:r w:rsidRPr="00AA4677">
        <w:rPr>
          <w:b/>
        </w:rPr>
        <w:t>17.1</w:t>
      </w:r>
      <w:r w:rsidR="00785476" w:rsidRPr="00AA4677">
        <w:rPr>
          <w:b/>
        </w:rPr>
        <w:t>7</w:t>
      </w:r>
      <w:r w:rsidRPr="00AA4677">
        <w:rPr>
          <w:b/>
        </w:rPr>
        <w:t xml:space="preserve">.7.3 </w:t>
      </w:r>
      <w:r w:rsidR="001A652A" w:rsidRPr="00AA4677">
        <w:rPr>
          <w:b/>
        </w:rPr>
        <w:t>sIRB Responsibilities</w:t>
      </w:r>
    </w:p>
    <w:p w14:paraId="14C52F1F" w14:textId="77777777" w:rsidR="001A652A" w:rsidRPr="00AA4677" w:rsidRDefault="001A652A" w:rsidP="00792B40">
      <w:r w:rsidRPr="00AA4677">
        <w:lastRenderedPageBreak/>
        <w:t>Per the NIH Policy, the sIRB is responsible for conducting the ethical review of NIH-funded multi-site</w:t>
      </w:r>
      <w:r w:rsidRPr="00AA4677">
        <w:rPr>
          <w:spacing w:val="-5"/>
        </w:rPr>
        <w:t xml:space="preserve"> </w:t>
      </w:r>
      <w:r w:rsidRPr="00AA4677">
        <w:t>studies</w:t>
      </w:r>
      <w:r w:rsidRPr="00AA4677">
        <w:rPr>
          <w:spacing w:val="-4"/>
        </w:rPr>
        <w:t xml:space="preserve"> </w:t>
      </w:r>
      <w:r w:rsidRPr="00AA4677">
        <w:t>for</w:t>
      </w:r>
      <w:r w:rsidRPr="00AA4677">
        <w:rPr>
          <w:spacing w:val="-4"/>
        </w:rPr>
        <w:t xml:space="preserve"> </w:t>
      </w:r>
      <w:r w:rsidRPr="00AA4677">
        <w:t>participating</w:t>
      </w:r>
      <w:r w:rsidRPr="00AA4677">
        <w:rPr>
          <w:spacing w:val="-2"/>
        </w:rPr>
        <w:t xml:space="preserve"> </w:t>
      </w:r>
      <w:r w:rsidRPr="00AA4677">
        <w:t>sites</w:t>
      </w:r>
      <w:r w:rsidRPr="00AA4677">
        <w:rPr>
          <w:spacing w:val="-2"/>
        </w:rPr>
        <w:t xml:space="preserve"> </w:t>
      </w:r>
      <w:r w:rsidRPr="00AA4677">
        <w:t>and</w:t>
      </w:r>
      <w:r w:rsidRPr="00AA4677">
        <w:rPr>
          <w:spacing w:val="-4"/>
        </w:rPr>
        <w:t xml:space="preserve"> </w:t>
      </w:r>
      <w:r w:rsidRPr="00AA4677">
        <w:t>for</w:t>
      </w:r>
      <w:r w:rsidRPr="00AA4677">
        <w:rPr>
          <w:spacing w:val="-4"/>
        </w:rPr>
        <w:t xml:space="preserve"> </w:t>
      </w:r>
      <w:r w:rsidRPr="00AA4677">
        <w:t>carrying</w:t>
      </w:r>
      <w:r w:rsidRPr="00AA4677">
        <w:rPr>
          <w:spacing w:val="-2"/>
        </w:rPr>
        <w:t xml:space="preserve"> </w:t>
      </w:r>
      <w:r w:rsidRPr="00AA4677">
        <w:t>out</w:t>
      </w:r>
      <w:r w:rsidRPr="00AA4677">
        <w:rPr>
          <w:spacing w:val="-4"/>
        </w:rPr>
        <w:t xml:space="preserve"> </w:t>
      </w:r>
      <w:r w:rsidRPr="00AA4677">
        <w:t>the</w:t>
      </w:r>
      <w:r w:rsidRPr="00AA4677">
        <w:rPr>
          <w:spacing w:val="-2"/>
        </w:rPr>
        <w:t xml:space="preserve"> </w:t>
      </w:r>
      <w:r w:rsidRPr="00AA4677">
        <w:t>regulatory</w:t>
      </w:r>
      <w:r w:rsidRPr="00AA4677">
        <w:rPr>
          <w:spacing w:val="-6"/>
        </w:rPr>
        <w:t xml:space="preserve"> </w:t>
      </w:r>
      <w:r w:rsidRPr="00AA4677">
        <w:t>requirements</w:t>
      </w:r>
      <w:r w:rsidRPr="00AA4677">
        <w:rPr>
          <w:spacing w:val="-4"/>
        </w:rPr>
        <w:t xml:space="preserve"> </w:t>
      </w:r>
      <w:r w:rsidRPr="00AA4677">
        <w:t>as specified under the HHS regulations at 45 CFR Part</w:t>
      </w:r>
      <w:r w:rsidRPr="00AA4677">
        <w:rPr>
          <w:spacing w:val="-10"/>
        </w:rPr>
        <w:t xml:space="preserve"> </w:t>
      </w:r>
      <w:r w:rsidRPr="00AA4677">
        <w:t>46.</w:t>
      </w:r>
    </w:p>
    <w:p w14:paraId="6BAD7F84" w14:textId="77777777" w:rsidR="001A652A" w:rsidRPr="00AA4677" w:rsidRDefault="001A652A" w:rsidP="00792B40">
      <w:r w:rsidRPr="00AA4677">
        <w:t>The sIRB must have the necessary infrastructure to support the required activities (e.g., administrative or regulatory staff, policies, procedures, workflows and</w:t>
      </w:r>
      <w:r w:rsidRPr="00AA4677">
        <w:rPr>
          <w:spacing w:val="-25"/>
        </w:rPr>
        <w:t xml:space="preserve"> </w:t>
      </w:r>
      <w:r w:rsidRPr="00AA4677">
        <w:t>technology).</w:t>
      </w:r>
    </w:p>
    <w:p w14:paraId="7A01E130" w14:textId="77777777" w:rsidR="001A652A" w:rsidRPr="00AA4677" w:rsidRDefault="001A652A" w:rsidP="00792B40">
      <w:r w:rsidRPr="00AA4677">
        <w:t>In reviewing multi-site research protocols, the sIRB may serve as a Privacy Board, as applicable, to fulfill the requirements of the HIPAA Privacy Rule for use or disclosure</w:t>
      </w:r>
      <w:r w:rsidRPr="00AA4677">
        <w:rPr>
          <w:spacing w:val="-37"/>
        </w:rPr>
        <w:t xml:space="preserve"> </w:t>
      </w:r>
      <w:r w:rsidRPr="00AA4677">
        <w:t>of protected health information for research</w:t>
      </w:r>
      <w:r w:rsidRPr="00AA4677">
        <w:rPr>
          <w:spacing w:val="-1"/>
        </w:rPr>
        <w:t xml:space="preserve"> </w:t>
      </w:r>
      <w:r w:rsidRPr="00AA4677">
        <w:t>purposes.</w:t>
      </w:r>
    </w:p>
    <w:p w14:paraId="3528E08E" w14:textId="77777777" w:rsidR="001A652A" w:rsidRPr="00AA4677" w:rsidRDefault="001A652A" w:rsidP="00792B40">
      <w:r w:rsidRPr="00AA4677">
        <w:t xml:space="preserve">The sIRB can delegate to </w:t>
      </w:r>
      <w:proofErr w:type="gramStart"/>
      <w:r w:rsidRPr="00AA4677">
        <w:t>relying</w:t>
      </w:r>
      <w:proofErr w:type="gramEnd"/>
      <w:r w:rsidRPr="00AA4677">
        <w:t xml:space="preserve"> institutions the ability to monitor or observe the conduct of the research and/or the consent</w:t>
      </w:r>
      <w:r w:rsidRPr="00AA4677">
        <w:rPr>
          <w:spacing w:val="-9"/>
        </w:rPr>
        <w:t xml:space="preserve"> </w:t>
      </w:r>
      <w:r w:rsidRPr="00AA4677">
        <w:t>process.</w:t>
      </w:r>
    </w:p>
    <w:p w14:paraId="18D14354" w14:textId="57BB8A4D" w:rsidR="005920B2" w:rsidRPr="00AA4677" w:rsidRDefault="001A652A" w:rsidP="00792B40">
      <w:r w:rsidRPr="00AA4677">
        <w:t>The sIRB must review and approve proposed management plans for</w:t>
      </w:r>
      <w:r w:rsidRPr="00AA4677">
        <w:rPr>
          <w:spacing w:val="-27"/>
        </w:rPr>
        <w:t xml:space="preserve"> </w:t>
      </w:r>
      <w:r w:rsidRPr="00AA4677">
        <w:t>investigators determined to have a financial conflict of</w:t>
      </w:r>
      <w:r w:rsidRPr="00AA4677">
        <w:rPr>
          <w:spacing w:val="-8"/>
        </w:rPr>
        <w:t xml:space="preserve"> </w:t>
      </w:r>
      <w:r w:rsidR="0040284F" w:rsidRPr="00AA4677">
        <w:t>interest.</w:t>
      </w:r>
    </w:p>
    <w:p w14:paraId="0FD01C12" w14:textId="6B38544B" w:rsidR="001A652A" w:rsidRPr="00AA4677" w:rsidRDefault="0040284F" w:rsidP="00792B40">
      <w:pPr>
        <w:rPr>
          <w:b/>
        </w:rPr>
      </w:pPr>
      <w:r w:rsidRPr="00AA4677">
        <w:rPr>
          <w:b/>
        </w:rPr>
        <w:t>17.1</w:t>
      </w:r>
      <w:r w:rsidR="00785476" w:rsidRPr="00AA4677">
        <w:rPr>
          <w:b/>
        </w:rPr>
        <w:t>7</w:t>
      </w:r>
      <w:r w:rsidRPr="00AA4677">
        <w:rPr>
          <w:b/>
        </w:rPr>
        <w:t xml:space="preserve">.7.4 </w:t>
      </w:r>
      <w:r w:rsidR="001A652A" w:rsidRPr="00AA4677">
        <w:rPr>
          <w:b/>
        </w:rPr>
        <w:t>Participating Site Responsibilities</w:t>
      </w:r>
    </w:p>
    <w:p w14:paraId="3DD188B9" w14:textId="77777777" w:rsidR="001A652A" w:rsidRPr="00AA4677" w:rsidRDefault="001A652A" w:rsidP="00792B40">
      <w:r w:rsidRPr="00AA4677">
        <w:t>All sites participating in a multi-site study are expected to rely on an sIRB to carry out the functions that are required for institutional compliance with IRB review set forth in the HHS regulations at 45 CFR 46. Participating sites are responsible for meeting other regulatory obligations, such as obtaining informed consent, overseeing the implementation of the approved protocol, and reporting unanticipated problems and study progress to the sIRB. Participating sites must communicate relevant information necessary for the sIRB to consider local context issues and state/local regulatory requirements during its deliberations and must rely on the sIRB to satisfy the regulatory requirements relevant to the ethical review. Although IRB ethical review at a participating site would be counter to the intent and goal of this policy, the policy does not prohibit any participating site from duplicating the sIRB. However, if this approach is taken, NIH funds cannot be used to pay for the cost of the duplicate review.</w:t>
      </w:r>
    </w:p>
    <w:p w14:paraId="2A77052A" w14:textId="77777777" w:rsidR="001A652A" w:rsidRPr="00AA4677" w:rsidRDefault="001A652A" w:rsidP="00792B40">
      <w:pPr>
        <w:rPr>
          <w:i/>
        </w:rPr>
      </w:pPr>
      <w:r w:rsidRPr="00AA4677">
        <w:rPr>
          <w:i/>
        </w:rPr>
        <w:t>Additional Responsibilities of the Participating Site:</w:t>
      </w:r>
    </w:p>
    <w:p w14:paraId="330DDB93" w14:textId="77777777" w:rsidR="001A652A" w:rsidRPr="00AA4677" w:rsidRDefault="001A652A">
      <w:pPr>
        <w:pStyle w:val="ListParagraph"/>
        <w:numPr>
          <w:ilvl w:val="0"/>
          <w:numId w:val="307"/>
        </w:numPr>
        <w:ind w:left="360"/>
      </w:pPr>
      <w:r w:rsidRPr="00AA4677">
        <w:t>Responsibility for reporting incidents of protocol deviations or noncompliance to the</w:t>
      </w:r>
      <w:r w:rsidRPr="00AA4677">
        <w:rPr>
          <w:spacing w:val="-27"/>
        </w:rPr>
        <w:t xml:space="preserve"> </w:t>
      </w:r>
      <w:proofErr w:type="gramStart"/>
      <w:r w:rsidRPr="00AA4677">
        <w:t>sIRB;</w:t>
      </w:r>
      <w:proofErr w:type="gramEnd"/>
    </w:p>
    <w:p w14:paraId="35AD5C89" w14:textId="77777777" w:rsidR="001A652A" w:rsidRPr="00AA4677" w:rsidRDefault="001A652A">
      <w:pPr>
        <w:pStyle w:val="ListParagraph"/>
        <w:numPr>
          <w:ilvl w:val="0"/>
          <w:numId w:val="307"/>
        </w:numPr>
        <w:ind w:left="360"/>
      </w:pPr>
      <w:r w:rsidRPr="00AA4677">
        <w:t>Monitoring</w:t>
      </w:r>
      <w:r w:rsidRPr="00AA4677">
        <w:rPr>
          <w:spacing w:val="-6"/>
        </w:rPr>
        <w:t xml:space="preserve"> </w:t>
      </w:r>
      <w:r w:rsidRPr="00AA4677">
        <w:t>or</w:t>
      </w:r>
      <w:r w:rsidRPr="00AA4677">
        <w:rPr>
          <w:spacing w:val="-3"/>
        </w:rPr>
        <w:t xml:space="preserve"> </w:t>
      </w:r>
      <w:r w:rsidRPr="00AA4677">
        <w:t>observing</w:t>
      </w:r>
      <w:r w:rsidRPr="00AA4677">
        <w:rPr>
          <w:spacing w:val="-4"/>
        </w:rPr>
        <w:t xml:space="preserve"> </w:t>
      </w:r>
      <w:r w:rsidRPr="00AA4677">
        <w:t>the</w:t>
      </w:r>
      <w:r w:rsidRPr="00AA4677">
        <w:rPr>
          <w:spacing w:val="-3"/>
        </w:rPr>
        <w:t xml:space="preserve"> </w:t>
      </w:r>
      <w:r w:rsidRPr="00AA4677">
        <w:t>conduct</w:t>
      </w:r>
      <w:r w:rsidRPr="00AA4677">
        <w:rPr>
          <w:spacing w:val="-5"/>
        </w:rPr>
        <w:t xml:space="preserve"> </w:t>
      </w:r>
      <w:r w:rsidRPr="00AA4677">
        <w:t>of</w:t>
      </w:r>
      <w:r w:rsidRPr="00AA4677">
        <w:rPr>
          <w:spacing w:val="-4"/>
        </w:rPr>
        <w:t xml:space="preserve"> </w:t>
      </w:r>
      <w:r w:rsidRPr="00AA4677">
        <w:t>the</w:t>
      </w:r>
      <w:r w:rsidRPr="00AA4677">
        <w:rPr>
          <w:spacing w:val="-3"/>
        </w:rPr>
        <w:t xml:space="preserve"> </w:t>
      </w:r>
      <w:r w:rsidRPr="00AA4677">
        <w:t>research</w:t>
      </w:r>
      <w:r w:rsidRPr="00AA4677">
        <w:rPr>
          <w:spacing w:val="-3"/>
        </w:rPr>
        <w:t xml:space="preserve"> </w:t>
      </w:r>
      <w:r w:rsidRPr="00AA4677">
        <w:t>and/or</w:t>
      </w:r>
      <w:r w:rsidRPr="00AA4677">
        <w:rPr>
          <w:spacing w:val="-5"/>
        </w:rPr>
        <w:t xml:space="preserve"> </w:t>
      </w:r>
      <w:r w:rsidRPr="00AA4677">
        <w:t>the</w:t>
      </w:r>
      <w:r w:rsidRPr="00AA4677">
        <w:rPr>
          <w:spacing w:val="-6"/>
        </w:rPr>
        <w:t xml:space="preserve"> </w:t>
      </w:r>
      <w:r w:rsidRPr="00AA4677">
        <w:t>consent</w:t>
      </w:r>
      <w:r w:rsidRPr="00AA4677">
        <w:rPr>
          <w:spacing w:val="-3"/>
        </w:rPr>
        <w:t xml:space="preserve"> </w:t>
      </w:r>
      <w:r w:rsidRPr="00AA4677">
        <w:t>process,</w:t>
      </w:r>
      <w:r w:rsidRPr="00AA4677">
        <w:rPr>
          <w:spacing w:val="-4"/>
        </w:rPr>
        <w:t xml:space="preserve"> </w:t>
      </w:r>
      <w:r w:rsidRPr="00AA4677">
        <w:t>when specified in the Reliance</w:t>
      </w:r>
      <w:r w:rsidRPr="00AA4677">
        <w:rPr>
          <w:spacing w:val="-1"/>
        </w:rPr>
        <w:t xml:space="preserve"> </w:t>
      </w:r>
      <w:proofErr w:type="gramStart"/>
      <w:r w:rsidRPr="00AA4677">
        <w:t>Agreement;</w:t>
      </w:r>
      <w:proofErr w:type="gramEnd"/>
    </w:p>
    <w:p w14:paraId="30CAAA4F" w14:textId="6FF4D6B6" w:rsidR="001A652A" w:rsidRPr="00AA4677" w:rsidRDefault="00523B2F">
      <w:pPr>
        <w:pStyle w:val="ListParagraph"/>
        <w:numPr>
          <w:ilvl w:val="0"/>
          <w:numId w:val="307"/>
        </w:numPr>
        <w:ind w:left="360"/>
      </w:pPr>
      <w:r w:rsidRPr="00AA4677">
        <w:t xml:space="preserve">Ensuring disclosure and management </w:t>
      </w:r>
      <w:r w:rsidR="001A652A" w:rsidRPr="00AA4677">
        <w:t>of conflicts of interest according to the participating sites’</w:t>
      </w:r>
      <w:r w:rsidR="001A652A" w:rsidRPr="00AA4677">
        <w:rPr>
          <w:spacing w:val="-3"/>
        </w:rPr>
        <w:t xml:space="preserve"> </w:t>
      </w:r>
      <w:r w:rsidR="001A652A" w:rsidRPr="00AA4677">
        <w:t>policies</w:t>
      </w:r>
      <w:r w:rsidR="001A652A" w:rsidRPr="00AA4677">
        <w:rPr>
          <w:spacing w:val="-3"/>
        </w:rPr>
        <w:t xml:space="preserve"> </w:t>
      </w:r>
      <w:r w:rsidR="001A652A" w:rsidRPr="00AA4677">
        <w:t>and</w:t>
      </w:r>
      <w:r w:rsidR="001A652A" w:rsidRPr="00AA4677">
        <w:rPr>
          <w:spacing w:val="-5"/>
        </w:rPr>
        <w:t xml:space="preserve"> </w:t>
      </w:r>
      <w:r w:rsidR="001A652A" w:rsidRPr="00AA4677">
        <w:t>procedures</w:t>
      </w:r>
      <w:r w:rsidR="001A652A" w:rsidRPr="00AA4677">
        <w:rPr>
          <w:spacing w:val="-3"/>
        </w:rPr>
        <w:t xml:space="preserve"> </w:t>
      </w:r>
      <w:r w:rsidR="001A652A" w:rsidRPr="00AA4677">
        <w:t>and</w:t>
      </w:r>
      <w:r w:rsidR="001A652A" w:rsidRPr="00AA4677">
        <w:rPr>
          <w:spacing w:val="-4"/>
        </w:rPr>
        <w:t xml:space="preserve"> </w:t>
      </w:r>
      <w:proofErr w:type="gramStart"/>
      <w:r w:rsidR="001A652A" w:rsidRPr="00AA4677">
        <w:t>submit</w:t>
      </w:r>
      <w:proofErr w:type="gramEnd"/>
      <w:r w:rsidR="001A652A" w:rsidRPr="00AA4677">
        <w:rPr>
          <w:spacing w:val="-4"/>
        </w:rPr>
        <w:t xml:space="preserve"> </w:t>
      </w:r>
      <w:r w:rsidR="001A652A" w:rsidRPr="00AA4677">
        <w:t>for</w:t>
      </w:r>
      <w:r w:rsidR="001A652A" w:rsidRPr="00AA4677">
        <w:rPr>
          <w:spacing w:val="-5"/>
        </w:rPr>
        <w:t xml:space="preserve"> </w:t>
      </w:r>
      <w:r w:rsidR="001A652A" w:rsidRPr="00AA4677">
        <w:t>approval</w:t>
      </w:r>
      <w:r w:rsidR="001A652A" w:rsidRPr="00AA4677">
        <w:rPr>
          <w:spacing w:val="-2"/>
        </w:rPr>
        <w:t xml:space="preserve"> </w:t>
      </w:r>
      <w:r w:rsidR="001A652A" w:rsidRPr="00AA4677">
        <w:t>to</w:t>
      </w:r>
      <w:r w:rsidR="001A652A" w:rsidRPr="00AA4677">
        <w:rPr>
          <w:spacing w:val="-5"/>
        </w:rPr>
        <w:t xml:space="preserve"> </w:t>
      </w:r>
      <w:r w:rsidR="001A652A" w:rsidRPr="00AA4677">
        <w:t>the</w:t>
      </w:r>
      <w:r w:rsidR="001A652A" w:rsidRPr="00AA4677">
        <w:rPr>
          <w:spacing w:val="-3"/>
        </w:rPr>
        <w:t xml:space="preserve"> </w:t>
      </w:r>
      <w:r w:rsidR="001A652A" w:rsidRPr="00AA4677">
        <w:t>sIRB</w:t>
      </w:r>
      <w:r w:rsidR="001A652A" w:rsidRPr="00AA4677">
        <w:rPr>
          <w:spacing w:val="-4"/>
        </w:rPr>
        <w:t xml:space="preserve"> </w:t>
      </w:r>
      <w:r w:rsidR="001A652A" w:rsidRPr="00AA4677">
        <w:t>management</w:t>
      </w:r>
      <w:r w:rsidR="001A652A" w:rsidRPr="00AA4677">
        <w:rPr>
          <w:spacing w:val="-4"/>
        </w:rPr>
        <w:t xml:space="preserve"> </w:t>
      </w:r>
      <w:r w:rsidR="001A652A" w:rsidRPr="00AA4677">
        <w:t>plans</w:t>
      </w:r>
      <w:r w:rsidR="001A652A" w:rsidRPr="00AA4677">
        <w:rPr>
          <w:spacing w:val="-4"/>
        </w:rPr>
        <w:t xml:space="preserve"> </w:t>
      </w:r>
      <w:r w:rsidR="001A652A" w:rsidRPr="00AA4677">
        <w:t>related to investigator FCOI’s in human subject</w:t>
      </w:r>
      <w:r w:rsidR="001A652A" w:rsidRPr="00AA4677">
        <w:rPr>
          <w:spacing w:val="-3"/>
        </w:rPr>
        <w:t xml:space="preserve"> </w:t>
      </w:r>
      <w:proofErr w:type="gramStart"/>
      <w:r w:rsidR="001A652A" w:rsidRPr="00AA4677">
        <w:t>research;</w:t>
      </w:r>
      <w:proofErr w:type="gramEnd"/>
    </w:p>
    <w:p w14:paraId="69F4777B" w14:textId="77777777" w:rsidR="001A652A" w:rsidRPr="00AA4677" w:rsidRDefault="001A652A">
      <w:pPr>
        <w:pStyle w:val="ListParagraph"/>
        <w:numPr>
          <w:ilvl w:val="0"/>
          <w:numId w:val="307"/>
        </w:numPr>
        <w:ind w:left="360"/>
      </w:pPr>
      <w:r w:rsidRPr="00AA4677">
        <w:lastRenderedPageBreak/>
        <w:t>Reporting to the sIRB changes to research implemented to eliminate apparent</w:t>
      </w:r>
      <w:r w:rsidRPr="00AA4677">
        <w:rPr>
          <w:spacing w:val="-33"/>
        </w:rPr>
        <w:t xml:space="preserve"> </w:t>
      </w:r>
      <w:r w:rsidRPr="00AA4677">
        <w:t>immediate hazards to</w:t>
      </w:r>
      <w:r w:rsidRPr="00AA4677">
        <w:rPr>
          <w:spacing w:val="-4"/>
        </w:rPr>
        <w:t xml:space="preserve"> </w:t>
      </w:r>
      <w:proofErr w:type="gramStart"/>
      <w:r w:rsidRPr="00AA4677">
        <w:t>participants;</w:t>
      </w:r>
      <w:proofErr w:type="gramEnd"/>
    </w:p>
    <w:p w14:paraId="6298A144" w14:textId="3EC19588" w:rsidR="001A652A" w:rsidRPr="00AA4677" w:rsidRDefault="001A652A">
      <w:pPr>
        <w:pStyle w:val="ListParagraph"/>
        <w:numPr>
          <w:ilvl w:val="0"/>
          <w:numId w:val="307"/>
        </w:numPr>
        <w:ind w:left="360"/>
      </w:pPr>
      <w:r w:rsidRPr="00AA4677">
        <w:t>Ensuring ancillary reviews by University Hospital, IBC, RDRC etc. are conducted prior to commencement</w:t>
      </w:r>
      <w:r w:rsidRPr="00AA4677">
        <w:rPr>
          <w:spacing w:val="-4"/>
        </w:rPr>
        <w:t xml:space="preserve"> </w:t>
      </w:r>
      <w:r w:rsidRPr="00AA4677">
        <w:t>of</w:t>
      </w:r>
      <w:r w:rsidRPr="00AA4677">
        <w:rPr>
          <w:spacing w:val="-4"/>
        </w:rPr>
        <w:t xml:space="preserve"> </w:t>
      </w:r>
      <w:r w:rsidRPr="00AA4677">
        <w:t>the</w:t>
      </w:r>
      <w:r w:rsidRPr="00AA4677">
        <w:rPr>
          <w:spacing w:val="-2"/>
        </w:rPr>
        <w:t xml:space="preserve"> </w:t>
      </w:r>
      <w:r w:rsidRPr="00AA4677">
        <w:t>research</w:t>
      </w:r>
      <w:r w:rsidRPr="00AA4677">
        <w:rPr>
          <w:spacing w:val="-2"/>
        </w:rPr>
        <w:t xml:space="preserve"> </w:t>
      </w:r>
      <w:r w:rsidRPr="00AA4677">
        <w:t>(or</w:t>
      </w:r>
      <w:r w:rsidRPr="00AA4677">
        <w:rPr>
          <w:spacing w:val="-4"/>
        </w:rPr>
        <w:t xml:space="preserve"> </w:t>
      </w:r>
      <w:r w:rsidRPr="00AA4677">
        <w:t>IRB</w:t>
      </w:r>
      <w:r w:rsidRPr="00AA4677">
        <w:rPr>
          <w:spacing w:val="-4"/>
        </w:rPr>
        <w:t xml:space="preserve"> </w:t>
      </w:r>
      <w:r w:rsidRPr="00AA4677">
        <w:t>approval</w:t>
      </w:r>
      <w:r w:rsidRPr="00AA4677">
        <w:rPr>
          <w:spacing w:val="-5"/>
        </w:rPr>
        <w:t xml:space="preserve"> </w:t>
      </w:r>
      <w:r w:rsidRPr="00AA4677">
        <w:t>of</w:t>
      </w:r>
      <w:r w:rsidRPr="00AA4677">
        <w:rPr>
          <w:spacing w:val="-2"/>
        </w:rPr>
        <w:t xml:space="preserve"> </w:t>
      </w:r>
      <w:r w:rsidRPr="00AA4677">
        <w:t>the</w:t>
      </w:r>
      <w:r w:rsidRPr="00AA4677">
        <w:rPr>
          <w:spacing w:val="-5"/>
        </w:rPr>
        <w:t xml:space="preserve"> </w:t>
      </w:r>
      <w:r w:rsidRPr="00AA4677">
        <w:t>research,</w:t>
      </w:r>
      <w:r w:rsidRPr="00AA4677">
        <w:rPr>
          <w:spacing w:val="-5"/>
        </w:rPr>
        <w:t xml:space="preserve"> </w:t>
      </w:r>
      <w:r w:rsidRPr="00AA4677">
        <w:t>depending</w:t>
      </w:r>
      <w:r w:rsidRPr="00AA4677">
        <w:rPr>
          <w:spacing w:val="-3"/>
        </w:rPr>
        <w:t xml:space="preserve"> </w:t>
      </w:r>
      <w:r w:rsidRPr="00AA4677">
        <w:t>on</w:t>
      </w:r>
      <w:r w:rsidRPr="00AA4677">
        <w:rPr>
          <w:spacing w:val="-3"/>
        </w:rPr>
        <w:t xml:space="preserve"> </w:t>
      </w:r>
      <w:r w:rsidRPr="00AA4677">
        <w:t>local</w:t>
      </w:r>
      <w:r w:rsidRPr="00AA4677">
        <w:rPr>
          <w:spacing w:val="-5"/>
        </w:rPr>
        <w:t xml:space="preserve"> </w:t>
      </w:r>
      <w:r w:rsidRPr="00AA4677">
        <w:t>policy)</w:t>
      </w:r>
      <w:r w:rsidR="006752DE" w:rsidRPr="00AA4677">
        <w:t xml:space="preserve"> and how these reviews are communicated to the IRB (Particularly if there are additional regulatory requirements that need to be </w:t>
      </w:r>
      <w:proofErr w:type="gramStart"/>
      <w:r w:rsidR="006752DE" w:rsidRPr="00AA4677">
        <w:t>taken into account</w:t>
      </w:r>
      <w:proofErr w:type="gramEnd"/>
      <w:r w:rsidR="006752DE" w:rsidRPr="00AA4677">
        <w:t xml:space="preserve"> – DOJ or DoD)</w:t>
      </w:r>
      <w:r w:rsidRPr="00AA4677">
        <w:t xml:space="preserve">. </w:t>
      </w:r>
      <w:r w:rsidR="006752DE" w:rsidRPr="00AA4677">
        <w:t xml:space="preserve">Investigators will be provided with information regarding these ancillary reviews via myResearch. </w:t>
      </w:r>
      <w:r w:rsidRPr="00AA4677">
        <w:t>When an external IRB serves as the sIRB for a study in which the University is engaged, investigators must register the study with the University prior to submission to the external IRB following the procedures outlined in Section 17.16.3. Post-approval requirements for investigators are also detailed in Section 17.16.3. Research reviewed by external IRBs remains subject to review, approval, and oversight by SBU and must adhere to all applicable policies, procedures, and requirements required for the safe and ethical conduct of the study.</w:t>
      </w:r>
    </w:p>
    <w:p w14:paraId="53702B93" w14:textId="1DA1C9FA" w:rsidR="00DA33E9" w:rsidRPr="00AA4677" w:rsidRDefault="001A652A" w:rsidP="00696B35">
      <w:pPr>
        <w:pStyle w:val="Heading2"/>
        <w:numPr>
          <w:ilvl w:val="1"/>
          <w:numId w:val="341"/>
        </w:numPr>
      </w:pPr>
      <w:bookmarkStart w:id="376" w:name="_Toc101429143"/>
      <w:bookmarkStart w:id="377" w:name="_Toc192678292"/>
      <w:r w:rsidRPr="00AA4677">
        <w:t>Certificates of Confidentiality</w:t>
      </w:r>
      <w:bookmarkEnd w:id="376"/>
      <w:bookmarkEnd w:id="377"/>
    </w:p>
    <w:p w14:paraId="53B33915" w14:textId="77777777" w:rsidR="00DA33E9" w:rsidRPr="00AA4677" w:rsidRDefault="00DA33E9" w:rsidP="00696B35">
      <w:pPr>
        <w:pStyle w:val="Heading2"/>
      </w:pPr>
    </w:p>
    <w:p w14:paraId="73D93A00" w14:textId="3BEB76A1" w:rsidR="0030581A" w:rsidRPr="00AA4677" w:rsidRDefault="001A652A" w:rsidP="00644246">
      <w:pPr>
        <w:autoSpaceDE w:val="0"/>
        <w:autoSpaceDN w:val="0"/>
        <w:adjustRightInd w:val="0"/>
        <w:rPr>
          <w:rFonts w:cstheme="minorHAnsi"/>
        </w:rPr>
      </w:pPr>
      <w:r w:rsidRPr="00AA4677">
        <w:rPr>
          <w:rFonts w:cstheme="minorHAnsi"/>
        </w:rPr>
        <w:t xml:space="preserve">Certificates of Confidentiality (CoC) protect research information by prohibiting certain disclosures and conditioning others upon consent from the subject. The protections and requirements of CoCs are outlined in </w:t>
      </w:r>
      <w:hyperlink r:id="rId168" w:history="1">
        <w:r w:rsidRPr="00AA4677">
          <w:rPr>
            <w:rStyle w:val="Hyperlink"/>
            <w:rFonts w:cstheme="minorHAnsi"/>
            <w:color w:val="auto"/>
            <w:u w:val="none"/>
          </w:rPr>
          <w:t>42 U.S.C. 241(d)</w:t>
        </w:r>
      </w:hyperlink>
      <w:r w:rsidRPr="00AA4677">
        <w:rPr>
          <w:rFonts w:cstheme="minorHAnsi"/>
        </w:rPr>
        <w:t xml:space="preserve"> and in written policies and requirements of certain Federal agencies such as </w:t>
      </w:r>
      <w:hyperlink r:id="rId169" w:history="1">
        <w:r w:rsidRPr="00AA4677">
          <w:rPr>
            <w:rStyle w:val="Hyperlink"/>
            <w:rFonts w:cstheme="minorHAnsi"/>
            <w:color w:val="auto"/>
            <w:u w:val="none"/>
          </w:rPr>
          <w:t>NIH</w:t>
        </w:r>
      </w:hyperlink>
      <w:r w:rsidRPr="00AA4677">
        <w:rPr>
          <w:rFonts w:cstheme="minorHAnsi"/>
        </w:rPr>
        <w:t xml:space="preserve"> and </w:t>
      </w:r>
      <w:hyperlink r:id="rId170" w:history="1">
        <w:r w:rsidRPr="00AA4677">
          <w:rPr>
            <w:rStyle w:val="Hyperlink"/>
            <w:rFonts w:cstheme="minorHAnsi"/>
            <w:color w:val="auto"/>
            <w:u w:val="none"/>
          </w:rPr>
          <w:t>CDC</w:t>
        </w:r>
      </w:hyperlink>
      <w:r w:rsidRPr="00AA4677">
        <w:rPr>
          <w:rFonts w:cstheme="minorHAnsi"/>
        </w:rPr>
        <w:t xml:space="preserve"> and are summarized below.  </w:t>
      </w:r>
      <w:bookmarkStart w:id="378" w:name="_Toc522017815"/>
    </w:p>
    <w:p w14:paraId="06F09697" w14:textId="600C66E9" w:rsidR="001A652A" w:rsidRPr="00AA4677" w:rsidRDefault="001A652A" w:rsidP="001A652A">
      <w:pPr>
        <w:rPr>
          <w:rFonts w:cstheme="minorHAnsi"/>
          <w:bCs/>
        </w:rPr>
      </w:pPr>
      <w:r w:rsidRPr="00AA4677">
        <w:rPr>
          <w:rFonts w:cstheme="minorHAnsi"/>
          <w:b/>
        </w:rPr>
        <w:t>17.1</w:t>
      </w:r>
      <w:r w:rsidR="00644246" w:rsidRPr="00AA4677">
        <w:rPr>
          <w:rFonts w:cstheme="minorHAnsi"/>
          <w:b/>
        </w:rPr>
        <w:t>7</w:t>
      </w:r>
      <w:r w:rsidR="0030581A" w:rsidRPr="00AA4677">
        <w:rPr>
          <w:rFonts w:cstheme="minorHAnsi"/>
          <w:b/>
        </w:rPr>
        <w:t>.1</w:t>
      </w:r>
      <w:r w:rsidR="0030581A" w:rsidRPr="00AA4677">
        <w:rPr>
          <w:rFonts w:cstheme="minorHAnsi"/>
          <w:bCs/>
        </w:rPr>
        <w:t xml:space="preserve">  </w:t>
      </w:r>
      <w:bookmarkEnd w:id="378"/>
      <w:r w:rsidRPr="00AA4677">
        <w:rPr>
          <w:rFonts w:cstheme="minorHAnsi"/>
          <w:b/>
        </w:rPr>
        <w:t>Identifiable, Sensitive Information:</w:t>
      </w:r>
      <w:r w:rsidRPr="00AA4677">
        <w:rPr>
          <w:rFonts w:cstheme="minorHAnsi"/>
        </w:rPr>
        <w:t xml:space="preserve"> means information that is about an individual and that is gathered or used </w:t>
      </w:r>
      <w:proofErr w:type="gramStart"/>
      <w:r w:rsidRPr="00AA4677">
        <w:rPr>
          <w:rFonts w:cstheme="minorHAnsi"/>
        </w:rPr>
        <w:t>during the course of</w:t>
      </w:r>
      <w:proofErr w:type="gramEnd"/>
      <w:r w:rsidRPr="00AA4677">
        <w:rPr>
          <w:rFonts w:cstheme="minorHAnsi"/>
        </w:rPr>
        <w:t xml:space="preserve"> biomedical, behavioral, clinical, or </w:t>
      </w:r>
      <w:proofErr w:type="gramStart"/>
      <w:r w:rsidRPr="00AA4677">
        <w:rPr>
          <w:rFonts w:cstheme="minorHAnsi"/>
        </w:rPr>
        <w:t>other</w:t>
      </w:r>
      <w:proofErr w:type="gramEnd"/>
      <w:r w:rsidRPr="00AA4677">
        <w:rPr>
          <w:rFonts w:cstheme="minorHAnsi"/>
        </w:rPr>
        <w:t xml:space="preserve"> research and </w:t>
      </w:r>
    </w:p>
    <w:p w14:paraId="56CDE1EA" w14:textId="77777777" w:rsidR="001A652A" w:rsidRPr="00AA4677" w:rsidRDefault="001A652A">
      <w:pPr>
        <w:pStyle w:val="ListParagraph"/>
        <w:numPr>
          <w:ilvl w:val="0"/>
          <w:numId w:val="180"/>
        </w:numPr>
        <w:spacing w:after="120" w:line="240" w:lineRule="auto"/>
        <w:ind w:left="360"/>
        <w:contextualSpacing w:val="0"/>
        <w:rPr>
          <w:rFonts w:cstheme="minorHAnsi"/>
        </w:rPr>
      </w:pPr>
      <w:r w:rsidRPr="00AA4677">
        <w:rPr>
          <w:rFonts w:cstheme="minorHAnsi"/>
        </w:rPr>
        <w:t xml:space="preserve">Through which an individual is identified; or </w:t>
      </w:r>
    </w:p>
    <w:p w14:paraId="3360BDA7" w14:textId="77777777" w:rsidR="001A652A" w:rsidRPr="00AA4677" w:rsidRDefault="001A652A">
      <w:pPr>
        <w:pStyle w:val="ListParagraph"/>
        <w:numPr>
          <w:ilvl w:val="0"/>
          <w:numId w:val="180"/>
        </w:numPr>
        <w:spacing w:after="120" w:line="240" w:lineRule="auto"/>
        <w:ind w:left="360"/>
        <w:rPr>
          <w:rFonts w:cstheme="minorHAnsi"/>
        </w:rPr>
      </w:pPr>
      <w:r w:rsidRPr="00AA4677">
        <w:rPr>
          <w:rFonts w:cstheme="minorHAnsi"/>
        </w:rPr>
        <w:t>For which there is at least a very small risk, as determined by current scientific practices or statistical methods, that some combination of the information, a request for the information, and other available data sources could be used to deduce the identity of an individual.</w:t>
      </w:r>
    </w:p>
    <w:p w14:paraId="21587BDF" w14:textId="40E8CAB2" w:rsidR="001A652A" w:rsidRPr="00AA4677" w:rsidRDefault="001A652A" w:rsidP="001A652A">
      <w:pPr>
        <w:rPr>
          <w:rFonts w:cstheme="minorHAnsi"/>
          <w:b/>
        </w:rPr>
      </w:pPr>
      <w:bookmarkStart w:id="379" w:name="_Toc522017816"/>
      <w:r w:rsidRPr="00AA4677">
        <w:rPr>
          <w:rFonts w:cstheme="minorHAnsi"/>
          <w:b/>
        </w:rPr>
        <w:t>17.1</w:t>
      </w:r>
      <w:r w:rsidR="00644246" w:rsidRPr="00AA4677">
        <w:rPr>
          <w:rFonts w:cstheme="minorHAnsi"/>
          <w:b/>
        </w:rPr>
        <w:t>7</w:t>
      </w:r>
      <w:r w:rsidRPr="00AA4677">
        <w:rPr>
          <w:rFonts w:cstheme="minorHAnsi"/>
          <w:b/>
        </w:rPr>
        <w:t>.2 Protections and Requirements</w:t>
      </w:r>
      <w:bookmarkEnd w:id="379"/>
    </w:p>
    <w:p w14:paraId="5A94E96F" w14:textId="77777777" w:rsidR="001A652A" w:rsidRPr="00AA4677" w:rsidRDefault="001A652A" w:rsidP="001A652A">
      <w:pPr>
        <w:autoSpaceDE w:val="0"/>
        <w:autoSpaceDN w:val="0"/>
        <w:adjustRightInd w:val="0"/>
        <w:rPr>
          <w:rFonts w:cstheme="minorHAnsi"/>
        </w:rPr>
      </w:pPr>
      <w:r w:rsidRPr="00AA4677">
        <w:rPr>
          <w:rFonts w:cstheme="minorHAnsi"/>
        </w:rPr>
        <w:t xml:space="preserve">When a CoC is issued, whether automatically or under an approved application, the person(s) engaged in the research must not disclose or provide the name of a subject or any information, document, or biospecimen that contains identifiable, sensitive information about the subject and that was compiled for the purposes of the research: </w:t>
      </w:r>
    </w:p>
    <w:p w14:paraId="1DCC35D9" w14:textId="77777777" w:rsidR="001A652A" w:rsidRPr="00AA4677" w:rsidRDefault="001A652A">
      <w:pPr>
        <w:pStyle w:val="ListParagraph"/>
        <w:numPr>
          <w:ilvl w:val="0"/>
          <w:numId w:val="181"/>
        </w:numPr>
        <w:autoSpaceDE w:val="0"/>
        <w:autoSpaceDN w:val="0"/>
        <w:adjustRightInd w:val="0"/>
        <w:spacing w:after="120" w:line="240" w:lineRule="auto"/>
        <w:ind w:left="360"/>
        <w:contextualSpacing w:val="0"/>
        <w:rPr>
          <w:rFonts w:cstheme="minorHAnsi"/>
        </w:rPr>
      </w:pPr>
      <w:r w:rsidRPr="00AA4677">
        <w:rPr>
          <w:rFonts w:cstheme="minorHAnsi"/>
        </w:rPr>
        <w:t>In any Federal, State, or local civil, criminal, administrative, legislative, or other proceeding, unless the disclosure is made with the consent of the individual to whom the information, document, or biospecimen pertains; or</w:t>
      </w:r>
    </w:p>
    <w:p w14:paraId="3E3A763C" w14:textId="77777777" w:rsidR="001A652A" w:rsidRPr="00AA4677" w:rsidRDefault="001A652A">
      <w:pPr>
        <w:pStyle w:val="ListParagraph"/>
        <w:numPr>
          <w:ilvl w:val="0"/>
          <w:numId w:val="181"/>
        </w:numPr>
        <w:autoSpaceDE w:val="0"/>
        <w:autoSpaceDN w:val="0"/>
        <w:adjustRightInd w:val="0"/>
        <w:spacing w:after="120" w:line="240" w:lineRule="auto"/>
        <w:ind w:left="360"/>
        <w:contextualSpacing w:val="0"/>
        <w:rPr>
          <w:rFonts w:cstheme="minorHAnsi"/>
        </w:rPr>
      </w:pPr>
      <w:r w:rsidRPr="00AA4677">
        <w:rPr>
          <w:rFonts w:cstheme="minorHAnsi"/>
        </w:rPr>
        <w:lastRenderedPageBreak/>
        <w:t>To any other person not connected with the research, unless:</w:t>
      </w:r>
    </w:p>
    <w:p w14:paraId="63D6C2AC" w14:textId="77777777" w:rsidR="001A652A" w:rsidRPr="00AA4677" w:rsidRDefault="001A652A">
      <w:pPr>
        <w:pStyle w:val="ListParagraph"/>
        <w:numPr>
          <w:ilvl w:val="1"/>
          <w:numId w:val="181"/>
        </w:numPr>
        <w:autoSpaceDE w:val="0"/>
        <w:autoSpaceDN w:val="0"/>
        <w:adjustRightInd w:val="0"/>
        <w:spacing w:after="120" w:line="240" w:lineRule="auto"/>
        <w:ind w:left="720"/>
        <w:contextualSpacing w:val="0"/>
        <w:rPr>
          <w:rFonts w:cstheme="minorHAnsi"/>
        </w:rPr>
      </w:pPr>
      <w:r w:rsidRPr="00AA4677">
        <w:rPr>
          <w:rFonts w:cstheme="minorHAnsi"/>
        </w:rPr>
        <w:t xml:space="preserve">Required by Federal, State, or local laws (e.g., adverse event reporting to the FDA, transmissible disease reporting required under State law), but excluding proceedings as described in “1” </w:t>
      </w:r>
      <w:proofErr w:type="gramStart"/>
      <w:r w:rsidRPr="00AA4677">
        <w:rPr>
          <w:rFonts w:cstheme="minorHAnsi"/>
        </w:rPr>
        <w:t>above;</w:t>
      </w:r>
      <w:proofErr w:type="gramEnd"/>
      <w:r w:rsidRPr="00AA4677">
        <w:rPr>
          <w:rFonts w:cstheme="minorHAnsi"/>
        </w:rPr>
        <w:t xml:space="preserve"> </w:t>
      </w:r>
    </w:p>
    <w:p w14:paraId="40F72962" w14:textId="77777777" w:rsidR="001A652A" w:rsidRPr="00AA4677" w:rsidRDefault="001A652A">
      <w:pPr>
        <w:pStyle w:val="ListParagraph"/>
        <w:numPr>
          <w:ilvl w:val="1"/>
          <w:numId w:val="181"/>
        </w:numPr>
        <w:autoSpaceDE w:val="0"/>
        <w:autoSpaceDN w:val="0"/>
        <w:adjustRightInd w:val="0"/>
        <w:spacing w:after="120" w:line="240" w:lineRule="auto"/>
        <w:ind w:left="720"/>
        <w:contextualSpacing w:val="0"/>
        <w:rPr>
          <w:rFonts w:cstheme="minorHAnsi"/>
        </w:rPr>
      </w:pPr>
      <w:r w:rsidRPr="00AA4677">
        <w:rPr>
          <w:rFonts w:cstheme="minorHAnsi"/>
        </w:rPr>
        <w:t xml:space="preserve">Necessary for the medical treatment of the subject to whom the information, document, or biospecimen pertains and made with the consent of the </w:t>
      </w:r>
      <w:proofErr w:type="gramStart"/>
      <w:r w:rsidRPr="00AA4677">
        <w:rPr>
          <w:rFonts w:cstheme="minorHAnsi"/>
        </w:rPr>
        <w:t>subject;</w:t>
      </w:r>
      <w:proofErr w:type="gramEnd"/>
      <w:r w:rsidRPr="00AA4677">
        <w:rPr>
          <w:rFonts w:cstheme="minorHAnsi"/>
        </w:rPr>
        <w:t xml:space="preserve"> </w:t>
      </w:r>
    </w:p>
    <w:p w14:paraId="64FB79D4" w14:textId="77777777" w:rsidR="001A652A" w:rsidRPr="00AA4677" w:rsidRDefault="001A652A">
      <w:pPr>
        <w:pStyle w:val="ListParagraph"/>
        <w:numPr>
          <w:ilvl w:val="1"/>
          <w:numId w:val="181"/>
        </w:numPr>
        <w:autoSpaceDE w:val="0"/>
        <w:autoSpaceDN w:val="0"/>
        <w:adjustRightInd w:val="0"/>
        <w:spacing w:after="120" w:line="240" w:lineRule="auto"/>
        <w:ind w:left="720"/>
        <w:contextualSpacing w:val="0"/>
        <w:rPr>
          <w:rFonts w:cstheme="minorHAnsi"/>
        </w:rPr>
      </w:pPr>
      <w:r w:rsidRPr="00AA4677">
        <w:rPr>
          <w:rFonts w:cstheme="minorHAnsi"/>
        </w:rPr>
        <w:t xml:space="preserve">Made with the consent of the individual to whom the information, document, or biospecimens </w:t>
      </w:r>
      <w:proofErr w:type="gramStart"/>
      <w:r w:rsidRPr="00AA4677">
        <w:rPr>
          <w:rFonts w:cstheme="minorHAnsi"/>
        </w:rPr>
        <w:t>pertains</w:t>
      </w:r>
      <w:proofErr w:type="gramEnd"/>
      <w:r w:rsidRPr="00AA4677">
        <w:rPr>
          <w:rFonts w:cstheme="minorHAnsi"/>
        </w:rPr>
        <w:t xml:space="preserve">; or </w:t>
      </w:r>
    </w:p>
    <w:p w14:paraId="1E7DA311" w14:textId="77777777" w:rsidR="001A652A" w:rsidRPr="00AA4677" w:rsidRDefault="001A652A">
      <w:pPr>
        <w:pStyle w:val="ListParagraph"/>
        <w:numPr>
          <w:ilvl w:val="1"/>
          <w:numId w:val="181"/>
        </w:numPr>
        <w:autoSpaceDE w:val="0"/>
        <w:autoSpaceDN w:val="0"/>
        <w:adjustRightInd w:val="0"/>
        <w:spacing w:after="120" w:line="240" w:lineRule="auto"/>
        <w:ind w:left="720"/>
        <w:contextualSpacing w:val="0"/>
        <w:rPr>
          <w:rFonts w:cstheme="minorHAnsi"/>
        </w:rPr>
      </w:pPr>
      <w:r w:rsidRPr="00AA4677">
        <w:rPr>
          <w:rFonts w:cstheme="minorHAnsi"/>
        </w:rPr>
        <w:t xml:space="preserve">Made for the purposes of other scientific research that </w:t>
      </w:r>
      <w:proofErr w:type="gramStart"/>
      <w:r w:rsidRPr="00AA4677">
        <w:rPr>
          <w:rFonts w:cstheme="minorHAnsi"/>
        </w:rPr>
        <w:t>is in compliance with</w:t>
      </w:r>
      <w:proofErr w:type="gramEnd"/>
      <w:r w:rsidRPr="00AA4677">
        <w:rPr>
          <w:rFonts w:cstheme="minorHAnsi"/>
        </w:rPr>
        <w:t xml:space="preserve"> applicable Federal regulations governing the protection of human subjects in research.</w:t>
      </w:r>
    </w:p>
    <w:p w14:paraId="54E58FFA" w14:textId="77777777" w:rsidR="001A652A" w:rsidRPr="00AA4677" w:rsidRDefault="001A652A" w:rsidP="001A652A">
      <w:pPr>
        <w:pStyle w:val="Bullet1DHHS"/>
        <w:tabs>
          <w:tab w:val="clear" w:pos="360"/>
          <w:tab w:val="clear" w:pos="403"/>
          <w:tab w:val="clear" w:pos="673"/>
          <w:tab w:val="left" w:pos="43"/>
        </w:tabs>
        <w:ind w:left="0" w:firstLine="43"/>
        <w:rPr>
          <w:rFonts w:asciiTheme="minorHAnsi" w:hAnsiTheme="minorHAnsi" w:cstheme="minorHAnsi"/>
          <w:color w:val="FF0000"/>
          <w:sz w:val="24"/>
        </w:rPr>
      </w:pPr>
    </w:p>
    <w:p w14:paraId="05D14AA2" w14:textId="629E53A2" w:rsidR="001A652A" w:rsidRPr="00AA4677" w:rsidRDefault="001A652A" w:rsidP="00860A55">
      <w:pPr>
        <w:rPr>
          <w:b/>
        </w:rPr>
      </w:pPr>
      <w:r w:rsidRPr="00AA4677">
        <w:rPr>
          <w:b/>
        </w:rPr>
        <w:t>17.1</w:t>
      </w:r>
      <w:r w:rsidR="00644246" w:rsidRPr="00AA4677">
        <w:rPr>
          <w:b/>
        </w:rPr>
        <w:t>7</w:t>
      </w:r>
      <w:r w:rsidRPr="00AA4677">
        <w:rPr>
          <w:b/>
        </w:rPr>
        <w:t xml:space="preserve">.3 Additional Protections </w:t>
      </w:r>
    </w:p>
    <w:p w14:paraId="4928D00A" w14:textId="77777777" w:rsidR="001A652A" w:rsidRPr="00AA4677" w:rsidRDefault="001A652A" w:rsidP="001A652A">
      <w:pPr>
        <w:autoSpaceDE w:val="0"/>
        <w:autoSpaceDN w:val="0"/>
        <w:adjustRightInd w:val="0"/>
        <w:rPr>
          <w:rFonts w:cstheme="minorHAnsi"/>
        </w:rPr>
      </w:pPr>
      <w:r w:rsidRPr="00AA4677">
        <w:rPr>
          <w:rFonts w:cstheme="minorHAnsi"/>
        </w:rPr>
        <w:t xml:space="preserve">Identifiable, sensitive information protected under a CoC, and all copies thereof, are immune from the legal process, and shall not, without the </w:t>
      </w:r>
      <w:proofErr w:type="gramStart"/>
      <w:r w:rsidRPr="00AA4677">
        <w:rPr>
          <w:rFonts w:cstheme="minorHAnsi"/>
        </w:rPr>
        <w:t>consent of the</w:t>
      </w:r>
      <w:proofErr w:type="gramEnd"/>
      <w:r w:rsidRPr="00AA4677">
        <w:rPr>
          <w:rFonts w:cstheme="minorHAnsi"/>
        </w:rPr>
        <w:t xml:space="preserve"> of the individual to whom the information pertains, be admissible as evidence or used in any action, suit, or other judicial, legislative, or administrative proceeding.</w:t>
      </w:r>
    </w:p>
    <w:p w14:paraId="3DC1E966" w14:textId="77777777" w:rsidR="001A652A" w:rsidRPr="00AA4677" w:rsidRDefault="001A652A" w:rsidP="001A652A">
      <w:pPr>
        <w:rPr>
          <w:rFonts w:cstheme="minorHAnsi"/>
        </w:rPr>
      </w:pPr>
      <w:r w:rsidRPr="00AA4677">
        <w:rPr>
          <w:rFonts w:cstheme="minorHAnsi"/>
        </w:rPr>
        <w:t xml:space="preserve">Identifiable, sensitive information that has been collected under a CoC, and all copies thereof, </w:t>
      </w:r>
      <w:proofErr w:type="gramStart"/>
      <w:r w:rsidRPr="00AA4677">
        <w:rPr>
          <w:rFonts w:cstheme="minorHAnsi"/>
        </w:rPr>
        <w:t>are</w:t>
      </w:r>
      <w:proofErr w:type="gramEnd"/>
      <w:r w:rsidRPr="00AA4677">
        <w:rPr>
          <w:rFonts w:cstheme="minorHAnsi"/>
        </w:rPr>
        <w:t xml:space="preserve"> protected for perpetuity. If identifiable, sensitive information covered by a CoC is shared with other researchers or organizations, the researchers or organizations must be informed that the information is covered by a CoC and of their responsibility to protect the information accordingly. </w:t>
      </w:r>
    </w:p>
    <w:p w14:paraId="5323B8C2" w14:textId="77777777" w:rsidR="001A652A" w:rsidRPr="00AA4677" w:rsidRDefault="001A652A" w:rsidP="001A652A">
      <w:pPr>
        <w:autoSpaceDE w:val="0"/>
        <w:autoSpaceDN w:val="0"/>
        <w:adjustRightInd w:val="0"/>
        <w:rPr>
          <w:rFonts w:cstheme="minorHAnsi"/>
        </w:rPr>
      </w:pPr>
      <w:r w:rsidRPr="00AA4677">
        <w:rPr>
          <w:rFonts w:cstheme="minorHAnsi"/>
        </w:rPr>
        <w:t>Nothing in the rule (</w:t>
      </w:r>
      <w:hyperlink r:id="rId171" w:history="1">
        <w:r w:rsidRPr="00AA4677">
          <w:rPr>
            <w:rStyle w:val="Hyperlink"/>
            <w:rFonts w:cstheme="minorHAnsi"/>
            <w:color w:val="auto"/>
            <w:u w:val="none"/>
          </w:rPr>
          <w:t>42 U.S.C. 241(d)</w:t>
        </w:r>
      </w:hyperlink>
      <w:r w:rsidRPr="00AA4677">
        <w:rPr>
          <w:rFonts w:cstheme="minorHAnsi"/>
        </w:rPr>
        <w:t>) may be construed to limit the access of a subject to information about himself or herself collected during the research.</w:t>
      </w:r>
    </w:p>
    <w:p w14:paraId="1C73C7FD" w14:textId="76B376C5" w:rsidR="001A652A" w:rsidRPr="00AA4677" w:rsidRDefault="001A652A" w:rsidP="001A652A">
      <w:pPr>
        <w:autoSpaceDE w:val="0"/>
        <w:autoSpaceDN w:val="0"/>
        <w:adjustRightInd w:val="0"/>
        <w:rPr>
          <w:rFonts w:cstheme="minorHAnsi"/>
        </w:rPr>
      </w:pPr>
      <w:r w:rsidRPr="00AA4677">
        <w:rPr>
          <w:rFonts w:cstheme="minorHAnsi"/>
        </w:rPr>
        <w:t>When consent is obtained, the consent should inform subjects that a CoC is in place and describe the protections and limitations.</w:t>
      </w:r>
    </w:p>
    <w:p w14:paraId="6743D7F6" w14:textId="7E12FF5E" w:rsidR="001324C3" w:rsidRPr="00AA4677" w:rsidRDefault="001324C3" w:rsidP="001324C3">
      <w:pPr>
        <w:shd w:val="clear" w:color="auto" w:fill="FFFFFF"/>
        <w:spacing w:after="0" w:line="240" w:lineRule="auto"/>
        <w:rPr>
          <w:rFonts w:cs="Arial"/>
          <w:szCs w:val="30"/>
        </w:rPr>
      </w:pPr>
      <w:r w:rsidRPr="00AA4677">
        <w:rPr>
          <w:rFonts w:cs="Arial"/>
          <w:szCs w:val="30"/>
        </w:rPr>
        <w:t>For studies that were previously issued a Certificate, and notified participants of the protections provided by that Certificate, NIH does not expect participants to be notified that the protections afforded by the Certificate have changed, although IRBs may determine whether it is appropriate to inform participants.</w:t>
      </w:r>
    </w:p>
    <w:p w14:paraId="39DBB0E2" w14:textId="77777777" w:rsidR="001324C3" w:rsidRPr="00AA4677" w:rsidRDefault="001324C3" w:rsidP="001324C3">
      <w:pPr>
        <w:shd w:val="clear" w:color="auto" w:fill="FFFFFF"/>
        <w:spacing w:after="0" w:line="240" w:lineRule="auto"/>
        <w:rPr>
          <w:rFonts w:cs="Arial"/>
          <w:szCs w:val="30"/>
        </w:rPr>
      </w:pPr>
    </w:p>
    <w:p w14:paraId="5DE05382" w14:textId="61EA5E8B" w:rsidR="001324C3" w:rsidRPr="00AA4677" w:rsidRDefault="001324C3" w:rsidP="00DA33E9">
      <w:pPr>
        <w:shd w:val="clear" w:color="auto" w:fill="FFFFFF"/>
        <w:spacing w:after="0" w:line="240" w:lineRule="auto"/>
        <w:rPr>
          <w:rFonts w:cs="Arial"/>
          <w:szCs w:val="30"/>
        </w:rPr>
      </w:pPr>
      <w:r w:rsidRPr="00AA4677">
        <w:rPr>
          <w:rFonts w:cs="Arial"/>
          <w:szCs w:val="30"/>
        </w:rPr>
        <w:t>If part of the study cohort was recruited prior to issuance of the Certificate, but are no longer activity participating in the study, NIH does not expect participants consented prior to the change in authority, or prior to the issuance of a Certificate, to be notified that the protections afforded by the Certificate have changed, or that participants who were previously consented to be re-</w:t>
      </w:r>
      <w:r w:rsidRPr="00AA4677">
        <w:rPr>
          <w:rFonts w:cs="Arial"/>
          <w:szCs w:val="30"/>
        </w:rPr>
        <w:lastRenderedPageBreak/>
        <w:t>contacted to be informed of the Certificate, although IRBs may determine whether it is appropriate to inform participants.</w:t>
      </w:r>
    </w:p>
    <w:p w14:paraId="0495EAC0" w14:textId="77777777" w:rsidR="00DA33E9" w:rsidRPr="00AA4677" w:rsidRDefault="00DA33E9" w:rsidP="00DA33E9">
      <w:pPr>
        <w:shd w:val="clear" w:color="auto" w:fill="FFFFFF"/>
        <w:spacing w:after="0" w:line="240" w:lineRule="auto"/>
        <w:rPr>
          <w:rFonts w:cs="Arial"/>
          <w:szCs w:val="30"/>
        </w:rPr>
      </w:pPr>
    </w:p>
    <w:p w14:paraId="20CC02C3" w14:textId="3CAEB84C" w:rsidR="001A652A" w:rsidRPr="00AA4677" w:rsidRDefault="001A652A" w:rsidP="00860A55">
      <w:pPr>
        <w:rPr>
          <w:b/>
        </w:rPr>
      </w:pPr>
      <w:bookmarkStart w:id="380" w:name="_Toc522017817"/>
      <w:r w:rsidRPr="00AA4677">
        <w:rPr>
          <w:b/>
        </w:rPr>
        <w:t>17.1</w:t>
      </w:r>
      <w:r w:rsidR="00644246" w:rsidRPr="00AA4677">
        <w:rPr>
          <w:b/>
        </w:rPr>
        <w:t>7</w:t>
      </w:r>
      <w:r w:rsidRPr="00AA4677">
        <w:rPr>
          <w:b/>
        </w:rPr>
        <w:t>.4 NIH and CDC</w:t>
      </w:r>
      <w:bookmarkEnd w:id="380"/>
      <w:r w:rsidRPr="00AA4677">
        <w:rPr>
          <w:b/>
        </w:rPr>
        <w:t xml:space="preserve"> </w:t>
      </w:r>
    </w:p>
    <w:p w14:paraId="4D92C21D" w14:textId="77777777" w:rsidR="001A652A" w:rsidRPr="00AA4677" w:rsidRDefault="001A652A" w:rsidP="001A652A">
      <w:pPr>
        <w:autoSpaceDE w:val="0"/>
        <w:autoSpaceDN w:val="0"/>
        <w:adjustRightInd w:val="0"/>
        <w:rPr>
          <w:rFonts w:cstheme="minorHAnsi"/>
        </w:rPr>
      </w:pPr>
      <w:r w:rsidRPr="00AA4677">
        <w:rPr>
          <w:rFonts w:cstheme="minorHAnsi"/>
        </w:rPr>
        <w:t xml:space="preserve">The </w:t>
      </w:r>
      <w:hyperlink r:id="rId172" w:history="1">
        <w:r w:rsidRPr="00AA4677">
          <w:rPr>
            <w:rStyle w:val="Hyperlink"/>
            <w:rFonts w:cstheme="minorHAnsi"/>
            <w:color w:val="auto"/>
            <w:u w:val="none"/>
          </w:rPr>
          <w:t>NIH Policy on CoCs</w:t>
        </w:r>
      </w:hyperlink>
      <w:r w:rsidRPr="00AA4677">
        <w:rPr>
          <w:rFonts w:cstheme="minorHAnsi"/>
        </w:rPr>
        <w:t xml:space="preserve"> applies to </w:t>
      </w:r>
      <w:r w:rsidRPr="00AA4677">
        <w:rPr>
          <w:rFonts w:cstheme="minorHAnsi"/>
          <w:i/>
        </w:rPr>
        <w:t xml:space="preserve">“all biomedical, behavioral, clinical, or other research funded wholly or in part by the NIH, whether supported through grants, cooperative agreements, contracts, other transaction awards, or conducted by the NIH Intramural Research Program, that collects or uses identifiable, sensitive information” </w:t>
      </w:r>
      <w:r w:rsidRPr="00AA4677">
        <w:rPr>
          <w:rFonts w:cstheme="minorHAnsi"/>
        </w:rPr>
        <w:t>that was commenced or ongoing on or after December 13, 2016.</w:t>
      </w:r>
    </w:p>
    <w:p w14:paraId="122DB31F" w14:textId="77777777" w:rsidR="001A652A" w:rsidRPr="00AA4677" w:rsidRDefault="001A652A" w:rsidP="001A652A">
      <w:pPr>
        <w:autoSpaceDE w:val="0"/>
        <w:autoSpaceDN w:val="0"/>
        <w:adjustRightInd w:val="0"/>
        <w:rPr>
          <w:rFonts w:cstheme="minorHAnsi"/>
        </w:rPr>
      </w:pPr>
      <w:r w:rsidRPr="00AA4677">
        <w:rPr>
          <w:rFonts w:cstheme="minorHAnsi"/>
        </w:rPr>
        <w:t xml:space="preserve">The </w:t>
      </w:r>
      <w:hyperlink r:id="rId173" w:history="1">
        <w:r w:rsidRPr="00AA4677">
          <w:rPr>
            <w:rStyle w:val="Hyperlink"/>
            <w:rFonts w:cstheme="minorHAnsi"/>
            <w:color w:val="auto"/>
            <w:u w:val="none"/>
          </w:rPr>
          <w:t>CDC requirements for CoCs</w:t>
        </w:r>
      </w:hyperlink>
      <w:r w:rsidRPr="00AA4677">
        <w:rPr>
          <w:rFonts w:cstheme="minorHAnsi"/>
        </w:rPr>
        <w:t xml:space="preserve"> apply to </w:t>
      </w:r>
      <w:r w:rsidRPr="00AA4677">
        <w:rPr>
          <w:rFonts w:cstheme="minorHAnsi"/>
          <w:i/>
        </w:rPr>
        <w:t>“</w:t>
      </w:r>
      <w:r w:rsidRPr="00AA4677">
        <w:rPr>
          <w:rFonts w:cstheme="minorHAnsi"/>
          <w:i/>
          <w:shd w:val="clear" w:color="auto" w:fill="FFFFFF"/>
        </w:rPr>
        <w:t>CDC supported research commenced or ongoing after December 13, 2016 and in which identifiable, sensitive information is collected, as defined by Section 301(d).”</w:t>
      </w:r>
    </w:p>
    <w:p w14:paraId="7E3D64E7" w14:textId="77777777" w:rsidR="001A652A" w:rsidRPr="00AA4677" w:rsidRDefault="001A652A" w:rsidP="001A652A">
      <w:pPr>
        <w:autoSpaceDE w:val="0"/>
        <w:autoSpaceDN w:val="0"/>
        <w:adjustRightInd w:val="0"/>
        <w:rPr>
          <w:rFonts w:cstheme="minorHAnsi"/>
        </w:rPr>
      </w:pPr>
      <w:r w:rsidRPr="00AA4677">
        <w:rPr>
          <w:rFonts w:cstheme="minorHAnsi"/>
        </w:rPr>
        <w:t xml:space="preserve">CoCs are automatically granted, and the requirements of such must be complied with, whenever a NIH or CDC funded activity falls within the scope of the NIH policy or CDC’s requirements.  Investigators and institutions are responsible for determining when research with NIH or CDC support </w:t>
      </w:r>
      <w:proofErr w:type="gramStart"/>
      <w:r w:rsidRPr="00AA4677">
        <w:rPr>
          <w:rFonts w:cstheme="minorHAnsi"/>
        </w:rPr>
        <w:t>are</w:t>
      </w:r>
      <w:proofErr w:type="gramEnd"/>
      <w:r w:rsidRPr="00AA4677">
        <w:rPr>
          <w:rFonts w:cstheme="minorHAnsi"/>
        </w:rPr>
        <w:t xml:space="preserve"> covered by a CoC. </w:t>
      </w:r>
    </w:p>
    <w:p w14:paraId="1454FE69" w14:textId="77777777" w:rsidR="001A652A" w:rsidRPr="00AA4677" w:rsidRDefault="001A652A" w:rsidP="001A652A">
      <w:pPr>
        <w:autoSpaceDE w:val="0"/>
        <w:autoSpaceDN w:val="0"/>
        <w:adjustRightInd w:val="0"/>
        <w:rPr>
          <w:rFonts w:cstheme="minorHAnsi"/>
        </w:rPr>
      </w:pPr>
      <w:r w:rsidRPr="00AA4677">
        <w:rPr>
          <w:rFonts w:cstheme="minorHAnsi"/>
        </w:rPr>
        <w:t>NIH and CDC expand upon 42 U.S.C. 241(d) by explaining that NIH and CDC consider research in which identifiable, sensitive information is collected or used, to include:</w:t>
      </w:r>
    </w:p>
    <w:p w14:paraId="1BB0CBCD" w14:textId="77777777" w:rsidR="001A652A" w:rsidRPr="00AA4677" w:rsidRDefault="001A652A">
      <w:pPr>
        <w:numPr>
          <w:ilvl w:val="0"/>
          <w:numId w:val="179"/>
        </w:numPr>
        <w:autoSpaceDE w:val="0"/>
        <w:autoSpaceDN w:val="0"/>
        <w:adjustRightInd w:val="0"/>
        <w:spacing w:after="120" w:line="240" w:lineRule="auto"/>
        <w:ind w:left="360"/>
        <w:rPr>
          <w:rFonts w:cstheme="minorHAnsi"/>
        </w:rPr>
      </w:pPr>
      <w:r w:rsidRPr="00AA4677">
        <w:rPr>
          <w:rFonts w:cstheme="minorHAnsi"/>
        </w:rPr>
        <w:t>Human subjects research as defined in 45 CFR 46, including research determined to be exempt (except for exempt research when the information obtained is recorded in such a manner that human subjects cannot be identified or the identity of the human subjects cannot readily be ascertained, directly or through identifiers linked to the subjects</w:t>
      </w:r>
      <w:proofErr w:type="gramStart"/>
      <w:r w:rsidRPr="00AA4677">
        <w:rPr>
          <w:rFonts w:cstheme="minorHAnsi"/>
        </w:rPr>
        <w:t>);</w:t>
      </w:r>
      <w:proofErr w:type="gramEnd"/>
    </w:p>
    <w:p w14:paraId="68874027" w14:textId="77777777" w:rsidR="001A652A" w:rsidRPr="00AA4677" w:rsidRDefault="001A652A">
      <w:pPr>
        <w:numPr>
          <w:ilvl w:val="0"/>
          <w:numId w:val="179"/>
        </w:numPr>
        <w:autoSpaceDE w:val="0"/>
        <w:autoSpaceDN w:val="0"/>
        <w:adjustRightInd w:val="0"/>
        <w:spacing w:after="120" w:line="240" w:lineRule="auto"/>
        <w:ind w:left="360"/>
        <w:rPr>
          <w:rFonts w:cstheme="minorHAnsi"/>
        </w:rPr>
      </w:pPr>
      <w:r w:rsidRPr="00AA4677">
        <w:rPr>
          <w:rFonts w:cstheme="minorHAnsi"/>
        </w:rPr>
        <w:t xml:space="preserve">Research involving the collection or use of biospecimens that are identifiable to an individual or for which there is at least a very small risk that some combination of the biospecimen, a request for the biospecimen, and other available data sources could be used to deduce the identity of an </w:t>
      </w:r>
      <w:proofErr w:type="gramStart"/>
      <w:r w:rsidRPr="00AA4677">
        <w:rPr>
          <w:rFonts w:cstheme="minorHAnsi"/>
        </w:rPr>
        <w:t>individual;</w:t>
      </w:r>
      <w:proofErr w:type="gramEnd"/>
    </w:p>
    <w:p w14:paraId="27B4F95A" w14:textId="77777777" w:rsidR="001A652A" w:rsidRPr="00AA4677" w:rsidRDefault="001A652A">
      <w:pPr>
        <w:numPr>
          <w:ilvl w:val="0"/>
          <w:numId w:val="179"/>
        </w:numPr>
        <w:autoSpaceDE w:val="0"/>
        <w:autoSpaceDN w:val="0"/>
        <w:adjustRightInd w:val="0"/>
        <w:spacing w:after="120" w:line="240" w:lineRule="auto"/>
        <w:ind w:left="360"/>
        <w:rPr>
          <w:rFonts w:cstheme="minorHAnsi"/>
        </w:rPr>
      </w:pPr>
      <w:r w:rsidRPr="00AA4677">
        <w:rPr>
          <w:rFonts w:cstheme="minorHAnsi"/>
        </w:rPr>
        <w:t xml:space="preserve">Research that involves the generation of individual level, human genomic data from biospecimens, or the use of such data, </w:t>
      </w:r>
      <w:r w:rsidRPr="00AA4677">
        <w:rPr>
          <w:rFonts w:cstheme="minorHAnsi"/>
          <w:b/>
        </w:rPr>
        <w:t>regardless of whether the data is recorded in such a manner that human subjects can be identified or the identity of the human subjects can readily be ascertained;</w:t>
      </w:r>
      <w:r w:rsidRPr="00AA4677">
        <w:rPr>
          <w:rFonts w:cstheme="minorHAnsi"/>
        </w:rPr>
        <w:t xml:space="preserve"> or</w:t>
      </w:r>
    </w:p>
    <w:p w14:paraId="64CEBBB9" w14:textId="77777777" w:rsidR="001A652A" w:rsidRPr="00AA4677" w:rsidRDefault="001A652A">
      <w:pPr>
        <w:numPr>
          <w:ilvl w:val="0"/>
          <w:numId w:val="179"/>
        </w:numPr>
        <w:autoSpaceDE w:val="0"/>
        <w:autoSpaceDN w:val="0"/>
        <w:adjustRightInd w:val="0"/>
        <w:spacing w:after="0" w:line="240" w:lineRule="auto"/>
        <w:ind w:left="360"/>
        <w:rPr>
          <w:rFonts w:cstheme="minorHAnsi"/>
        </w:rPr>
      </w:pPr>
      <w:r w:rsidRPr="00AA4677">
        <w:rPr>
          <w:rFonts w:cstheme="minorHAnsi"/>
        </w:rPr>
        <w:t xml:space="preserve">Any other research that involves information about an individual for which there is at least a very small risk, as determined by current scientific practices or statistical methods, that some combination of the information, a request for the information, and other available data </w:t>
      </w:r>
      <w:r w:rsidRPr="00AA4677">
        <w:rPr>
          <w:rFonts w:cstheme="minorHAnsi"/>
        </w:rPr>
        <w:lastRenderedPageBreak/>
        <w:t>sources could be used to deduce the identity of an individual, as defined in subsection 301(d) of the Public Health Service Act.</w:t>
      </w:r>
    </w:p>
    <w:p w14:paraId="4BDAB8EF" w14:textId="77777777" w:rsidR="000F3C5C" w:rsidRPr="00AA4677" w:rsidRDefault="000F3C5C" w:rsidP="000F3C5C">
      <w:pPr>
        <w:spacing w:after="0" w:line="240" w:lineRule="auto"/>
        <w:rPr>
          <w:b/>
        </w:rPr>
      </w:pPr>
      <w:bookmarkStart w:id="381" w:name="_Toc522017818"/>
    </w:p>
    <w:p w14:paraId="6A0493BA" w14:textId="745A4CF8" w:rsidR="001A652A" w:rsidRPr="00AA4677" w:rsidRDefault="001A652A" w:rsidP="000F3C5C">
      <w:pPr>
        <w:spacing w:after="0" w:line="240" w:lineRule="auto"/>
        <w:rPr>
          <w:b/>
        </w:rPr>
      </w:pPr>
      <w:r w:rsidRPr="00AA4677">
        <w:rPr>
          <w:b/>
        </w:rPr>
        <w:t>17.1</w:t>
      </w:r>
      <w:r w:rsidR="00644246" w:rsidRPr="00AA4677">
        <w:rPr>
          <w:b/>
        </w:rPr>
        <w:t>7</w:t>
      </w:r>
      <w:r w:rsidRPr="00AA4677">
        <w:rPr>
          <w:b/>
        </w:rPr>
        <w:t>.5 NIH and CDC CoC Determination</w:t>
      </w:r>
      <w:bookmarkEnd w:id="381"/>
    </w:p>
    <w:p w14:paraId="4CA43983" w14:textId="77777777" w:rsidR="001A652A" w:rsidRPr="00AA4677" w:rsidRDefault="001A652A" w:rsidP="000F3C5C">
      <w:pPr>
        <w:autoSpaceDE w:val="0"/>
        <w:autoSpaceDN w:val="0"/>
        <w:adjustRightInd w:val="0"/>
        <w:spacing w:after="0" w:line="240" w:lineRule="auto"/>
        <w:rPr>
          <w:rFonts w:cstheme="minorHAnsi"/>
        </w:rPr>
      </w:pPr>
      <w:r w:rsidRPr="00AA4677">
        <w:rPr>
          <w:rFonts w:cstheme="minorHAnsi"/>
        </w:rPr>
        <w:t xml:space="preserve">At SBU, the Office of Sponsored Programs will, in consultation with the investigator(s) (or Program or Project Director, if applicable), determine if the NIH policy or CDC requirements </w:t>
      </w:r>
      <w:proofErr w:type="gramStart"/>
      <w:r w:rsidRPr="00AA4677">
        <w:rPr>
          <w:rFonts w:cstheme="minorHAnsi"/>
        </w:rPr>
        <w:t>applies</w:t>
      </w:r>
      <w:proofErr w:type="gramEnd"/>
      <w:r w:rsidRPr="00AA4677">
        <w:rPr>
          <w:rFonts w:cstheme="minorHAnsi"/>
        </w:rPr>
        <w:t xml:space="preserve"> to research with NIH or CDC involvement or support.  The questions outlined in the NIH policy and CDC requirements will be used to guide the analysis.  </w:t>
      </w:r>
    </w:p>
    <w:p w14:paraId="533F227E" w14:textId="77777777" w:rsidR="001A652A" w:rsidRPr="00AA4677" w:rsidRDefault="001A652A" w:rsidP="001A652A">
      <w:pPr>
        <w:autoSpaceDE w:val="0"/>
        <w:autoSpaceDN w:val="0"/>
        <w:adjustRightInd w:val="0"/>
        <w:rPr>
          <w:rFonts w:cstheme="minorHAnsi"/>
        </w:rPr>
      </w:pPr>
      <w:r w:rsidRPr="00AA4677">
        <w:rPr>
          <w:rFonts w:cstheme="minorHAnsi"/>
        </w:rPr>
        <w:t xml:space="preserve">When it has been determined that the NIH policy or CDC requirements do not apply, investigators (or Program or Project Directors, if applicable) are responsible for consulting with OSP whenever they are proposing changes to the NIH or CDC supported activity that may impact or change the analysis.  </w:t>
      </w:r>
    </w:p>
    <w:p w14:paraId="381B15B0" w14:textId="77777777" w:rsidR="001A652A" w:rsidRPr="00AA4677" w:rsidRDefault="001A652A" w:rsidP="00C57C98">
      <w:pPr>
        <w:pStyle w:val="Heading3"/>
      </w:pPr>
      <w:r w:rsidRPr="00AA4677">
        <w:t xml:space="preserve">The NIH policy and CDC requirements include additional responsibilities and requirements for internal controls and for ensuring that recipients of identifiable, sensitive information protected by a CoC understand that they are also subject to the requirements of subsection 301(d) of the Public Health Service Act. </w:t>
      </w:r>
    </w:p>
    <w:p w14:paraId="021BD995" w14:textId="23C38F12" w:rsidR="001A652A" w:rsidRPr="00AA4677" w:rsidRDefault="001A652A" w:rsidP="00860A55">
      <w:pPr>
        <w:rPr>
          <w:b/>
        </w:rPr>
      </w:pPr>
      <w:bookmarkStart w:id="382" w:name="_Toc493413510"/>
      <w:bookmarkStart w:id="383" w:name="_Toc493418280"/>
      <w:bookmarkStart w:id="384" w:name="_Toc522017819"/>
      <w:r w:rsidRPr="00AA4677">
        <w:rPr>
          <w:b/>
        </w:rPr>
        <w:t>17.1</w:t>
      </w:r>
      <w:r w:rsidR="00644246" w:rsidRPr="00AA4677">
        <w:rPr>
          <w:b/>
        </w:rPr>
        <w:t>7</w:t>
      </w:r>
      <w:r w:rsidRPr="00AA4677">
        <w:rPr>
          <w:b/>
        </w:rPr>
        <w:t>.6 Application Procedures</w:t>
      </w:r>
      <w:bookmarkEnd w:id="382"/>
      <w:bookmarkEnd w:id="383"/>
      <w:r w:rsidRPr="00AA4677">
        <w:rPr>
          <w:b/>
        </w:rPr>
        <w:t xml:space="preserve"> for non-NIH, non-CDC Research</w:t>
      </w:r>
      <w:bookmarkEnd w:id="384"/>
    </w:p>
    <w:p w14:paraId="0176D80A" w14:textId="77777777" w:rsidR="001A652A" w:rsidRPr="00AA4677" w:rsidRDefault="001A652A" w:rsidP="001A652A">
      <w:pPr>
        <w:rPr>
          <w:rFonts w:cstheme="minorHAnsi"/>
        </w:rPr>
      </w:pPr>
      <w:r w:rsidRPr="00AA4677">
        <w:rPr>
          <w:rFonts w:cstheme="minorHAnsi"/>
        </w:rPr>
        <w:t xml:space="preserve">Any person engaged in human subject research that collects or uses identifiable, sensitive information may apply for a CoC.  For most research, CoCs are obtained from NIH. An investigator may apply for a CoC through the NIH Institute or Center funding research in a scientific area </w:t>
      </w:r>
      <w:proofErr w:type="gramStart"/>
      <w:r w:rsidRPr="00AA4677">
        <w:rPr>
          <w:rFonts w:cstheme="minorHAnsi"/>
        </w:rPr>
        <w:t>similar to</w:t>
      </w:r>
      <w:proofErr w:type="gramEnd"/>
      <w:r w:rsidRPr="00AA4677">
        <w:rPr>
          <w:rFonts w:cstheme="minorHAnsi"/>
        </w:rPr>
        <w:t xml:space="preserve"> the project. </w:t>
      </w:r>
    </w:p>
    <w:p w14:paraId="474A9FDF" w14:textId="77777777" w:rsidR="001A652A" w:rsidRPr="00AA4677" w:rsidRDefault="001A652A" w:rsidP="001A652A">
      <w:pPr>
        <w:rPr>
          <w:rFonts w:cstheme="minorHAnsi"/>
        </w:rPr>
      </w:pPr>
      <w:r w:rsidRPr="00AA4677">
        <w:rPr>
          <w:rFonts w:cstheme="minorHAnsi"/>
        </w:rPr>
        <w:t xml:space="preserve">When a researcher is conducting a research project that is covered by the </w:t>
      </w:r>
      <w:r w:rsidRPr="00AA4677">
        <w:rPr>
          <w:rFonts w:cstheme="minorHAnsi"/>
          <w:iCs/>
        </w:rPr>
        <w:t>Agency for Healthcare Research and Quality</w:t>
      </w:r>
      <w:r w:rsidRPr="00AA4677">
        <w:rPr>
          <w:rFonts w:cstheme="minorHAnsi"/>
        </w:rPr>
        <w:t xml:space="preserve"> (AHRQ) confidentiality statute (</w:t>
      </w:r>
      <w:hyperlink r:id="rId174" w:history="1">
        <w:r w:rsidRPr="00AA4677">
          <w:rPr>
            <w:rStyle w:val="Hyperlink"/>
            <w:rFonts w:cstheme="minorHAnsi"/>
            <w:color w:val="auto"/>
            <w:u w:val="none"/>
          </w:rPr>
          <w:t>42 U.S.C. section 299c-3(c)</w:t>
        </w:r>
      </w:hyperlink>
      <w:r w:rsidRPr="00AA4677">
        <w:rPr>
          <w:rFonts w:cstheme="minorHAnsi"/>
        </w:rPr>
        <w:t>), a CoC is not needed (</w:t>
      </w:r>
      <w:hyperlink r:id="rId175" w:history="1">
        <w:r w:rsidRPr="00AA4677">
          <w:rPr>
            <w:rStyle w:val="Hyperlink"/>
            <w:rFonts w:cstheme="minorHAnsi"/>
            <w:color w:val="auto"/>
            <w:u w:val="none"/>
          </w:rPr>
          <w:t>AHRQ notice NOT-HS-18-012</w:t>
        </w:r>
      </w:hyperlink>
      <w:r w:rsidRPr="00AA4677">
        <w:rPr>
          <w:rFonts w:cstheme="minorHAnsi"/>
        </w:rPr>
        <w:t xml:space="preserve">).  While the AHRQ statute does not define “identifiable”, AHRQ applies the PHS Act definition of “identifiable, sensitive information”. Investigators should consult with AHRQ when they believe that data might be considered “non-identifiable” or when otherwise uncertain whether a research project falls within the scope of the statute.   </w:t>
      </w:r>
    </w:p>
    <w:p w14:paraId="14E40D3E" w14:textId="77777777" w:rsidR="001A652A" w:rsidRPr="00AA4677" w:rsidRDefault="001A652A" w:rsidP="001A652A">
      <w:pPr>
        <w:rPr>
          <w:rFonts w:cstheme="minorHAnsi"/>
        </w:rPr>
      </w:pPr>
      <w:r w:rsidRPr="00AA4677">
        <w:rPr>
          <w:rFonts w:cstheme="minorHAnsi"/>
        </w:rPr>
        <w:t xml:space="preserve">When a researcher is conducting a research project that is covered by the Department of Justice (DoJ) </w:t>
      </w:r>
      <w:hyperlink r:id="rId176" w:history="1">
        <w:r w:rsidRPr="00AA4677">
          <w:rPr>
            <w:rStyle w:val="Hyperlink"/>
            <w:rFonts w:cstheme="minorHAnsi"/>
            <w:color w:val="auto"/>
            <w:u w:val="none"/>
          </w:rPr>
          <w:t>confidentiality statute</w:t>
        </w:r>
      </w:hyperlink>
      <w:r w:rsidRPr="00AA4677">
        <w:rPr>
          <w:rFonts w:cstheme="minorHAnsi"/>
        </w:rPr>
        <w:t xml:space="preserve">, </w:t>
      </w:r>
      <w:hyperlink r:id="rId177" w:history="1">
        <w:r w:rsidRPr="00AA4677">
          <w:rPr>
            <w:rStyle w:val="Hyperlink"/>
            <w:rFonts w:cstheme="minorHAnsi"/>
            <w:color w:val="auto"/>
            <w:u w:val="none"/>
          </w:rPr>
          <w:t>28 CFR 22</w:t>
        </w:r>
      </w:hyperlink>
      <w:r w:rsidRPr="00AA4677">
        <w:rPr>
          <w:rFonts w:cstheme="minorHAnsi"/>
        </w:rPr>
        <w:t xml:space="preserve">, and/or a </w:t>
      </w:r>
      <w:hyperlink r:id="rId178" w:history="1">
        <w:r w:rsidRPr="00AA4677">
          <w:rPr>
            <w:rStyle w:val="Hyperlink"/>
            <w:rFonts w:cstheme="minorHAnsi"/>
            <w:color w:val="auto"/>
            <w:u w:val="none"/>
          </w:rPr>
          <w:t>NIJ Privacy Certificate</w:t>
        </w:r>
      </w:hyperlink>
      <w:r w:rsidRPr="00AA4677">
        <w:rPr>
          <w:rFonts w:cstheme="minorHAnsi"/>
        </w:rPr>
        <w:t>, a CoC may not be needed.  Investigators should consult with DoJ/NIJ to determine whether a CoC should be obtained.</w:t>
      </w:r>
    </w:p>
    <w:p w14:paraId="0BDCC517" w14:textId="77777777" w:rsidR="001A652A" w:rsidRPr="00AA4677" w:rsidRDefault="001A652A" w:rsidP="001A652A">
      <w:pPr>
        <w:rPr>
          <w:rFonts w:cstheme="minorHAnsi"/>
        </w:rPr>
      </w:pPr>
      <w:r w:rsidRPr="00AA4677">
        <w:rPr>
          <w:rFonts w:cstheme="minorHAnsi"/>
        </w:rPr>
        <w:t>If there is an Investigational New Drug Application (IND) or an Investigational Device Exemption (IDE), the sponsor can request a CoC from the FDA.  When the FDA funds or conducts research, a CoC is automatically issued.</w:t>
      </w:r>
    </w:p>
    <w:p w14:paraId="2F81B45C" w14:textId="77777777" w:rsidR="001A652A" w:rsidRPr="00AA4677" w:rsidRDefault="001A652A" w:rsidP="001A652A">
      <w:pPr>
        <w:rPr>
          <w:rFonts w:cstheme="minorHAnsi"/>
        </w:rPr>
      </w:pPr>
      <w:r w:rsidRPr="00AA4677">
        <w:rPr>
          <w:rFonts w:cstheme="minorHAnsi"/>
        </w:rPr>
        <w:lastRenderedPageBreak/>
        <w:t xml:space="preserve">CoCs may also be issued by other Federal agencies and departments, such as </w:t>
      </w:r>
      <w:hyperlink r:id="rId179" w:history="1">
        <w:r w:rsidRPr="00AA4677">
          <w:rPr>
            <w:rStyle w:val="Hyperlink"/>
            <w:rFonts w:cstheme="minorHAnsi"/>
            <w:color w:val="auto"/>
            <w:u w:val="none"/>
          </w:rPr>
          <w:t>SAMSHA</w:t>
        </w:r>
      </w:hyperlink>
      <w:r w:rsidRPr="00AA4677">
        <w:rPr>
          <w:rFonts w:cstheme="minorHAnsi"/>
        </w:rPr>
        <w:t xml:space="preserve"> and </w:t>
      </w:r>
      <w:hyperlink r:id="rId180" w:history="1">
        <w:r w:rsidRPr="00AA4677">
          <w:rPr>
            <w:rStyle w:val="Hyperlink"/>
            <w:rFonts w:cstheme="minorHAnsi"/>
            <w:color w:val="auto"/>
            <w:u w:val="none"/>
          </w:rPr>
          <w:t>HRSA</w:t>
        </w:r>
      </w:hyperlink>
      <w:r w:rsidRPr="00AA4677">
        <w:rPr>
          <w:rFonts w:cstheme="minorHAnsi"/>
        </w:rPr>
        <w:t>.</w:t>
      </w:r>
    </w:p>
    <w:p w14:paraId="1DF0FF52" w14:textId="77777777" w:rsidR="001A652A" w:rsidRPr="00AA4677" w:rsidRDefault="001A652A" w:rsidP="001A652A">
      <w:pPr>
        <w:rPr>
          <w:rFonts w:cstheme="minorHAnsi"/>
          <w:bCs/>
        </w:rPr>
      </w:pPr>
      <w:r w:rsidRPr="00AA4677">
        <w:rPr>
          <w:rFonts w:cstheme="minorHAnsi"/>
        </w:rPr>
        <w:t xml:space="preserve">For more information, see the </w:t>
      </w:r>
      <w:hyperlink r:id="rId181" w:history="1">
        <w:r w:rsidRPr="00AA4677">
          <w:rPr>
            <w:rStyle w:val="Hyperlink"/>
            <w:rFonts w:cstheme="minorHAnsi"/>
            <w:color w:val="auto"/>
            <w:u w:val="none"/>
          </w:rPr>
          <w:t>NIH CoC Website</w:t>
        </w:r>
      </w:hyperlink>
      <w:r w:rsidRPr="00AA4677">
        <w:rPr>
          <w:rFonts w:cstheme="minorHAnsi"/>
          <w:bCs/>
        </w:rPr>
        <w:t xml:space="preserve">. </w:t>
      </w:r>
    </w:p>
    <w:p w14:paraId="417FB4B8" w14:textId="61A80070" w:rsidR="001A652A" w:rsidRPr="00AA4677" w:rsidRDefault="001A652A" w:rsidP="00860A55">
      <w:pPr>
        <w:rPr>
          <w:b/>
        </w:rPr>
      </w:pPr>
      <w:bookmarkStart w:id="385" w:name="_Toc522017820"/>
      <w:r w:rsidRPr="00AA4677">
        <w:rPr>
          <w:b/>
        </w:rPr>
        <w:t>17.1</w:t>
      </w:r>
      <w:r w:rsidR="00644246" w:rsidRPr="00AA4677">
        <w:rPr>
          <w:b/>
        </w:rPr>
        <w:t>7</w:t>
      </w:r>
      <w:r w:rsidRPr="00AA4677">
        <w:rPr>
          <w:b/>
        </w:rPr>
        <w:t>.7 IRB Review</w:t>
      </w:r>
      <w:bookmarkEnd w:id="385"/>
    </w:p>
    <w:p w14:paraId="5B44DF11" w14:textId="7D7A1681" w:rsidR="001A652A" w:rsidRPr="00AA4677" w:rsidRDefault="001A652A" w:rsidP="001A652A">
      <w:pPr>
        <w:rPr>
          <w:rFonts w:cstheme="minorHAnsi"/>
        </w:rPr>
      </w:pPr>
      <w:r w:rsidRPr="00AA4677">
        <w:rPr>
          <w:rFonts w:cstheme="minorHAnsi"/>
        </w:rPr>
        <w:t>Invest</w:t>
      </w:r>
      <w:r w:rsidR="00785476" w:rsidRPr="00AA4677">
        <w:rPr>
          <w:rFonts w:cstheme="minorHAnsi"/>
        </w:rPr>
        <w:t>8</w:t>
      </w:r>
      <w:r w:rsidRPr="00AA4677">
        <w:rPr>
          <w:rFonts w:cstheme="minorHAnsi"/>
        </w:rPr>
        <w:t xml:space="preserve">gators are responsible for clearly representing in the IRB submission that a CoC is in place, or that an application for CoC has been submitted or is pending.  When the CoC application is in process or pending, the IRB will condition final approval upon its receipt.  </w:t>
      </w:r>
    </w:p>
    <w:p w14:paraId="7C2E826A" w14:textId="77777777" w:rsidR="001A652A" w:rsidRPr="00AA4677" w:rsidRDefault="001A652A" w:rsidP="001A652A">
      <w:pPr>
        <w:rPr>
          <w:rFonts w:cstheme="minorHAnsi"/>
        </w:rPr>
      </w:pPr>
      <w:r w:rsidRPr="00AA4677">
        <w:rPr>
          <w:rFonts w:cstheme="minorHAnsi"/>
        </w:rPr>
        <w:t>For studies that are already underway, investigators must submit an amendment to the IRB, along with updated consent language (if applicable), when a CoC is applied for, or when automatically issued under the NIH policy or CDC requirements.</w:t>
      </w:r>
    </w:p>
    <w:p w14:paraId="1F4E0449" w14:textId="77777777" w:rsidR="001A652A" w:rsidRPr="00AA4677" w:rsidRDefault="001A652A" w:rsidP="001A652A">
      <w:pPr>
        <w:rPr>
          <w:rFonts w:cstheme="minorHAnsi"/>
        </w:rPr>
      </w:pPr>
      <w:r w:rsidRPr="00AA4677">
        <w:rPr>
          <w:rFonts w:cstheme="minorHAnsi"/>
        </w:rPr>
        <w:t xml:space="preserve">When reviewing research under a CoC, the IRB will evaluate whether the research plan is consistent with the obligations to protect information and specimens under a CoC and, when consent </w:t>
      </w:r>
      <w:proofErr w:type="gramStart"/>
      <w:r w:rsidRPr="00AA4677">
        <w:rPr>
          <w:rFonts w:cstheme="minorHAnsi"/>
        </w:rPr>
        <w:t>will be</w:t>
      </w:r>
      <w:proofErr w:type="gramEnd"/>
      <w:r w:rsidRPr="00AA4677">
        <w:rPr>
          <w:rFonts w:cstheme="minorHAnsi"/>
        </w:rPr>
        <w:t xml:space="preserve"> obtained, whether the proposed consent language or other </w:t>
      </w:r>
      <w:proofErr w:type="gramStart"/>
      <w:r w:rsidRPr="00AA4677">
        <w:rPr>
          <w:rFonts w:cstheme="minorHAnsi"/>
        </w:rPr>
        <w:t>form of notification</w:t>
      </w:r>
      <w:proofErr w:type="gramEnd"/>
      <w:r w:rsidRPr="00AA4677">
        <w:rPr>
          <w:rFonts w:cstheme="minorHAnsi"/>
        </w:rPr>
        <w:t xml:space="preserve"> properly discloses the CoC and appropriately describes the associated protections and limitations.  Sample consent language is available on the </w:t>
      </w:r>
      <w:hyperlink r:id="rId182" w:history="1">
        <w:r w:rsidRPr="00AA4677">
          <w:rPr>
            <w:rStyle w:val="Hyperlink"/>
            <w:rFonts w:cstheme="minorHAnsi"/>
            <w:color w:val="auto"/>
            <w:u w:val="none"/>
          </w:rPr>
          <w:t>NIH CoC Website</w:t>
        </w:r>
      </w:hyperlink>
      <w:r w:rsidRPr="00AA4677">
        <w:rPr>
          <w:rFonts w:cstheme="minorHAnsi"/>
        </w:rPr>
        <w:t xml:space="preserve"> and in the template consent forms available in the IRB electronic management system.</w:t>
      </w:r>
    </w:p>
    <w:p w14:paraId="217D7D4A" w14:textId="32AD76A1" w:rsidR="001A652A" w:rsidRPr="00AA4677" w:rsidRDefault="001A652A" w:rsidP="001A652A">
      <w:pPr>
        <w:rPr>
          <w:rFonts w:cstheme="minorHAnsi"/>
        </w:rPr>
      </w:pPr>
      <w:r w:rsidRPr="00AA4677">
        <w:rPr>
          <w:rFonts w:cstheme="minorHAnsi"/>
        </w:rPr>
        <w:t xml:space="preserve">When research is not under a CoC, the IRB may require an investigator to apply for a CoC if the research includes identifiable, sensitive information and the IRB determines that a CoC is necessary to minimize risks and adequately </w:t>
      </w:r>
      <w:proofErr w:type="gramStart"/>
      <w:r w:rsidRPr="00AA4677">
        <w:rPr>
          <w:rFonts w:cstheme="minorHAnsi"/>
        </w:rPr>
        <w:t>protect</w:t>
      </w:r>
      <w:proofErr w:type="gramEnd"/>
      <w:r w:rsidRPr="00AA4677">
        <w:rPr>
          <w:rFonts w:cstheme="minorHAnsi"/>
        </w:rPr>
        <w:t xml:space="preserve"> subjects’ privacy and the confidentiality of subjects’ information or specimens.</w:t>
      </w:r>
    </w:p>
    <w:p w14:paraId="449400BB" w14:textId="085F85E0" w:rsidR="00675799" w:rsidRPr="00696B35" w:rsidRDefault="0030581A" w:rsidP="00696B35">
      <w:pPr>
        <w:pStyle w:val="Heading2"/>
      </w:pPr>
      <w:bookmarkStart w:id="386" w:name="_Toc192678293"/>
      <w:bookmarkStart w:id="387" w:name="_Hlk160541522"/>
      <w:proofErr w:type="gramStart"/>
      <w:r w:rsidRPr="00696B35">
        <w:t xml:space="preserve">17.18  </w:t>
      </w:r>
      <w:r w:rsidR="005A48F3" w:rsidRPr="00696B35">
        <w:t>Family</w:t>
      </w:r>
      <w:proofErr w:type="gramEnd"/>
      <w:r w:rsidR="005A48F3" w:rsidRPr="00696B35">
        <w:t xml:space="preserve"> Educational </w:t>
      </w:r>
      <w:r w:rsidR="00785476" w:rsidRPr="00696B35">
        <w:t xml:space="preserve">Rights </w:t>
      </w:r>
      <w:r w:rsidR="005A48F3" w:rsidRPr="00696B35">
        <w:t>and Privacy Act (FERPA)</w:t>
      </w:r>
      <w:bookmarkEnd w:id="386"/>
    </w:p>
    <w:p w14:paraId="1BDCD6BF" w14:textId="77777777" w:rsidR="0030581A" w:rsidRPr="00AA4677" w:rsidRDefault="0030581A" w:rsidP="0030581A">
      <w:pPr>
        <w:pStyle w:val="Heading1"/>
        <w:ind w:left="720"/>
      </w:pPr>
    </w:p>
    <w:p w14:paraId="6CD9C9A2" w14:textId="1D9CA521" w:rsidR="005A48F3" w:rsidRPr="00AA4677" w:rsidRDefault="005A48F3" w:rsidP="00FC3BE7">
      <w:pPr>
        <w:rPr>
          <w:rFonts w:cstheme="minorHAnsi"/>
        </w:rPr>
      </w:pPr>
      <w:r w:rsidRPr="00AA4677">
        <w:rPr>
          <w:rFonts w:cstheme="minorHAnsi"/>
        </w:rPr>
        <w:t xml:space="preserve">The Family Educational </w:t>
      </w:r>
      <w:r w:rsidR="00785476" w:rsidRPr="00AA4677">
        <w:rPr>
          <w:rFonts w:cstheme="minorHAnsi"/>
        </w:rPr>
        <w:t xml:space="preserve">Rights </w:t>
      </w:r>
      <w:r w:rsidRPr="00AA4677">
        <w:rPr>
          <w:rFonts w:cstheme="minorHAnsi"/>
        </w:rPr>
        <w:t>and Privacy Act (FERPA</w:t>
      </w:r>
      <w:r w:rsidR="006D3B26" w:rsidRPr="00AA4677">
        <w:rPr>
          <w:rFonts w:cstheme="minorHAnsi"/>
        </w:rPr>
        <w:t>) is a federal law regarding privacy of student records and the obligation of institutions to protect that privacy restricting access to those records. Educational institutions that receive federal funding (administered by the US Secretary of Eucation) are bound by FERPA requirements. Funding can be withheld if institutions do not comply with FERPA.  For FERPA to be set in motion, the information has to be directly related to a particular student and maintained by an educational institution.</w:t>
      </w:r>
    </w:p>
    <w:p w14:paraId="410D13B8" w14:textId="77777777" w:rsidR="006D3B26" w:rsidRPr="00AA4677" w:rsidRDefault="006D3B26" w:rsidP="006D3B26">
      <w:pPr>
        <w:rPr>
          <w:rFonts w:cstheme="minorHAnsi"/>
        </w:rPr>
      </w:pPr>
      <w:r w:rsidRPr="00AA4677">
        <w:rPr>
          <w:rFonts w:cstheme="minorHAnsi"/>
        </w:rPr>
        <w:t>Education records include the following:</w:t>
      </w:r>
    </w:p>
    <w:p w14:paraId="2DBA4C31" w14:textId="77777777" w:rsidR="006D3B26" w:rsidRPr="00AA4677" w:rsidRDefault="006D3B26" w:rsidP="00644246">
      <w:pPr>
        <w:numPr>
          <w:ilvl w:val="0"/>
          <w:numId w:val="335"/>
        </w:numPr>
        <w:tabs>
          <w:tab w:val="clear" w:pos="720"/>
          <w:tab w:val="num" w:pos="360"/>
        </w:tabs>
        <w:spacing w:after="0" w:line="240" w:lineRule="auto"/>
        <w:ind w:left="360"/>
        <w:rPr>
          <w:rFonts w:cstheme="minorHAnsi"/>
        </w:rPr>
      </w:pPr>
      <w:r w:rsidRPr="00AA4677">
        <w:rPr>
          <w:rFonts w:cstheme="minorHAnsi"/>
        </w:rPr>
        <w:t>Graded papers</w:t>
      </w:r>
    </w:p>
    <w:p w14:paraId="5F09BF2D" w14:textId="77777777" w:rsidR="006D3B26" w:rsidRPr="00AA4677" w:rsidRDefault="006D3B26" w:rsidP="00644246">
      <w:pPr>
        <w:numPr>
          <w:ilvl w:val="0"/>
          <w:numId w:val="335"/>
        </w:numPr>
        <w:tabs>
          <w:tab w:val="clear" w:pos="720"/>
          <w:tab w:val="num" w:pos="360"/>
        </w:tabs>
        <w:spacing w:after="0" w:line="240" w:lineRule="auto"/>
        <w:ind w:left="360"/>
        <w:rPr>
          <w:rFonts w:cstheme="minorHAnsi"/>
        </w:rPr>
      </w:pPr>
      <w:r w:rsidRPr="00AA4677">
        <w:rPr>
          <w:rFonts w:cstheme="minorHAnsi"/>
        </w:rPr>
        <w:t>Exams</w:t>
      </w:r>
    </w:p>
    <w:p w14:paraId="13F81736" w14:textId="77777777" w:rsidR="006D3B26" w:rsidRPr="00AA4677" w:rsidRDefault="006D3B26" w:rsidP="00644246">
      <w:pPr>
        <w:numPr>
          <w:ilvl w:val="0"/>
          <w:numId w:val="335"/>
        </w:numPr>
        <w:tabs>
          <w:tab w:val="clear" w:pos="720"/>
          <w:tab w:val="num" w:pos="360"/>
        </w:tabs>
        <w:spacing w:after="0" w:line="240" w:lineRule="auto"/>
        <w:ind w:left="360"/>
        <w:rPr>
          <w:rFonts w:cstheme="minorHAnsi"/>
        </w:rPr>
      </w:pPr>
      <w:r w:rsidRPr="00AA4677">
        <w:rPr>
          <w:rFonts w:cstheme="minorHAnsi"/>
        </w:rPr>
        <w:t>Transcripts</w:t>
      </w:r>
    </w:p>
    <w:p w14:paraId="2F9F41BE" w14:textId="77777777" w:rsidR="006D3B26" w:rsidRPr="00AA4677" w:rsidRDefault="006D3B26" w:rsidP="00644246">
      <w:pPr>
        <w:numPr>
          <w:ilvl w:val="0"/>
          <w:numId w:val="335"/>
        </w:numPr>
        <w:tabs>
          <w:tab w:val="clear" w:pos="720"/>
          <w:tab w:val="num" w:pos="360"/>
        </w:tabs>
        <w:spacing w:after="0" w:line="240" w:lineRule="auto"/>
        <w:ind w:left="360"/>
        <w:rPr>
          <w:rFonts w:cstheme="minorHAnsi"/>
        </w:rPr>
      </w:pPr>
      <w:r w:rsidRPr="00AA4677">
        <w:rPr>
          <w:rFonts w:cstheme="minorHAnsi"/>
        </w:rPr>
        <w:t>Class rosters</w:t>
      </w:r>
    </w:p>
    <w:p w14:paraId="0BA9E8AC" w14:textId="77777777" w:rsidR="006D3B26" w:rsidRPr="00AA4677" w:rsidRDefault="006D3B26" w:rsidP="00644246">
      <w:pPr>
        <w:numPr>
          <w:ilvl w:val="0"/>
          <w:numId w:val="335"/>
        </w:numPr>
        <w:tabs>
          <w:tab w:val="clear" w:pos="720"/>
          <w:tab w:val="num" w:pos="360"/>
        </w:tabs>
        <w:spacing w:after="0" w:line="240" w:lineRule="auto"/>
        <w:ind w:left="360"/>
        <w:rPr>
          <w:rFonts w:cstheme="minorHAnsi"/>
        </w:rPr>
      </w:pPr>
      <w:r w:rsidRPr="00AA4677">
        <w:rPr>
          <w:rFonts w:cstheme="minorHAnsi"/>
        </w:rPr>
        <w:lastRenderedPageBreak/>
        <w:t>Notes from conversations with students</w:t>
      </w:r>
    </w:p>
    <w:p w14:paraId="104FCF60" w14:textId="77777777" w:rsidR="006D3B26" w:rsidRPr="00AA4677" w:rsidRDefault="006D3B26" w:rsidP="00644246">
      <w:pPr>
        <w:numPr>
          <w:ilvl w:val="0"/>
          <w:numId w:val="335"/>
        </w:numPr>
        <w:tabs>
          <w:tab w:val="clear" w:pos="720"/>
          <w:tab w:val="num" w:pos="360"/>
        </w:tabs>
        <w:spacing w:after="0" w:line="240" w:lineRule="auto"/>
        <w:ind w:left="360"/>
        <w:rPr>
          <w:rFonts w:cstheme="minorHAnsi"/>
        </w:rPr>
      </w:pPr>
      <w:r w:rsidRPr="00AA4677">
        <w:rPr>
          <w:rFonts w:cstheme="minorHAnsi"/>
        </w:rPr>
        <w:t>Computer screens displaying student information</w:t>
      </w:r>
    </w:p>
    <w:p w14:paraId="428D81BA" w14:textId="1A74B6ED" w:rsidR="00644246" w:rsidRPr="00AA4677" w:rsidRDefault="006D3B26" w:rsidP="006D3B26">
      <w:pPr>
        <w:numPr>
          <w:ilvl w:val="0"/>
          <w:numId w:val="335"/>
        </w:numPr>
        <w:tabs>
          <w:tab w:val="clear" w:pos="720"/>
          <w:tab w:val="num" w:pos="360"/>
        </w:tabs>
        <w:spacing w:after="0" w:line="240" w:lineRule="auto"/>
        <w:ind w:left="360"/>
        <w:rPr>
          <w:rFonts w:cstheme="minorHAnsi"/>
        </w:rPr>
      </w:pPr>
      <w:r w:rsidRPr="00AA4677">
        <w:rPr>
          <w:rFonts w:cstheme="minorHAnsi"/>
        </w:rPr>
        <w:t>Email containing information about a student</w:t>
      </w:r>
    </w:p>
    <w:p w14:paraId="5EE8A488" w14:textId="77777777" w:rsidR="00644246" w:rsidRPr="00AA4677" w:rsidRDefault="00644246" w:rsidP="00644246">
      <w:pPr>
        <w:spacing w:after="0" w:line="240" w:lineRule="auto"/>
        <w:ind w:left="360"/>
        <w:rPr>
          <w:rFonts w:cstheme="minorHAnsi"/>
        </w:rPr>
      </w:pPr>
    </w:p>
    <w:p w14:paraId="6919377E" w14:textId="5C72FE2A" w:rsidR="006D3B26" w:rsidRPr="00AA4677" w:rsidRDefault="006D3B26" w:rsidP="006D3B26">
      <w:pPr>
        <w:rPr>
          <w:rFonts w:cstheme="minorHAnsi"/>
        </w:rPr>
      </w:pPr>
      <w:r w:rsidRPr="00AA4677">
        <w:rPr>
          <w:rFonts w:cstheme="minorHAnsi"/>
        </w:rPr>
        <w:t>Education records do not include the following:</w:t>
      </w:r>
    </w:p>
    <w:p w14:paraId="0772DD1F" w14:textId="77777777" w:rsidR="006D3B26" w:rsidRPr="00AA4677" w:rsidRDefault="006D3B26" w:rsidP="00644246">
      <w:pPr>
        <w:numPr>
          <w:ilvl w:val="0"/>
          <w:numId w:val="336"/>
        </w:numPr>
        <w:tabs>
          <w:tab w:val="clear" w:pos="720"/>
          <w:tab w:val="num" w:pos="360"/>
        </w:tabs>
        <w:spacing w:after="0" w:line="240" w:lineRule="auto"/>
        <w:ind w:left="360"/>
        <w:rPr>
          <w:rFonts w:cstheme="minorHAnsi"/>
        </w:rPr>
      </w:pPr>
      <w:r w:rsidRPr="00AA4677">
        <w:rPr>
          <w:rFonts w:cstheme="minorHAnsi"/>
        </w:rPr>
        <w:t>Online forums</w:t>
      </w:r>
    </w:p>
    <w:p w14:paraId="5C999838" w14:textId="77777777" w:rsidR="006D3B26" w:rsidRPr="00AA4677" w:rsidRDefault="006D3B26" w:rsidP="00644246">
      <w:pPr>
        <w:numPr>
          <w:ilvl w:val="0"/>
          <w:numId w:val="336"/>
        </w:numPr>
        <w:tabs>
          <w:tab w:val="clear" w:pos="720"/>
          <w:tab w:val="num" w:pos="360"/>
        </w:tabs>
        <w:spacing w:after="0" w:line="240" w:lineRule="auto"/>
        <w:ind w:left="360"/>
        <w:rPr>
          <w:rFonts w:cstheme="minorHAnsi"/>
        </w:rPr>
      </w:pPr>
      <w:r w:rsidRPr="00AA4677">
        <w:rPr>
          <w:rFonts w:cstheme="minorHAnsi"/>
        </w:rPr>
        <w:t>Peer graded papers</w:t>
      </w:r>
    </w:p>
    <w:p w14:paraId="0B7191C3" w14:textId="77777777" w:rsidR="006D3B26" w:rsidRPr="00AA4677" w:rsidRDefault="006D3B26" w:rsidP="00644246">
      <w:pPr>
        <w:numPr>
          <w:ilvl w:val="0"/>
          <w:numId w:val="336"/>
        </w:numPr>
        <w:tabs>
          <w:tab w:val="clear" w:pos="720"/>
          <w:tab w:val="num" w:pos="360"/>
        </w:tabs>
        <w:spacing w:after="0" w:line="240" w:lineRule="auto"/>
        <w:ind w:left="360"/>
        <w:rPr>
          <w:rFonts w:cstheme="minorHAnsi"/>
        </w:rPr>
      </w:pPr>
      <w:r w:rsidRPr="00AA4677">
        <w:rPr>
          <w:rFonts w:cstheme="minorHAnsi"/>
        </w:rPr>
        <w:t>Law enforcement records</w:t>
      </w:r>
    </w:p>
    <w:p w14:paraId="1EF18B28" w14:textId="77777777" w:rsidR="006D3B26" w:rsidRPr="00AA4677" w:rsidRDefault="006D3B26" w:rsidP="00644246">
      <w:pPr>
        <w:numPr>
          <w:ilvl w:val="0"/>
          <w:numId w:val="336"/>
        </w:numPr>
        <w:tabs>
          <w:tab w:val="clear" w:pos="720"/>
          <w:tab w:val="num" w:pos="360"/>
        </w:tabs>
        <w:spacing w:after="0" w:line="240" w:lineRule="auto"/>
        <w:ind w:left="360"/>
        <w:rPr>
          <w:rFonts w:cstheme="minorHAnsi"/>
        </w:rPr>
      </w:pPr>
      <w:r w:rsidRPr="00AA4677">
        <w:rPr>
          <w:rFonts w:cstheme="minorHAnsi"/>
        </w:rPr>
        <w:t>Employment records</w:t>
      </w:r>
    </w:p>
    <w:p w14:paraId="3374428B" w14:textId="77777777" w:rsidR="006D3B26" w:rsidRPr="00AA4677" w:rsidRDefault="006D3B26" w:rsidP="00644246">
      <w:pPr>
        <w:numPr>
          <w:ilvl w:val="0"/>
          <w:numId w:val="336"/>
        </w:numPr>
        <w:tabs>
          <w:tab w:val="clear" w:pos="720"/>
          <w:tab w:val="num" w:pos="360"/>
        </w:tabs>
        <w:spacing w:after="0" w:line="240" w:lineRule="auto"/>
        <w:ind w:left="360"/>
        <w:rPr>
          <w:rFonts w:cstheme="minorHAnsi"/>
        </w:rPr>
      </w:pPr>
      <w:r w:rsidRPr="00AA4677">
        <w:rPr>
          <w:rFonts w:cstheme="minorHAnsi"/>
        </w:rPr>
        <w:t>Medical records</w:t>
      </w:r>
    </w:p>
    <w:p w14:paraId="0E298D24" w14:textId="77777777" w:rsidR="006D3B26" w:rsidRPr="00AA4677" w:rsidRDefault="006D3B26" w:rsidP="00644246">
      <w:pPr>
        <w:numPr>
          <w:ilvl w:val="0"/>
          <w:numId w:val="336"/>
        </w:numPr>
        <w:tabs>
          <w:tab w:val="clear" w:pos="720"/>
          <w:tab w:val="num" w:pos="360"/>
        </w:tabs>
        <w:spacing w:after="0" w:line="240" w:lineRule="auto"/>
        <w:ind w:left="360"/>
        <w:rPr>
          <w:rFonts w:cstheme="minorHAnsi"/>
        </w:rPr>
      </w:pPr>
      <w:r w:rsidRPr="00AA4677">
        <w:rPr>
          <w:rFonts w:cstheme="minorHAnsi"/>
        </w:rPr>
        <w:t>Alumni records</w:t>
      </w:r>
    </w:p>
    <w:p w14:paraId="2518B3C1" w14:textId="77777777" w:rsidR="006D3B26" w:rsidRPr="00AA4677" w:rsidRDefault="006D3B26" w:rsidP="006D3B26">
      <w:pPr>
        <w:rPr>
          <w:rFonts w:cstheme="minorHAnsi"/>
        </w:rPr>
      </w:pPr>
      <w:r w:rsidRPr="00AA4677">
        <w:rPr>
          <w:rFonts w:cstheme="minorHAnsi"/>
        </w:rPr>
        <w:t>Student records can be accessed with written signed and dated permission from the student (for the release of their records). The written consent must include the following:</w:t>
      </w:r>
    </w:p>
    <w:p w14:paraId="3FB4CAC8" w14:textId="77777777" w:rsidR="006D3B26" w:rsidRPr="00AA4677" w:rsidRDefault="006D3B26" w:rsidP="00644246">
      <w:pPr>
        <w:numPr>
          <w:ilvl w:val="0"/>
          <w:numId w:val="337"/>
        </w:numPr>
        <w:tabs>
          <w:tab w:val="clear" w:pos="720"/>
          <w:tab w:val="left" w:pos="360"/>
          <w:tab w:val="left" w:pos="810"/>
        </w:tabs>
        <w:spacing w:after="0" w:line="240" w:lineRule="auto"/>
        <w:ind w:hanging="720"/>
        <w:rPr>
          <w:rFonts w:cstheme="minorHAnsi"/>
        </w:rPr>
      </w:pPr>
      <w:r w:rsidRPr="00AA4677">
        <w:rPr>
          <w:rFonts w:cstheme="minorHAnsi"/>
        </w:rPr>
        <w:t>Which records are being requested</w:t>
      </w:r>
    </w:p>
    <w:p w14:paraId="15D42211" w14:textId="77777777" w:rsidR="006D3B26" w:rsidRPr="00AA4677" w:rsidRDefault="006D3B26" w:rsidP="00644246">
      <w:pPr>
        <w:numPr>
          <w:ilvl w:val="0"/>
          <w:numId w:val="337"/>
        </w:numPr>
        <w:tabs>
          <w:tab w:val="clear" w:pos="720"/>
          <w:tab w:val="left" w:pos="360"/>
          <w:tab w:val="left" w:pos="810"/>
        </w:tabs>
        <w:spacing w:after="0" w:line="240" w:lineRule="auto"/>
        <w:ind w:hanging="720"/>
        <w:rPr>
          <w:rFonts w:cstheme="minorHAnsi"/>
        </w:rPr>
      </w:pPr>
      <w:r w:rsidRPr="00AA4677">
        <w:rPr>
          <w:rFonts w:cstheme="minorHAnsi"/>
        </w:rPr>
        <w:t>Purpose of the records being disclosed</w:t>
      </w:r>
    </w:p>
    <w:p w14:paraId="062B9DA0" w14:textId="77777777" w:rsidR="006D3B26" w:rsidRPr="00AA4677" w:rsidRDefault="006D3B26" w:rsidP="00644246">
      <w:pPr>
        <w:numPr>
          <w:ilvl w:val="0"/>
          <w:numId w:val="337"/>
        </w:numPr>
        <w:tabs>
          <w:tab w:val="clear" w:pos="720"/>
          <w:tab w:val="left" w:pos="360"/>
          <w:tab w:val="left" w:pos="810"/>
        </w:tabs>
        <w:spacing w:after="0" w:line="240" w:lineRule="auto"/>
        <w:ind w:hanging="720"/>
        <w:rPr>
          <w:rFonts w:cstheme="minorHAnsi"/>
        </w:rPr>
      </w:pPr>
      <w:r w:rsidRPr="00AA4677">
        <w:rPr>
          <w:rFonts w:cstheme="minorHAnsi"/>
        </w:rPr>
        <w:t>Individuals to whom the disclosure will be made</w:t>
      </w:r>
    </w:p>
    <w:p w14:paraId="524AC67C" w14:textId="77777777" w:rsidR="006D3B26" w:rsidRPr="00AA4677" w:rsidRDefault="006D3B26" w:rsidP="006D3B26">
      <w:pPr>
        <w:rPr>
          <w:rFonts w:cstheme="minorHAnsi"/>
        </w:rPr>
      </w:pPr>
      <w:r w:rsidRPr="004129F5">
        <w:rPr>
          <w:rFonts w:cstheme="minorHAnsi"/>
        </w:rPr>
        <w:t xml:space="preserve">NOTE: The </w:t>
      </w:r>
      <w:r w:rsidRPr="00AA4677">
        <w:rPr>
          <w:rFonts w:cstheme="minorHAnsi"/>
        </w:rPr>
        <w:t>IRB does not have the authority to waive any part of this requirement.</w:t>
      </w:r>
    </w:p>
    <w:p w14:paraId="0A196CE7" w14:textId="1943C060" w:rsidR="006D3B26" w:rsidRPr="00AA4677" w:rsidRDefault="006D3B26" w:rsidP="006D3B26">
      <w:pPr>
        <w:rPr>
          <w:rFonts w:cstheme="minorHAnsi"/>
        </w:rPr>
      </w:pPr>
      <w:r w:rsidRPr="00AA4677">
        <w:rPr>
          <w:rFonts w:cstheme="minorHAnsi"/>
        </w:rPr>
        <w:t>Investigators wanting to use student records for research purpose have the following responsibilities:</w:t>
      </w:r>
    </w:p>
    <w:p w14:paraId="0C737EA3" w14:textId="77777777" w:rsidR="006D3B26" w:rsidRPr="00AA4677" w:rsidRDefault="006D3B26" w:rsidP="00644246">
      <w:pPr>
        <w:numPr>
          <w:ilvl w:val="0"/>
          <w:numId w:val="338"/>
        </w:numPr>
        <w:tabs>
          <w:tab w:val="clear" w:pos="720"/>
          <w:tab w:val="num" w:pos="360"/>
        </w:tabs>
        <w:spacing w:after="0" w:line="240" w:lineRule="auto"/>
        <w:ind w:left="360"/>
        <w:rPr>
          <w:rFonts w:cstheme="minorHAnsi"/>
        </w:rPr>
      </w:pPr>
      <w:r w:rsidRPr="00AA4677">
        <w:rPr>
          <w:rFonts w:cstheme="minorHAnsi"/>
        </w:rPr>
        <w:t>Store consent forms indefinitely</w:t>
      </w:r>
    </w:p>
    <w:p w14:paraId="45CDE6D7" w14:textId="77777777" w:rsidR="006D3B26" w:rsidRPr="00AA4677" w:rsidRDefault="006D3B26" w:rsidP="00644246">
      <w:pPr>
        <w:numPr>
          <w:ilvl w:val="0"/>
          <w:numId w:val="338"/>
        </w:numPr>
        <w:tabs>
          <w:tab w:val="clear" w:pos="720"/>
          <w:tab w:val="num" w:pos="360"/>
        </w:tabs>
        <w:spacing w:after="0" w:line="240" w:lineRule="auto"/>
        <w:ind w:left="360"/>
        <w:rPr>
          <w:rFonts w:cstheme="minorHAnsi"/>
        </w:rPr>
      </w:pPr>
      <w:r w:rsidRPr="00AA4677">
        <w:rPr>
          <w:rFonts w:cstheme="minorHAnsi"/>
        </w:rPr>
        <w:t>Use the student information solely for the purpose of the approved research project (Any new use requires new approval)</w:t>
      </w:r>
    </w:p>
    <w:p w14:paraId="071DA5B8" w14:textId="77777777" w:rsidR="006D3B26" w:rsidRPr="00AA4677" w:rsidRDefault="006D3B26" w:rsidP="00644246">
      <w:pPr>
        <w:numPr>
          <w:ilvl w:val="0"/>
          <w:numId w:val="338"/>
        </w:numPr>
        <w:tabs>
          <w:tab w:val="clear" w:pos="720"/>
          <w:tab w:val="num" w:pos="360"/>
        </w:tabs>
        <w:spacing w:after="0" w:line="240" w:lineRule="auto"/>
        <w:ind w:left="360"/>
        <w:rPr>
          <w:rFonts w:cstheme="minorHAnsi"/>
        </w:rPr>
      </w:pPr>
      <w:r w:rsidRPr="00AA4677">
        <w:rPr>
          <w:rFonts w:cstheme="minorHAnsi"/>
        </w:rPr>
        <w:t>Provide protection to ensure that the student records are not subject to unauthorized access</w:t>
      </w:r>
    </w:p>
    <w:p w14:paraId="13F2A89E" w14:textId="77777777" w:rsidR="006D3B26" w:rsidRPr="00AA4677" w:rsidRDefault="006D3B26" w:rsidP="00644246">
      <w:pPr>
        <w:numPr>
          <w:ilvl w:val="0"/>
          <w:numId w:val="338"/>
        </w:numPr>
        <w:tabs>
          <w:tab w:val="clear" w:pos="720"/>
          <w:tab w:val="num" w:pos="360"/>
        </w:tabs>
        <w:spacing w:after="0" w:line="240" w:lineRule="auto"/>
        <w:ind w:left="360"/>
        <w:rPr>
          <w:rFonts w:cstheme="minorHAnsi"/>
        </w:rPr>
      </w:pPr>
      <w:r w:rsidRPr="00AA4677">
        <w:rPr>
          <w:rFonts w:cstheme="minorHAnsi"/>
        </w:rPr>
        <w:t>Ensure that no one outside the research team has access (only those who are specifically listed as research team members)</w:t>
      </w:r>
    </w:p>
    <w:p w14:paraId="79024A5A" w14:textId="3CE3BE0D" w:rsidR="00872210" w:rsidRDefault="006D3B26" w:rsidP="00FC3BE7">
      <w:pPr>
        <w:numPr>
          <w:ilvl w:val="0"/>
          <w:numId w:val="338"/>
        </w:numPr>
        <w:tabs>
          <w:tab w:val="clear" w:pos="720"/>
          <w:tab w:val="num" w:pos="360"/>
        </w:tabs>
        <w:spacing w:after="0" w:line="240" w:lineRule="auto"/>
        <w:ind w:left="360"/>
        <w:rPr>
          <w:rFonts w:cstheme="minorHAnsi"/>
        </w:rPr>
      </w:pPr>
      <w:r w:rsidRPr="00AA4677">
        <w:rPr>
          <w:rFonts w:cstheme="minorHAnsi"/>
        </w:rPr>
        <w:t>Ensure that aggregate data is de-identified to avoid unauthorized disclosure to third parties</w:t>
      </w:r>
    </w:p>
    <w:p w14:paraId="57B81AC6" w14:textId="77777777" w:rsidR="00DA7302" w:rsidRPr="00DA7302" w:rsidRDefault="00DA7302" w:rsidP="00DA7302">
      <w:pPr>
        <w:spacing w:after="0" w:line="240" w:lineRule="auto"/>
        <w:ind w:left="360"/>
        <w:rPr>
          <w:rFonts w:cstheme="minorHAnsi"/>
        </w:rPr>
      </w:pPr>
    </w:p>
    <w:p w14:paraId="5F1F9132" w14:textId="62443314" w:rsidR="00037C17" w:rsidRPr="00AA4677" w:rsidRDefault="00037C17" w:rsidP="00FC3BE7">
      <w:pPr>
        <w:rPr>
          <w:rFonts w:cstheme="minorHAnsi"/>
        </w:rPr>
      </w:pPr>
      <w:r w:rsidRPr="00AA4677">
        <w:rPr>
          <w:rFonts w:cstheme="minorHAnsi"/>
        </w:rPr>
        <w:t>Student information that is not subject to FERPA includes “directory” information (although stud</w:t>
      </w:r>
      <w:r w:rsidR="005072F9">
        <w:rPr>
          <w:rFonts w:cstheme="minorHAnsi"/>
        </w:rPr>
        <w:t>ents</w:t>
      </w:r>
      <w:r w:rsidRPr="00AA4677">
        <w:rPr>
          <w:rFonts w:cstheme="minorHAnsi"/>
        </w:rPr>
        <w:t xml:space="preserve"> may be given the ability to “opt out” of this type of disclosure) Directory information can include th</w:t>
      </w:r>
      <w:r w:rsidR="00AF0AD0">
        <w:rPr>
          <w:rFonts w:cstheme="minorHAnsi"/>
        </w:rPr>
        <w:t>e following</w:t>
      </w:r>
      <w:r w:rsidRPr="00AA4677">
        <w:rPr>
          <w:rFonts w:cstheme="minorHAnsi"/>
        </w:rPr>
        <w:t>:</w:t>
      </w:r>
    </w:p>
    <w:p w14:paraId="64CC78AD" w14:textId="77777777" w:rsidR="00037C17" w:rsidRPr="004129F5" w:rsidRDefault="00037C17"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name</w:t>
      </w:r>
    </w:p>
    <w:p w14:paraId="133E825B" w14:textId="77777777" w:rsidR="00037C17" w:rsidRPr="004129F5" w:rsidRDefault="00037C17"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address</w:t>
      </w:r>
    </w:p>
    <w:p w14:paraId="601B9A0C" w14:textId="432051E3" w:rsidR="00037C17" w:rsidRPr="004129F5" w:rsidRDefault="00527676"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 xml:space="preserve">university </w:t>
      </w:r>
      <w:r w:rsidR="00037C17" w:rsidRPr="004129F5">
        <w:rPr>
          <w:rFonts w:eastAsia="Times New Roman" w:cstheme="minorHAnsi"/>
          <w:szCs w:val="24"/>
        </w:rPr>
        <w:t>email address</w:t>
      </w:r>
    </w:p>
    <w:p w14:paraId="1DF1B905" w14:textId="77777777" w:rsidR="00037C17" w:rsidRPr="004129F5" w:rsidRDefault="00037C17"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phone number</w:t>
      </w:r>
    </w:p>
    <w:p w14:paraId="5D53B58E" w14:textId="77777777" w:rsidR="00037C17" w:rsidRPr="004129F5" w:rsidRDefault="00037C17"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major</w:t>
      </w:r>
    </w:p>
    <w:p w14:paraId="6F68E006" w14:textId="11CDCEB6" w:rsidR="00037C17" w:rsidRPr="004129F5" w:rsidRDefault="00037C17"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dates of attendance</w:t>
      </w:r>
      <w:r w:rsidR="00527676" w:rsidRPr="004129F5">
        <w:rPr>
          <w:rFonts w:eastAsia="Times New Roman" w:cstheme="minorHAnsi"/>
          <w:szCs w:val="24"/>
        </w:rPr>
        <w:t xml:space="preserve"> and graduation</w:t>
      </w:r>
    </w:p>
    <w:p w14:paraId="25674569" w14:textId="77777777" w:rsidR="00037C17" w:rsidRPr="004129F5" w:rsidRDefault="00037C17"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lastRenderedPageBreak/>
        <w:t>admission or enrollment status</w:t>
      </w:r>
    </w:p>
    <w:p w14:paraId="05DE911C" w14:textId="77777777" w:rsidR="00037C17" w:rsidRPr="004129F5" w:rsidRDefault="00037C17"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campus</w:t>
      </w:r>
    </w:p>
    <w:p w14:paraId="467188FB" w14:textId="77777777" w:rsidR="00037C17" w:rsidRPr="004129F5" w:rsidRDefault="00037C17"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school</w:t>
      </w:r>
    </w:p>
    <w:p w14:paraId="14A3E351" w14:textId="77777777" w:rsidR="00037C17" w:rsidRPr="004129F5" w:rsidRDefault="00037C17"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degrees and awards</w:t>
      </w:r>
    </w:p>
    <w:p w14:paraId="6E545EAF" w14:textId="26FA1D99" w:rsidR="00037C17" w:rsidRPr="004129F5" w:rsidRDefault="00527676"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 xml:space="preserve">officially recognized </w:t>
      </w:r>
      <w:r w:rsidR="00037C17" w:rsidRPr="004129F5">
        <w:rPr>
          <w:rFonts w:eastAsia="Times New Roman" w:cstheme="minorHAnsi"/>
          <w:szCs w:val="24"/>
        </w:rPr>
        <w:t>activities</w:t>
      </w:r>
    </w:p>
    <w:p w14:paraId="35C14B9F" w14:textId="53BE49AF" w:rsidR="00037C17" w:rsidRPr="004129F5" w:rsidRDefault="00527676" w:rsidP="00644246">
      <w:pPr>
        <w:numPr>
          <w:ilvl w:val="0"/>
          <w:numId w:val="339"/>
        </w:numPr>
        <w:shd w:val="clear" w:color="auto" w:fill="FFFFFF"/>
        <w:tabs>
          <w:tab w:val="clear" w:pos="720"/>
          <w:tab w:val="left" w:pos="360"/>
        </w:tabs>
        <w:spacing w:after="0" w:line="240" w:lineRule="auto"/>
        <w:ind w:hanging="720"/>
        <w:rPr>
          <w:rFonts w:eastAsia="Times New Roman" w:cstheme="minorHAnsi"/>
          <w:szCs w:val="24"/>
        </w:rPr>
      </w:pPr>
      <w:r w:rsidRPr="004129F5">
        <w:rPr>
          <w:rFonts w:eastAsia="Times New Roman" w:cstheme="minorHAnsi"/>
          <w:szCs w:val="24"/>
        </w:rPr>
        <w:t xml:space="preserve">officially recognized </w:t>
      </w:r>
      <w:r w:rsidR="00037C17" w:rsidRPr="004129F5">
        <w:rPr>
          <w:rFonts w:eastAsia="Times New Roman" w:cstheme="minorHAnsi"/>
          <w:szCs w:val="24"/>
        </w:rPr>
        <w:t>sports</w:t>
      </w:r>
    </w:p>
    <w:bookmarkEnd w:id="387"/>
    <w:p w14:paraId="3B613B1F" w14:textId="77777777" w:rsidR="00872210" w:rsidRPr="004129F5" w:rsidRDefault="00872210" w:rsidP="00872210">
      <w:pPr>
        <w:shd w:val="clear" w:color="auto" w:fill="FFFFFF"/>
        <w:spacing w:after="0" w:line="240" w:lineRule="auto"/>
        <w:rPr>
          <w:rFonts w:eastAsia="Times New Roman" w:cstheme="minorHAnsi"/>
          <w:szCs w:val="24"/>
        </w:rPr>
      </w:pPr>
    </w:p>
    <w:p w14:paraId="5B943F3C" w14:textId="240768B0" w:rsidR="00872210" w:rsidRPr="00696B35" w:rsidRDefault="004129F5" w:rsidP="00872210">
      <w:pPr>
        <w:shd w:val="clear" w:color="auto" w:fill="FFFFFF"/>
        <w:spacing w:after="0" w:line="240" w:lineRule="auto"/>
        <w:rPr>
          <w:rFonts w:eastAsia="Times New Roman" w:cstheme="minorHAnsi"/>
          <w:szCs w:val="24"/>
        </w:rPr>
      </w:pPr>
      <w:r w:rsidRPr="00696B35">
        <w:rPr>
          <w:rFonts w:eastAsia="Times New Roman" w:cstheme="minorHAnsi"/>
          <w:b/>
          <w:bCs/>
          <w:szCs w:val="24"/>
        </w:rPr>
        <w:t>NOTE:</w:t>
      </w:r>
      <w:r w:rsidRPr="00696B35">
        <w:rPr>
          <w:rFonts w:eastAsia="Times New Roman" w:cstheme="minorHAnsi"/>
          <w:szCs w:val="24"/>
        </w:rPr>
        <w:t xml:space="preserve"> </w:t>
      </w:r>
      <w:r w:rsidR="00872210" w:rsidRPr="00696B35">
        <w:rPr>
          <w:rFonts w:eastAsia="Times New Roman" w:cstheme="minorHAnsi"/>
          <w:szCs w:val="24"/>
        </w:rPr>
        <w:t>New York State law specifically prohibits the name of the social security number displayed on any student directory list.</w:t>
      </w:r>
    </w:p>
    <w:sectPr w:rsidR="00872210" w:rsidRPr="00696B35" w:rsidSect="009B07D7">
      <w:footerReference w:type="default" r:id="rId183"/>
      <w:pgSz w:w="12240" w:h="15840"/>
      <w:pgMar w:top="1400" w:right="1300" w:bottom="1800" w:left="1300" w:header="0" w:footer="1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5927" w14:textId="77777777" w:rsidR="005151F4" w:rsidRDefault="005151F4" w:rsidP="00214A1E">
      <w:pPr>
        <w:spacing w:after="0" w:line="240" w:lineRule="auto"/>
      </w:pPr>
      <w:r>
        <w:separator/>
      </w:r>
    </w:p>
  </w:endnote>
  <w:endnote w:type="continuationSeparator" w:id="0">
    <w:p w14:paraId="0F892F09" w14:textId="77777777" w:rsidR="005151F4" w:rsidRDefault="005151F4" w:rsidP="0021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PT Book">
    <w:altName w:val="Bahnschrift Light"/>
    <w:panose1 w:val="00000000000000000000"/>
    <w:charset w:val="00"/>
    <w:family w:val="swiss"/>
    <w:notTrueType/>
    <w:pitch w:val="variable"/>
    <w:sig w:usb0="A00002FF" w:usb1="5000204B" w:usb2="00000000" w:usb3="00000000" w:csb0="00000097" w:csb1="00000000"/>
  </w:font>
  <w:font w:name="SymbolMT">
    <w:altName w:val="Malgun Gothic Semilight"/>
    <w:panose1 w:val="00000000000000000000"/>
    <w:charset w:val="80"/>
    <w:family w:val="auto"/>
    <w:notTrueType/>
    <w:pitch w:val="default"/>
    <w:sig w:usb0="00000001" w:usb1="080F0000" w:usb2="00000010" w:usb3="00000000" w:csb0="00120000" w:csb1="00000000"/>
  </w:font>
  <w:font w:name="effra w0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60302"/>
      <w:docPartObj>
        <w:docPartGallery w:val="Page Numbers (Bottom of Page)"/>
        <w:docPartUnique/>
      </w:docPartObj>
    </w:sdtPr>
    <w:sdtEndPr>
      <w:rPr>
        <w:spacing w:val="60"/>
      </w:rPr>
    </w:sdtEndPr>
    <w:sdtContent>
      <w:p w14:paraId="3E31D12A" w14:textId="6794724A" w:rsidR="00183360" w:rsidRPr="00696B35" w:rsidRDefault="00183360">
        <w:pPr>
          <w:pStyle w:val="Footer"/>
          <w:pBdr>
            <w:top w:val="single" w:sz="4" w:space="1" w:color="D9D9D9" w:themeColor="background1" w:themeShade="D9"/>
          </w:pBdr>
          <w:rPr>
            <w:spacing w:val="60"/>
            <w:szCs w:val="24"/>
          </w:rPr>
        </w:pPr>
        <w:r w:rsidRPr="00975EB9">
          <w:rPr>
            <w:szCs w:val="24"/>
          </w:rPr>
          <w:fldChar w:fldCharType="begin"/>
        </w:r>
        <w:r w:rsidRPr="00975EB9">
          <w:rPr>
            <w:szCs w:val="24"/>
          </w:rPr>
          <w:instrText xml:space="preserve"> PAGE   \* MERGEFORMAT </w:instrText>
        </w:r>
        <w:r w:rsidRPr="00975EB9">
          <w:rPr>
            <w:szCs w:val="24"/>
          </w:rPr>
          <w:fldChar w:fldCharType="separate"/>
        </w:r>
        <w:r w:rsidR="000F3C5C" w:rsidRPr="000F3C5C">
          <w:rPr>
            <w:b/>
            <w:bCs/>
            <w:noProof/>
            <w:szCs w:val="24"/>
          </w:rPr>
          <w:t>275</w:t>
        </w:r>
        <w:r w:rsidRPr="00975EB9">
          <w:rPr>
            <w:b/>
            <w:bCs/>
            <w:noProof/>
            <w:szCs w:val="24"/>
          </w:rPr>
          <w:fldChar w:fldCharType="end"/>
        </w:r>
        <w:r w:rsidRPr="00975EB9">
          <w:rPr>
            <w:b/>
            <w:bCs/>
            <w:szCs w:val="24"/>
          </w:rPr>
          <w:t xml:space="preserve"> | </w:t>
        </w:r>
        <w:r w:rsidRPr="00696B35">
          <w:rPr>
            <w:spacing w:val="60"/>
            <w:szCs w:val="24"/>
          </w:rPr>
          <w:t>Page</w:t>
        </w:r>
      </w:p>
      <w:p w14:paraId="119E612D" w14:textId="0EAC16D9" w:rsidR="00183360" w:rsidRPr="00696B35" w:rsidRDefault="00183360">
        <w:pPr>
          <w:pStyle w:val="Footer"/>
          <w:pBdr>
            <w:top w:val="single" w:sz="4" w:space="1" w:color="D9D9D9" w:themeColor="background1" w:themeShade="D9"/>
          </w:pBdr>
          <w:rPr>
            <w:spacing w:val="60"/>
            <w:szCs w:val="24"/>
          </w:rPr>
        </w:pPr>
        <w:r w:rsidRPr="00696B35">
          <w:rPr>
            <w:spacing w:val="60"/>
            <w:szCs w:val="24"/>
          </w:rPr>
          <w:t xml:space="preserve">Date: </w:t>
        </w:r>
        <w:r w:rsidR="00F33B5A" w:rsidRPr="00696B35">
          <w:rPr>
            <w:spacing w:val="60"/>
            <w:szCs w:val="24"/>
          </w:rPr>
          <w:t>4/6/20</w:t>
        </w:r>
        <w:r w:rsidR="00033899" w:rsidRPr="00696B35">
          <w:rPr>
            <w:spacing w:val="60"/>
            <w:szCs w:val="24"/>
          </w:rPr>
          <w:t>26</w:t>
        </w:r>
      </w:p>
      <w:p w14:paraId="44C116CE" w14:textId="6B873CBB" w:rsidR="00183360" w:rsidRDefault="005151F4">
        <w:pPr>
          <w:pStyle w:val="Footer"/>
          <w:pBdr>
            <w:top w:val="single" w:sz="4" w:space="1" w:color="D9D9D9" w:themeColor="background1" w:themeShade="D9"/>
          </w:pBdr>
          <w:rPr>
            <w:b/>
            <w:bCs/>
          </w:rPr>
        </w:pPr>
      </w:p>
    </w:sdtContent>
  </w:sdt>
  <w:p w14:paraId="055710D6" w14:textId="77777777" w:rsidR="00183360" w:rsidRDefault="0018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0465" w14:textId="77777777" w:rsidR="005151F4" w:rsidRDefault="005151F4" w:rsidP="00214A1E">
      <w:pPr>
        <w:spacing w:after="0" w:line="240" w:lineRule="auto"/>
      </w:pPr>
      <w:r>
        <w:separator/>
      </w:r>
    </w:p>
  </w:footnote>
  <w:footnote w:type="continuationSeparator" w:id="0">
    <w:p w14:paraId="36B6DABF" w14:textId="77777777" w:rsidR="005151F4" w:rsidRDefault="005151F4" w:rsidP="00214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F5E"/>
    <w:multiLevelType w:val="hybridMultilevel"/>
    <w:tmpl w:val="69D6CE6A"/>
    <w:lvl w:ilvl="0" w:tplc="BACCA0D2">
      <w:start w:val="1"/>
      <w:numFmt w:val="bullet"/>
      <w:lvlText w:val=""/>
      <w:lvlJc w:val="left"/>
      <w:pPr>
        <w:ind w:left="720" w:hanging="360"/>
      </w:pPr>
      <w:rPr>
        <w:rFonts w:ascii="Symbol" w:hAnsi="Symbol" w:hint="default"/>
        <w:sz w:val="22"/>
      </w:rPr>
    </w:lvl>
    <w:lvl w:ilvl="1" w:tplc="BACCA0D2">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90EDB"/>
    <w:multiLevelType w:val="multilevel"/>
    <w:tmpl w:val="05C4A77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06555EA"/>
    <w:multiLevelType w:val="hybridMultilevel"/>
    <w:tmpl w:val="6316D9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71A8A61A">
      <w:start w:val="1"/>
      <w:numFmt w:val="bullet"/>
      <w:lvlText w:val="o"/>
      <w:lvlJc w:val="left"/>
      <w:pPr>
        <w:ind w:left="1800" w:hanging="360"/>
      </w:pPr>
      <w:rPr>
        <w:rFonts w:ascii="Courier New" w:hAnsi="Courier New" w:hint="default"/>
        <w:color w:val="auto"/>
        <w:sz w:val="28"/>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712720"/>
    <w:multiLevelType w:val="hybridMultilevel"/>
    <w:tmpl w:val="68FC1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7B2ECA"/>
    <w:multiLevelType w:val="multilevel"/>
    <w:tmpl w:val="622A84A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CF3DBD"/>
    <w:multiLevelType w:val="hybridMultilevel"/>
    <w:tmpl w:val="72769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DF2A3C"/>
    <w:multiLevelType w:val="multilevel"/>
    <w:tmpl w:val="DF880A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0E86368"/>
    <w:multiLevelType w:val="multilevel"/>
    <w:tmpl w:val="BE66F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2C1E58"/>
    <w:multiLevelType w:val="hybridMultilevel"/>
    <w:tmpl w:val="AE3E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F4E64"/>
    <w:multiLevelType w:val="hybridMultilevel"/>
    <w:tmpl w:val="48D22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E73097"/>
    <w:multiLevelType w:val="multilevel"/>
    <w:tmpl w:val="9E5E24C0"/>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30E57DF"/>
    <w:multiLevelType w:val="multilevel"/>
    <w:tmpl w:val="8DDA7D3A"/>
    <w:lvl w:ilvl="0">
      <w:start w:val="1"/>
      <w:numFmt w:val="bullet"/>
      <w:pStyle w:val="Bullet1DoDDeptofDefense"/>
      <w:lvlText w:val=""/>
      <w:lvlJc w:val="left"/>
      <w:pPr>
        <w:tabs>
          <w:tab w:val="num" w:pos="360"/>
        </w:tabs>
        <w:ind w:left="360" w:hanging="360"/>
      </w:pPr>
      <w:rPr>
        <w:rFonts w:ascii="Symbol" w:hAnsi="Symbol" w:hint="default"/>
        <w:sz w:val="20"/>
      </w:rPr>
    </w:lvl>
    <w:lvl w:ilvl="1" w:tentative="1">
      <w:start w:val="1"/>
      <w:numFmt w:val="bullet"/>
      <w:pStyle w:val="Bullet2DoDDeptofDefense"/>
      <w:lvlText w:val="o"/>
      <w:lvlJc w:val="left"/>
      <w:pPr>
        <w:tabs>
          <w:tab w:val="num" w:pos="1080"/>
        </w:tabs>
        <w:ind w:left="1080" w:hanging="360"/>
      </w:pPr>
      <w:rPr>
        <w:rFonts w:ascii="Courier New" w:hAnsi="Courier New" w:hint="default"/>
        <w:sz w:val="20"/>
      </w:rPr>
    </w:lvl>
    <w:lvl w:ilvl="2" w:tentative="1">
      <w:start w:val="1"/>
      <w:numFmt w:val="bullet"/>
      <w:pStyle w:val="Bullet3DoJDeptofJustice"/>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3186131"/>
    <w:multiLevelType w:val="multilevel"/>
    <w:tmpl w:val="C25CF0D6"/>
    <w:lvl w:ilvl="0">
      <w:start w:val="1"/>
      <w:numFmt w:val="bullet"/>
      <w:lvlText w:val=""/>
      <w:lvlJc w:val="left"/>
      <w:pPr>
        <w:tabs>
          <w:tab w:val="num" w:pos="2880"/>
        </w:tabs>
        <w:ind w:left="2736" w:hanging="216"/>
      </w:pPr>
      <w:rPr>
        <w:rFonts w:ascii="Symbol" w:hAnsi="Symbol" w:hint="default"/>
        <w:strike w:val="0"/>
        <w:color w:val="auto"/>
      </w:rPr>
    </w:lvl>
    <w:lvl w:ilvl="1">
      <w:start w:val="1"/>
      <w:numFmt w:val="bullet"/>
      <w:lvlText w:val=""/>
      <w:lvlJc w:val="left"/>
      <w:pPr>
        <w:tabs>
          <w:tab w:val="num" w:pos="1177"/>
        </w:tabs>
        <w:ind w:left="1033" w:hanging="216"/>
      </w:pPr>
      <w:rPr>
        <w:rFonts w:ascii="Symbol" w:hAnsi="Symbol" w:hint="default"/>
        <w:b w:val="0"/>
        <w:i w:val="0"/>
        <w:strike w:val="0"/>
        <w:color w:val="auto"/>
        <w:sz w:val="24"/>
      </w:rPr>
    </w:lvl>
    <w:lvl w:ilvl="2">
      <w:start w:val="1"/>
      <w:numFmt w:val="bullet"/>
      <w:lvlText w:val=""/>
      <w:lvlJc w:val="left"/>
      <w:pPr>
        <w:tabs>
          <w:tab w:val="num" w:pos="1321"/>
        </w:tabs>
        <w:ind w:left="1177" w:hanging="216"/>
      </w:pPr>
      <w:rPr>
        <w:rFonts w:ascii="Wingdings" w:hAnsi="Wingdings" w:hint="default"/>
      </w:rPr>
    </w:lvl>
    <w:lvl w:ilvl="3">
      <w:start w:val="1"/>
      <w:numFmt w:val="bullet"/>
      <w:lvlText w:val=""/>
      <w:lvlJc w:val="left"/>
      <w:pPr>
        <w:tabs>
          <w:tab w:val="num" w:pos="1537"/>
        </w:tabs>
        <w:ind w:left="1393" w:hanging="216"/>
      </w:pPr>
      <w:rPr>
        <w:rFonts w:ascii="Symbol" w:hAnsi="Symbol" w:hint="default"/>
        <w:b w:val="0"/>
        <w:i w:val="0"/>
        <w:sz w:val="16"/>
      </w:rPr>
    </w:lvl>
    <w:lvl w:ilvl="4">
      <w:start w:val="1"/>
      <w:numFmt w:val="bullet"/>
      <w:lvlText w:val=""/>
      <w:lvlJc w:val="left"/>
      <w:pPr>
        <w:tabs>
          <w:tab w:val="num" w:pos="2113"/>
        </w:tabs>
        <w:ind w:left="2113" w:hanging="360"/>
      </w:pPr>
      <w:rPr>
        <w:rFonts w:ascii="Symbol" w:hAnsi="Symbol" w:hint="default"/>
      </w:rPr>
    </w:lvl>
    <w:lvl w:ilvl="5">
      <w:start w:val="1"/>
      <w:numFmt w:val="bullet"/>
      <w:lvlText w:val=""/>
      <w:lvlJc w:val="left"/>
      <w:pPr>
        <w:tabs>
          <w:tab w:val="num" w:pos="2473"/>
        </w:tabs>
        <w:ind w:left="2473" w:hanging="360"/>
      </w:pPr>
      <w:rPr>
        <w:rFonts w:ascii="Wingdings" w:hAnsi="Wingdings" w:hint="default"/>
      </w:rPr>
    </w:lvl>
    <w:lvl w:ilvl="6">
      <w:start w:val="1"/>
      <w:numFmt w:val="bullet"/>
      <w:lvlText w:val=""/>
      <w:lvlJc w:val="left"/>
      <w:pPr>
        <w:tabs>
          <w:tab w:val="num" w:pos="2833"/>
        </w:tabs>
        <w:ind w:left="2833" w:hanging="360"/>
      </w:pPr>
      <w:rPr>
        <w:rFonts w:ascii="Wingdings" w:hAnsi="Wingdings" w:hint="default"/>
      </w:rPr>
    </w:lvl>
    <w:lvl w:ilvl="7">
      <w:start w:val="1"/>
      <w:numFmt w:val="bullet"/>
      <w:lvlText w:val=""/>
      <w:lvlJc w:val="left"/>
      <w:pPr>
        <w:tabs>
          <w:tab w:val="num" w:pos="3193"/>
        </w:tabs>
        <w:ind w:left="3193" w:hanging="360"/>
      </w:pPr>
      <w:rPr>
        <w:rFonts w:ascii="Symbol" w:hAnsi="Symbol" w:hint="default"/>
      </w:rPr>
    </w:lvl>
    <w:lvl w:ilvl="8">
      <w:start w:val="1"/>
      <w:numFmt w:val="bullet"/>
      <w:lvlText w:val=""/>
      <w:lvlJc w:val="left"/>
      <w:pPr>
        <w:tabs>
          <w:tab w:val="num" w:pos="3553"/>
        </w:tabs>
        <w:ind w:left="3553" w:hanging="360"/>
      </w:pPr>
      <w:rPr>
        <w:rFonts w:ascii="Symbol" w:hAnsi="Symbol" w:hint="default"/>
      </w:rPr>
    </w:lvl>
  </w:abstractNum>
  <w:abstractNum w:abstractNumId="13" w15:restartNumberingAfterBreak="0">
    <w:nsid w:val="032D7D8A"/>
    <w:multiLevelType w:val="multilevel"/>
    <w:tmpl w:val="F860006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8"/>
      </w:r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033D75FB"/>
    <w:multiLevelType w:val="multilevel"/>
    <w:tmpl w:val="395037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550F0A"/>
    <w:multiLevelType w:val="multilevel"/>
    <w:tmpl w:val="487E9956"/>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3A15A88"/>
    <w:multiLevelType w:val="multilevel"/>
    <w:tmpl w:val="AD10C5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4DE712D"/>
    <w:multiLevelType w:val="hybridMultilevel"/>
    <w:tmpl w:val="A2F65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910CE0FC">
      <w:start w:val="7"/>
      <w:numFmt w:val="bullet"/>
      <w:lvlText w:val="-"/>
      <w:lvlJc w:val="left"/>
      <w:pPr>
        <w:ind w:left="5400" w:hanging="360"/>
      </w:pPr>
      <w:rPr>
        <w:rFonts w:ascii="Calibri" w:eastAsia="Times New Roman" w:hAnsi="Calibri"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5BD40B5"/>
    <w:multiLevelType w:val="multilevel"/>
    <w:tmpl w:val="5B60E86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color w:val="auto"/>
        <w:sz w:val="28"/>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065222E0"/>
    <w:multiLevelType w:val="multilevel"/>
    <w:tmpl w:val="2C5C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797792"/>
    <w:multiLevelType w:val="multilevel"/>
    <w:tmpl w:val="19F88188"/>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B636E2"/>
    <w:multiLevelType w:val="multilevel"/>
    <w:tmpl w:val="8E7A74B2"/>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071A1B22"/>
    <w:multiLevelType w:val="hybridMultilevel"/>
    <w:tmpl w:val="4FE2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336E9E"/>
    <w:multiLevelType w:val="multilevel"/>
    <w:tmpl w:val="7C8EC4B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A73FDE"/>
    <w:multiLevelType w:val="multilevel"/>
    <w:tmpl w:val="E77ABC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b w:val="0"/>
        <w:i w:val="0"/>
        <w:strike w:val="0"/>
        <w:dstrike w:val="0"/>
        <w:color w:val="000000"/>
        <w:sz w:val="20"/>
        <w:szCs w:val="20"/>
        <w:u w:val="none" w:color="000000"/>
        <w:vertAlign w:val="baseline"/>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07B54DC3"/>
    <w:multiLevelType w:val="multilevel"/>
    <w:tmpl w:val="0E1A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0B3885"/>
    <w:multiLevelType w:val="hybridMultilevel"/>
    <w:tmpl w:val="245E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066628"/>
    <w:multiLevelType w:val="hybridMultilevel"/>
    <w:tmpl w:val="8FDA454A"/>
    <w:lvl w:ilvl="0" w:tplc="BACCA0D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9374673"/>
    <w:multiLevelType w:val="hybridMultilevel"/>
    <w:tmpl w:val="FBC8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97D2CC2"/>
    <w:multiLevelType w:val="multilevel"/>
    <w:tmpl w:val="8334D71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0A062810"/>
    <w:multiLevelType w:val="hybridMultilevel"/>
    <w:tmpl w:val="3FA0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3661C0"/>
    <w:multiLevelType w:val="multilevel"/>
    <w:tmpl w:val="C1707B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0AE92CC0"/>
    <w:multiLevelType w:val="hybridMultilevel"/>
    <w:tmpl w:val="F654B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B643E2F"/>
    <w:multiLevelType w:val="hybridMultilevel"/>
    <w:tmpl w:val="C40A3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B823659"/>
    <w:multiLevelType w:val="hybridMultilevel"/>
    <w:tmpl w:val="4E208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ACCA0D2">
      <w:start w:val="1"/>
      <w:numFmt w:val="bullet"/>
      <w:lvlText w:val=""/>
      <w:lvlJc w:val="left"/>
      <w:pPr>
        <w:ind w:left="1800" w:hanging="360"/>
      </w:pPr>
      <w:rPr>
        <w:rFonts w:ascii="Symbol" w:hAnsi="Symbol" w:hint="default"/>
        <w:sz w:val="22"/>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B834769"/>
    <w:multiLevelType w:val="multilevel"/>
    <w:tmpl w:val="828A6E14"/>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0BA1453A"/>
    <w:multiLevelType w:val="hybridMultilevel"/>
    <w:tmpl w:val="12A21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0BFC7267"/>
    <w:multiLevelType w:val="multilevel"/>
    <w:tmpl w:val="3FF609F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0C1C391A"/>
    <w:multiLevelType w:val="multilevel"/>
    <w:tmpl w:val="9D681C70"/>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0C5A12EE"/>
    <w:multiLevelType w:val="hybridMultilevel"/>
    <w:tmpl w:val="DC207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386244"/>
    <w:multiLevelType w:val="multilevel"/>
    <w:tmpl w:val="2C54EE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DA47C10"/>
    <w:multiLevelType w:val="hybridMultilevel"/>
    <w:tmpl w:val="8FDED9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DF804EA"/>
    <w:multiLevelType w:val="multilevel"/>
    <w:tmpl w:val="736207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0F4454AD"/>
    <w:multiLevelType w:val="hybridMultilevel"/>
    <w:tmpl w:val="5F1AE930"/>
    <w:lvl w:ilvl="0" w:tplc="0C4E8A36">
      <w:start w:val="1"/>
      <w:numFmt w:val="bullet"/>
      <w:lvlText w:val=""/>
      <w:lvlJc w:val="left"/>
      <w:pPr>
        <w:ind w:left="1080" w:hanging="360"/>
      </w:pPr>
      <w:rPr>
        <w:rFonts w:ascii="Symbol" w:hAnsi="Symbol" w:hint="default"/>
        <w:b w:val="0"/>
        <w:i w:val="0"/>
        <w:strike w:val="0"/>
        <w:dstrike w:val="0"/>
        <w:color w:val="000000"/>
        <w:sz w:val="24"/>
        <w:szCs w:val="20"/>
        <w:u w:val="none" w:color="00000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0F9A3F89"/>
    <w:multiLevelType w:val="multilevel"/>
    <w:tmpl w:val="796CA0A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0FCD65DB"/>
    <w:multiLevelType w:val="hybridMultilevel"/>
    <w:tmpl w:val="A73656B2"/>
    <w:lvl w:ilvl="0" w:tplc="8648EBCE">
      <w:numFmt w:val="bullet"/>
      <w:lvlText w:val=""/>
      <w:lvlJc w:val="left"/>
      <w:pPr>
        <w:ind w:left="500" w:hanging="360"/>
      </w:pPr>
      <w:rPr>
        <w:rFonts w:ascii="Symbol" w:eastAsia="Symbol" w:hAnsi="Symbol" w:cs="Symbol" w:hint="default"/>
        <w:w w:val="100"/>
        <w:sz w:val="24"/>
        <w:szCs w:val="24"/>
      </w:rPr>
    </w:lvl>
    <w:lvl w:ilvl="1" w:tplc="BACCA0D2">
      <w:start w:val="1"/>
      <w:numFmt w:val="bullet"/>
      <w:lvlText w:val=""/>
      <w:lvlJc w:val="left"/>
      <w:pPr>
        <w:ind w:left="1220" w:hanging="360"/>
      </w:pPr>
      <w:rPr>
        <w:rFonts w:ascii="Symbol" w:hAnsi="Symbol" w:hint="default"/>
        <w:w w:val="100"/>
        <w:sz w:val="22"/>
        <w:szCs w:val="24"/>
      </w:rPr>
    </w:lvl>
    <w:lvl w:ilvl="2" w:tplc="A48AF2DA">
      <w:numFmt w:val="bullet"/>
      <w:lvlText w:val="•"/>
      <w:lvlJc w:val="left"/>
      <w:pPr>
        <w:ind w:left="1040" w:hanging="360"/>
      </w:pPr>
      <w:rPr>
        <w:rFonts w:hint="default"/>
      </w:rPr>
    </w:lvl>
    <w:lvl w:ilvl="3" w:tplc="1CCC0054">
      <w:numFmt w:val="bullet"/>
      <w:lvlText w:val="•"/>
      <w:lvlJc w:val="left"/>
      <w:pPr>
        <w:ind w:left="1220" w:hanging="360"/>
      </w:pPr>
      <w:rPr>
        <w:rFonts w:hint="default"/>
      </w:rPr>
    </w:lvl>
    <w:lvl w:ilvl="4" w:tplc="06B83352">
      <w:numFmt w:val="bullet"/>
      <w:lvlText w:val="•"/>
      <w:lvlJc w:val="left"/>
      <w:pPr>
        <w:ind w:left="2422" w:hanging="360"/>
      </w:pPr>
      <w:rPr>
        <w:rFonts w:hint="default"/>
      </w:rPr>
    </w:lvl>
    <w:lvl w:ilvl="5" w:tplc="5F4E8B0E">
      <w:numFmt w:val="bullet"/>
      <w:lvlText w:val="•"/>
      <w:lvlJc w:val="left"/>
      <w:pPr>
        <w:ind w:left="3625" w:hanging="360"/>
      </w:pPr>
      <w:rPr>
        <w:rFonts w:hint="default"/>
      </w:rPr>
    </w:lvl>
    <w:lvl w:ilvl="6" w:tplc="22D8102E">
      <w:numFmt w:val="bullet"/>
      <w:lvlText w:val="•"/>
      <w:lvlJc w:val="left"/>
      <w:pPr>
        <w:ind w:left="4828" w:hanging="360"/>
      </w:pPr>
      <w:rPr>
        <w:rFonts w:hint="default"/>
      </w:rPr>
    </w:lvl>
    <w:lvl w:ilvl="7" w:tplc="13CAA27A">
      <w:numFmt w:val="bullet"/>
      <w:lvlText w:val="•"/>
      <w:lvlJc w:val="left"/>
      <w:pPr>
        <w:ind w:left="6031" w:hanging="360"/>
      </w:pPr>
      <w:rPr>
        <w:rFonts w:hint="default"/>
      </w:rPr>
    </w:lvl>
    <w:lvl w:ilvl="8" w:tplc="97EEEFD8">
      <w:numFmt w:val="bullet"/>
      <w:lvlText w:val="•"/>
      <w:lvlJc w:val="left"/>
      <w:pPr>
        <w:ind w:left="7234" w:hanging="360"/>
      </w:pPr>
      <w:rPr>
        <w:rFonts w:hint="default"/>
      </w:rPr>
    </w:lvl>
  </w:abstractNum>
  <w:abstractNum w:abstractNumId="46" w15:restartNumberingAfterBreak="0">
    <w:nsid w:val="0FE04469"/>
    <w:multiLevelType w:val="multilevel"/>
    <w:tmpl w:val="7F960EE0"/>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00079B7"/>
    <w:multiLevelType w:val="hybridMultilevel"/>
    <w:tmpl w:val="80B2A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0165E9D"/>
    <w:multiLevelType w:val="multilevel"/>
    <w:tmpl w:val="D94E38E0"/>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10AF4C69"/>
    <w:multiLevelType w:val="multilevel"/>
    <w:tmpl w:val="5AB2B05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1039B2"/>
    <w:multiLevelType w:val="multilevel"/>
    <w:tmpl w:val="2982D8CA"/>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14E1A65"/>
    <w:multiLevelType w:val="multilevel"/>
    <w:tmpl w:val="8E5855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11D419EB"/>
    <w:multiLevelType w:val="multilevel"/>
    <w:tmpl w:val="0624ED2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b w:val="0"/>
        <w:i w:val="0"/>
        <w:strike w:val="0"/>
        <w:dstrike w:val="0"/>
        <w:color w:val="000000"/>
        <w:sz w:val="20"/>
        <w:szCs w:val="20"/>
        <w:u w:val="none" w:color="000000"/>
        <w:vertAlign w:val="baseline"/>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12492595"/>
    <w:multiLevelType w:val="multilevel"/>
    <w:tmpl w:val="080895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127F581B"/>
    <w:multiLevelType w:val="multilevel"/>
    <w:tmpl w:val="BC349A3C"/>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C41275"/>
    <w:multiLevelType w:val="hybridMultilevel"/>
    <w:tmpl w:val="6DBC5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ACCA0D2">
      <w:start w:val="1"/>
      <w:numFmt w:val="bullet"/>
      <w:lvlText w:val=""/>
      <w:lvlJc w:val="left"/>
      <w:pPr>
        <w:ind w:left="1800" w:hanging="360"/>
      </w:pPr>
      <w:rPr>
        <w:rFonts w:ascii="Symbol" w:hAnsi="Symbol" w:hint="default"/>
        <w:sz w:val="22"/>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910CE0FC">
      <w:start w:val="7"/>
      <w:numFmt w:val="bullet"/>
      <w:lvlText w:val="-"/>
      <w:lvlJc w:val="left"/>
      <w:pPr>
        <w:ind w:left="5400" w:hanging="360"/>
      </w:pPr>
      <w:rPr>
        <w:rFonts w:ascii="Calibri" w:eastAsia="Times New Roman" w:hAnsi="Calibri"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2F0411E"/>
    <w:multiLevelType w:val="multilevel"/>
    <w:tmpl w:val="A9849E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13502443"/>
    <w:multiLevelType w:val="multilevel"/>
    <w:tmpl w:val="914CB6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135E2D54"/>
    <w:multiLevelType w:val="multilevel"/>
    <w:tmpl w:val="644C215E"/>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38A453B"/>
    <w:multiLevelType w:val="hybridMultilevel"/>
    <w:tmpl w:val="40905962"/>
    <w:lvl w:ilvl="0" w:tplc="31F01C4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3DD34BD"/>
    <w:multiLevelType w:val="multilevel"/>
    <w:tmpl w:val="D892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8B4261"/>
    <w:multiLevelType w:val="hybridMultilevel"/>
    <w:tmpl w:val="AD26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4AA6197"/>
    <w:multiLevelType w:val="hybridMultilevel"/>
    <w:tmpl w:val="72F49DB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4EC57DF"/>
    <w:multiLevelType w:val="multilevel"/>
    <w:tmpl w:val="B2C2416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14FE77D4"/>
    <w:multiLevelType w:val="multilevel"/>
    <w:tmpl w:val="BAD067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15203182"/>
    <w:multiLevelType w:val="hybridMultilevel"/>
    <w:tmpl w:val="EBA243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155B6C40"/>
    <w:multiLevelType w:val="multilevel"/>
    <w:tmpl w:val="2B6C3B4C"/>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158D6E76"/>
    <w:multiLevelType w:val="hybridMultilevel"/>
    <w:tmpl w:val="08AACA22"/>
    <w:lvl w:ilvl="0" w:tplc="71A8A61A">
      <w:start w:val="1"/>
      <w:numFmt w:val="bullet"/>
      <w:lvlText w:val="o"/>
      <w:lvlJc w:val="left"/>
      <w:pPr>
        <w:ind w:left="720" w:hanging="360"/>
      </w:pPr>
      <w:rPr>
        <w:rFonts w:ascii="Courier New" w:hAnsi="Courier New" w:hint="default"/>
        <w:color w:val="auto"/>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AF1996"/>
    <w:multiLevelType w:val="multilevel"/>
    <w:tmpl w:val="815078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16224431"/>
    <w:multiLevelType w:val="multilevel"/>
    <w:tmpl w:val="AD4AA67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6817F6C"/>
    <w:multiLevelType w:val="multilevel"/>
    <w:tmpl w:val="2D4C0CDC"/>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16AA1E1E"/>
    <w:multiLevelType w:val="multilevel"/>
    <w:tmpl w:val="298C22F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17E03294"/>
    <w:multiLevelType w:val="multilevel"/>
    <w:tmpl w:val="4DA4EF02"/>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17E727BF"/>
    <w:multiLevelType w:val="multilevel"/>
    <w:tmpl w:val="2F0E876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88443D2"/>
    <w:multiLevelType w:val="hybridMultilevel"/>
    <w:tmpl w:val="1A1AD0C0"/>
    <w:lvl w:ilvl="0" w:tplc="EE2A8850">
      <w:start w:val="1"/>
      <w:numFmt w:val="decimal"/>
      <w:lvlText w:val="%1."/>
      <w:lvlJc w:val="left"/>
      <w:pPr>
        <w:ind w:left="500" w:hanging="360"/>
      </w:pPr>
      <w:rPr>
        <w:rFonts w:ascii="Calibri" w:eastAsia="Calibri" w:hAnsi="Calibri" w:cs="Calibri" w:hint="default"/>
        <w:spacing w:val="-5"/>
        <w:w w:val="100"/>
        <w:sz w:val="24"/>
        <w:szCs w:val="24"/>
      </w:rPr>
    </w:lvl>
    <w:lvl w:ilvl="1" w:tplc="C5827F32">
      <w:numFmt w:val="bullet"/>
      <w:lvlText w:val="•"/>
      <w:lvlJc w:val="left"/>
      <w:pPr>
        <w:ind w:left="1414" w:hanging="360"/>
      </w:pPr>
      <w:rPr>
        <w:rFonts w:hint="default"/>
      </w:rPr>
    </w:lvl>
    <w:lvl w:ilvl="2" w:tplc="2B92F840">
      <w:numFmt w:val="bullet"/>
      <w:lvlText w:val="•"/>
      <w:lvlJc w:val="left"/>
      <w:pPr>
        <w:ind w:left="2328" w:hanging="360"/>
      </w:pPr>
      <w:rPr>
        <w:rFonts w:hint="default"/>
      </w:rPr>
    </w:lvl>
    <w:lvl w:ilvl="3" w:tplc="51884C00">
      <w:numFmt w:val="bullet"/>
      <w:lvlText w:val="•"/>
      <w:lvlJc w:val="left"/>
      <w:pPr>
        <w:ind w:left="3242" w:hanging="360"/>
      </w:pPr>
      <w:rPr>
        <w:rFonts w:hint="default"/>
      </w:rPr>
    </w:lvl>
    <w:lvl w:ilvl="4" w:tplc="F09C1AA6">
      <w:numFmt w:val="bullet"/>
      <w:lvlText w:val="•"/>
      <w:lvlJc w:val="left"/>
      <w:pPr>
        <w:ind w:left="4156" w:hanging="360"/>
      </w:pPr>
      <w:rPr>
        <w:rFonts w:hint="default"/>
      </w:rPr>
    </w:lvl>
    <w:lvl w:ilvl="5" w:tplc="DBF837E4">
      <w:numFmt w:val="bullet"/>
      <w:lvlText w:val="•"/>
      <w:lvlJc w:val="left"/>
      <w:pPr>
        <w:ind w:left="5070" w:hanging="360"/>
      </w:pPr>
      <w:rPr>
        <w:rFonts w:hint="default"/>
      </w:rPr>
    </w:lvl>
    <w:lvl w:ilvl="6" w:tplc="940E4068">
      <w:numFmt w:val="bullet"/>
      <w:lvlText w:val="•"/>
      <w:lvlJc w:val="left"/>
      <w:pPr>
        <w:ind w:left="5984" w:hanging="360"/>
      </w:pPr>
      <w:rPr>
        <w:rFonts w:hint="default"/>
      </w:rPr>
    </w:lvl>
    <w:lvl w:ilvl="7" w:tplc="35B6F5AC">
      <w:numFmt w:val="bullet"/>
      <w:lvlText w:val="•"/>
      <w:lvlJc w:val="left"/>
      <w:pPr>
        <w:ind w:left="6898" w:hanging="360"/>
      </w:pPr>
      <w:rPr>
        <w:rFonts w:hint="default"/>
      </w:rPr>
    </w:lvl>
    <w:lvl w:ilvl="8" w:tplc="7966A6D2">
      <w:numFmt w:val="bullet"/>
      <w:lvlText w:val="•"/>
      <w:lvlJc w:val="left"/>
      <w:pPr>
        <w:ind w:left="7812" w:hanging="360"/>
      </w:pPr>
      <w:rPr>
        <w:rFonts w:hint="default"/>
      </w:rPr>
    </w:lvl>
  </w:abstractNum>
  <w:abstractNum w:abstractNumId="75" w15:restartNumberingAfterBreak="0">
    <w:nsid w:val="18AB1C82"/>
    <w:multiLevelType w:val="multilevel"/>
    <w:tmpl w:val="C896AC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18B177D4"/>
    <w:multiLevelType w:val="hybridMultilevel"/>
    <w:tmpl w:val="25D27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51905626">
      <w:start w:val="1"/>
      <w:numFmt w:val="upp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8F2258F"/>
    <w:multiLevelType w:val="hybridMultilevel"/>
    <w:tmpl w:val="52109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184CF1"/>
    <w:multiLevelType w:val="hybridMultilevel"/>
    <w:tmpl w:val="FBE2D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A7238B4"/>
    <w:multiLevelType w:val="hybridMultilevel"/>
    <w:tmpl w:val="1DC0B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AB13323"/>
    <w:multiLevelType w:val="hybridMultilevel"/>
    <w:tmpl w:val="06F2B192"/>
    <w:lvl w:ilvl="0" w:tplc="C9A086B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ABA1764"/>
    <w:multiLevelType w:val="hybridMultilevel"/>
    <w:tmpl w:val="F62E0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B2A60D5"/>
    <w:multiLevelType w:val="multilevel"/>
    <w:tmpl w:val="10EA37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color w:val="auto"/>
        <w:sz w:val="28"/>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1BE558BB"/>
    <w:multiLevelType w:val="multilevel"/>
    <w:tmpl w:val="98DA5D2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1C1757A2"/>
    <w:multiLevelType w:val="multilevel"/>
    <w:tmpl w:val="4186FC6E"/>
    <w:lvl w:ilvl="0">
      <w:start w:val="1"/>
      <w:numFmt w:val="decimal"/>
      <w:lvlText w:val="%1."/>
      <w:lvlJc w:val="left"/>
      <w:pPr>
        <w:ind w:left="360" w:hanging="360"/>
      </w:pPr>
      <w:rPr>
        <w:i w:val="0"/>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1CD71F4C"/>
    <w:multiLevelType w:val="multilevel"/>
    <w:tmpl w:val="9D18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CFD485E"/>
    <w:multiLevelType w:val="hybridMultilevel"/>
    <w:tmpl w:val="FB26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D10181C"/>
    <w:multiLevelType w:val="hybridMultilevel"/>
    <w:tmpl w:val="B5F61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D656525"/>
    <w:multiLevelType w:val="multilevel"/>
    <w:tmpl w:val="14542926"/>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1D6B5A55"/>
    <w:multiLevelType w:val="hybridMultilevel"/>
    <w:tmpl w:val="7A84A5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DED4504"/>
    <w:multiLevelType w:val="hybridMultilevel"/>
    <w:tmpl w:val="E6BC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E357B70"/>
    <w:multiLevelType w:val="multilevel"/>
    <w:tmpl w:val="AAFABA4C"/>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1F5D6571"/>
    <w:multiLevelType w:val="multilevel"/>
    <w:tmpl w:val="DBF6163C"/>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1FCC7BFC"/>
    <w:multiLevelType w:val="hybridMultilevel"/>
    <w:tmpl w:val="7442A934"/>
    <w:lvl w:ilvl="0" w:tplc="0409000F">
      <w:start w:val="1"/>
      <w:numFmt w:val="decimal"/>
      <w:pStyle w:val="Style2"/>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200B7401"/>
    <w:multiLevelType w:val="hybridMultilevel"/>
    <w:tmpl w:val="0FF4578E"/>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E4A29FCE">
      <w:start w:val="1"/>
      <w:numFmt w:val="bullet"/>
      <w:lvlText w:val="o"/>
      <w:lvlJc w:val="left"/>
      <w:pPr>
        <w:ind w:left="2304" w:hanging="360"/>
      </w:pPr>
      <w:rPr>
        <w:rFonts w:ascii="Courier New" w:hAnsi="Courier New" w:hint="default"/>
        <w:sz w:val="22"/>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5" w15:restartNumberingAfterBreak="0">
    <w:nsid w:val="2021392C"/>
    <w:multiLevelType w:val="hybridMultilevel"/>
    <w:tmpl w:val="5CCC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0AA5344"/>
    <w:multiLevelType w:val="multilevel"/>
    <w:tmpl w:val="5C2ED232"/>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20B446E0"/>
    <w:multiLevelType w:val="hybridMultilevel"/>
    <w:tmpl w:val="A54CF324"/>
    <w:lvl w:ilvl="0" w:tplc="7304E15E">
      <w:start w:val="1"/>
      <w:numFmt w:val="decimal"/>
      <w:lvlText w:val="%1."/>
      <w:lvlJc w:val="left"/>
      <w:pPr>
        <w:ind w:left="500" w:hanging="360"/>
      </w:pPr>
      <w:rPr>
        <w:rFonts w:ascii="Calibri" w:eastAsia="Calibri" w:hAnsi="Calibri" w:cs="Calibri" w:hint="default"/>
        <w:spacing w:val="-5"/>
        <w:w w:val="100"/>
        <w:sz w:val="24"/>
        <w:szCs w:val="24"/>
      </w:rPr>
    </w:lvl>
    <w:lvl w:ilvl="1" w:tplc="6F266FCA">
      <w:numFmt w:val="bullet"/>
      <w:lvlText w:val="•"/>
      <w:lvlJc w:val="left"/>
      <w:pPr>
        <w:ind w:left="1414" w:hanging="360"/>
      </w:pPr>
      <w:rPr>
        <w:rFonts w:hint="default"/>
      </w:rPr>
    </w:lvl>
    <w:lvl w:ilvl="2" w:tplc="394217DA">
      <w:numFmt w:val="bullet"/>
      <w:lvlText w:val="•"/>
      <w:lvlJc w:val="left"/>
      <w:pPr>
        <w:ind w:left="2328" w:hanging="360"/>
      </w:pPr>
      <w:rPr>
        <w:rFonts w:hint="default"/>
      </w:rPr>
    </w:lvl>
    <w:lvl w:ilvl="3" w:tplc="5CBACD60">
      <w:numFmt w:val="bullet"/>
      <w:lvlText w:val="•"/>
      <w:lvlJc w:val="left"/>
      <w:pPr>
        <w:ind w:left="3242" w:hanging="360"/>
      </w:pPr>
      <w:rPr>
        <w:rFonts w:hint="default"/>
      </w:rPr>
    </w:lvl>
    <w:lvl w:ilvl="4" w:tplc="92B8385E">
      <w:numFmt w:val="bullet"/>
      <w:lvlText w:val="•"/>
      <w:lvlJc w:val="left"/>
      <w:pPr>
        <w:ind w:left="4156" w:hanging="360"/>
      </w:pPr>
      <w:rPr>
        <w:rFonts w:hint="default"/>
      </w:rPr>
    </w:lvl>
    <w:lvl w:ilvl="5" w:tplc="E00A940E">
      <w:numFmt w:val="bullet"/>
      <w:lvlText w:val="•"/>
      <w:lvlJc w:val="left"/>
      <w:pPr>
        <w:ind w:left="5070" w:hanging="360"/>
      </w:pPr>
      <w:rPr>
        <w:rFonts w:hint="default"/>
      </w:rPr>
    </w:lvl>
    <w:lvl w:ilvl="6" w:tplc="418630DA">
      <w:numFmt w:val="bullet"/>
      <w:lvlText w:val="•"/>
      <w:lvlJc w:val="left"/>
      <w:pPr>
        <w:ind w:left="5984" w:hanging="360"/>
      </w:pPr>
      <w:rPr>
        <w:rFonts w:hint="default"/>
      </w:rPr>
    </w:lvl>
    <w:lvl w:ilvl="7" w:tplc="7E9E1B5A">
      <w:numFmt w:val="bullet"/>
      <w:lvlText w:val="•"/>
      <w:lvlJc w:val="left"/>
      <w:pPr>
        <w:ind w:left="6898" w:hanging="360"/>
      </w:pPr>
      <w:rPr>
        <w:rFonts w:hint="default"/>
      </w:rPr>
    </w:lvl>
    <w:lvl w:ilvl="8" w:tplc="BF62A2A8">
      <w:numFmt w:val="bullet"/>
      <w:lvlText w:val="•"/>
      <w:lvlJc w:val="left"/>
      <w:pPr>
        <w:ind w:left="7812" w:hanging="360"/>
      </w:pPr>
      <w:rPr>
        <w:rFonts w:hint="default"/>
      </w:rPr>
    </w:lvl>
  </w:abstractNum>
  <w:abstractNum w:abstractNumId="98" w15:restartNumberingAfterBreak="0">
    <w:nsid w:val="21770210"/>
    <w:multiLevelType w:val="multilevel"/>
    <w:tmpl w:val="B97C8024"/>
    <w:lvl w:ilvl="0">
      <w:start w:val="17"/>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21933125"/>
    <w:multiLevelType w:val="multilevel"/>
    <w:tmpl w:val="38C2EC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1D05707"/>
    <w:multiLevelType w:val="multilevel"/>
    <w:tmpl w:val="D592E9E4"/>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22137695"/>
    <w:multiLevelType w:val="multilevel"/>
    <w:tmpl w:val="B91AA0E6"/>
    <w:lvl w:ilvl="0">
      <w:start w:val="1"/>
      <w:numFmt w:val="bullet"/>
      <w:pStyle w:val="Level4"/>
      <w:lvlText w:val=""/>
      <w:lvlJc w:val="left"/>
      <w:pPr>
        <w:tabs>
          <w:tab w:val="num" w:pos="2628"/>
        </w:tabs>
        <w:ind w:left="2628" w:hanging="360"/>
      </w:pPr>
      <w:rPr>
        <w:rFonts w:ascii="Symbol" w:hAnsi="Symbol" w:cs="Symbol" w:hint="default"/>
      </w:rPr>
    </w:lvl>
    <w:lvl w:ilvl="1">
      <w:start w:val="1"/>
      <w:numFmt w:val="upperLetter"/>
      <w:lvlText w:val="%1.%2"/>
      <w:lvlJc w:val="left"/>
      <w:pPr>
        <w:tabs>
          <w:tab w:val="num" w:pos="2412"/>
        </w:tabs>
        <w:ind w:left="2412" w:hanging="720"/>
      </w:pPr>
      <w:rPr>
        <w:rFonts w:hint="default"/>
      </w:rPr>
    </w:lvl>
    <w:lvl w:ilvl="2">
      <w:start w:val="1"/>
      <w:numFmt w:val="decimal"/>
      <w:pStyle w:val="Level3"/>
      <w:lvlText w:val="%1.%2.%3"/>
      <w:lvlJc w:val="left"/>
      <w:pPr>
        <w:tabs>
          <w:tab w:val="num" w:pos="2844"/>
        </w:tabs>
        <w:ind w:left="2844" w:hanging="864"/>
      </w:pPr>
      <w:rPr>
        <w:rFonts w:hint="default"/>
      </w:rPr>
    </w:lvl>
    <w:lvl w:ilvl="3">
      <w:start w:val="1"/>
      <w:numFmt w:val="lowerLetter"/>
      <w:lvlText w:val="%1.%2.%3.%4"/>
      <w:lvlJc w:val="left"/>
      <w:pPr>
        <w:tabs>
          <w:tab w:val="num" w:pos="3564"/>
        </w:tabs>
        <w:ind w:left="3564" w:hanging="1080"/>
      </w:pPr>
      <w:rPr>
        <w:rFonts w:hint="default"/>
      </w:rPr>
    </w:lvl>
    <w:lvl w:ilvl="4">
      <w:start w:val="1"/>
      <w:numFmt w:val="lowerRoman"/>
      <w:lvlText w:val="%1.%2.%3.%4.%5"/>
      <w:lvlJc w:val="left"/>
      <w:pPr>
        <w:tabs>
          <w:tab w:val="num" w:pos="4644"/>
        </w:tabs>
        <w:ind w:left="3636" w:hanging="792"/>
      </w:pPr>
      <w:rPr>
        <w:rFonts w:hint="default"/>
      </w:rPr>
    </w:lvl>
    <w:lvl w:ilvl="5">
      <w:start w:val="1"/>
      <w:numFmt w:val="decimal"/>
      <w:lvlText w:val="%1.%2.%3.%4.%5.%6."/>
      <w:lvlJc w:val="left"/>
      <w:pPr>
        <w:tabs>
          <w:tab w:val="num" w:pos="5724"/>
        </w:tabs>
        <w:ind w:left="4140" w:hanging="936"/>
      </w:pPr>
      <w:rPr>
        <w:rFonts w:hint="default"/>
      </w:rPr>
    </w:lvl>
    <w:lvl w:ilvl="6">
      <w:start w:val="1"/>
      <w:numFmt w:val="decimal"/>
      <w:lvlText w:val="%1.%2.%3.%4.%5.%6.%7."/>
      <w:lvlJc w:val="left"/>
      <w:pPr>
        <w:tabs>
          <w:tab w:val="num" w:pos="6444"/>
        </w:tabs>
        <w:ind w:left="4644" w:hanging="1080"/>
      </w:pPr>
      <w:rPr>
        <w:rFonts w:hint="default"/>
      </w:rPr>
    </w:lvl>
    <w:lvl w:ilvl="7">
      <w:start w:val="1"/>
      <w:numFmt w:val="decimal"/>
      <w:lvlText w:val="%1.%2.%3.%4.%5.%6.%7.%8."/>
      <w:lvlJc w:val="left"/>
      <w:pPr>
        <w:tabs>
          <w:tab w:val="num" w:pos="7164"/>
        </w:tabs>
        <w:ind w:left="5148" w:hanging="1224"/>
      </w:pPr>
      <w:rPr>
        <w:rFonts w:hint="default"/>
      </w:rPr>
    </w:lvl>
    <w:lvl w:ilvl="8">
      <w:start w:val="1"/>
      <w:numFmt w:val="decimal"/>
      <w:lvlText w:val="%1.%2.%3.%4.%5.%6.%7.%8.%9."/>
      <w:lvlJc w:val="left"/>
      <w:pPr>
        <w:tabs>
          <w:tab w:val="num" w:pos="8244"/>
        </w:tabs>
        <w:ind w:left="5724" w:hanging="1440"/>
      </w:pPr>
      <w:rPr>
        <w:rFonts w:hint="default"/>
      </w:rPr>
    </w:lvl>
  </w:abstractNum>
  <w:abstractNum w:abstractNumId="102" w15:restartNumberingAfterBreak="0">
    <w:nsid w:val="225E24C7"/>
    <w:multiLevelType w:val="multilevel"/>
    <w:tmpl w:val="4274ADF0"/>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227D5CB5"/>
    <w:multiLevelType w:val="multilevel"/>
    <w:tmpl w:val="D00AC2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4" w15:restartNumberingAfterBreak="0">
    <w:nsid w:val="23256E16"/>
    <w:multiLevelType w:val="multilevel"/>
    <w:tmpl w:val="2ADE00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 w15:restartNumberingAfterBreak="0">
    <w:nsid w:val="23385932"/>
    <w:multiLevelType w:val="multilevel"/>
    <w:tmpl w:val="3744B4D6"/>
    <w:lvl w:ilvl="0">
      <w:start w:val="1"/>
      <w:numFmt w:val="decimal"/>
      <w:pStyle w:val="ListNumber"/>
      <w:lvlText w:val="%1."/>
      <w:lvlJc w:val="left"/>
      <w:pPr>
        <w:tabs>
          <w:tab w:val="num" w:pos="900"/>
        </w:tabs>
        <w:ind w:left="900" w:hanging="360"/>
      </w:pPr>
      <w:rPr>
        <w:rFonts w:ascii="Calibri" w:hAnsi="Calibri" w:cs="Calibri" w:hint="default"/>
        <w:b w:val="0"/>
        <w:i w:val="0"/>
        <w:strike w:val="0"/>
        <w:color w:val="auto"/>
      </w:rPr>
    </w:lvl>
    <w:lvl w:ilvl="1">
      <w:start w:val="1"/>
      <w:numFmt w:val="lowerLetter"/>
      <w:lvlText w:val="%2."/>
      <w:lvlJc w:val="left"/>
      <w:pPr>
        <w:tabs>
          <w:tab w:val="num" w:pos="0"/>
        </w:tabs>
        <w:ind w:left="1080" w:hanging="360"/>
      </w:pPr>
      <w:rPr>
        <w:rFonts w:hint="default"/>
        <w:b w:val="0"/>
      </w:rPr>
    </w:lvl>
    <w:lvl w:ilvl="2">
      <w:start w:val="1"/>
      <w:numFmt w:val="lowerLetter"/>
      <w:lvlText w:val="%3."/>
      <w:lvlJc w:val="left"/>
      <w:pPr>
        <w:tabs>
          <w:tab w:val="num" w:pos="900"/>
        </w:tabs>
        <w:ind w:left="1980" w:hanging="360"/>
      </w:pPr>
      <w:rPr>
        <w:rFonts w:hint="default"/>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6" w15:restartNumberingAfterBreak="0">
    <w:nsid w:val="23604E06"/>
    <w:multiLevelType w:val="multilevel"/>
    <w:tmpl w:val="DF30FA20"/>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24550164"/>
    <w:multiLevelType w:val="multilevel"/>
    <w:tmpl w:val="2A1CE5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8" w15:restartNumberingAfterBreak="0">
    <w:nsid w:val="245E6AD9"/>
    <w:multiLevelType w:val="multilevel"/>
    <w:tmpl w:val="BD9EFD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4F345B0"/>
    <w:multiLevelType w:val="hybridMultilevel"/>
    <w:tmpl w:val="5936D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25847259"/>
    <w:multiLevelType w:val="hybridMultilevel"/>
    <w:tmpl w:val="142AEA30"/>
    <w:lvl w:ilvl="0" w:tplc="E708C314">
      <w:start w:val="1"/>
      <w:numFmt w:val="decimal"/>
      <w:lvlText w:val="%1."/>
      <w:lvlJc w:val="left"/>
      <w:pPr>
        <w:ind w:left="500" w:hanging="360"/>
      </w:pPr>
      <w:rPr>
        <w:rFonts w:ascii="Calibri" w:eastAsia="Calibri" w:hAnsi="Calibri" w:cs="Calibri" w:hint="default"/>
        <w:spacing w:val="-3"/>
        <w:w w:val="100"/>
        <w:sz w:val="24"/>
        <w:szCs w:val="24"/>
      </w:rPr>
    </w:lvl>
    <w:lvl w:ilvl="1" w:tplc="5EFEA822">
      <w:start w:val="1"/>
      <w:numFmt w:val="lowerLetter"/>
      <w:lvlText w:val="%2."/>
      <w:lvlJc w:val="left"/>
      <w:pPr>
        <w:ind w:left="1220" w:hanging="360"/>
      </w:pPr>
      <w:rPr>
        <w:rFonts w:ascii="Calibri" w:eastAsia="Calibri" w:hAnsi="Calibri" w:cs="Calibri" w:hint="default"/>
        <w:spacing w:val="-3"/>
        <w:w w:val="100"/>
        <w:sz w:val="24"/>
        <w:szCs w:val="24"/>
      </w:rPr>
    </w:lvl>
    <w:lvl w:ilvl="2" w:tplc="AE102882">
      <w:numFmt w:val="bullet"/>
      <w:lvlText w:val="•"/>
      <w:lvlJc w:val="left"/>
      <w:pPr>
        <w:ind w:left="2155" w:hanging="360"/>
      </w:pPr>
      <w:rPr>
        <w:rFonts w:hint="default"/>
      </w:rPr>
    </w:lvl>
    <w:lvl w:ilvl="3" w:tplc="8DF8F18A">
      <w:numFmt w:val="bullet"/>
      <w:lvlText w:val="•"/>
      <w:lvlJc w:val="left"/>
      <w:pPr>
        <w:ind w:left="3091" w:hanging="360"/>
      </w:pPr>
      <w:rPr>
        <w:rFonts w:hint="default"/>
      </w:rPr>
    </w:lvl>
    <w:lvl w:ilvl="4" w:tplc="F30CAA50">
      <w:numFmt w:val="bullet"/>
      <w:lvlText w:val="•"/>
      <w:lvlJc w:val="left"/>
      <w:pPr>
        <w:ind w:left="4026" w:hanging="360"/>
      </w:pPr>
      <w:rPr>
        <w:rFonts w:hint="default"/>
      </w:rPr>
    </w:lvl>
    <w:lvl w:ilvl="5" w:tplc="6BC8367A">
      <w:numFmt w:val="bullet"/>
      <w:lvlText w:val="•"/>
      <w:lvlJc w:val="left"/>
      <w:pPr>
        <w:ind w:left="4962" w:hanging="360"/>
      </w:pPr>
      <w:rPr>
        <w:rFonts w:hint="default"/>
      </w:rPr>
    </w:lvl>
    <w:lvl w:ilvl="6" w:tplc="75687ACC">
      <w:numFmt w:val="bullet"/>
      <w:lvlText w:val="•"/>
      <w:lvlJc w:val="left"/>
      <w:pPr>
        <w:ind w:left="5897" w:hanging="360"/>
      </w:pPr>
      <w:rPr>
        <w:rFonts w:hint="default"/>
      </w:rPr>
    </w:lvl>
    <w:lvl w:ilvl="7" w:tplc="400EC5CE">
      <w:numFmt w:val="bullet"/>
      <w:lvlText w:val="•"/>
      <w:lvlJc w:val="left"/>
      <w:pPr>
        <w:ind w:left="6833" w:hanging="360"/>
      </w:pPr>
      <w:rPr>
        <w:rFonts w:hint="default"/>
      </w:rPr>
    </w:lvl>
    <w:lvl w:ilvl="8" w:tplc="12545F8A">
      <w:numFmt w:val="bullet"/>
      <w:lvlText w:val="•"/>
      <w:lvlJc w:val="left"/>
      <w:pPr>
        <w:ind w:left="7768" w:hanging="360"/>
      </w:pPr>
      <w:rPr>
        <w:rFonts w:hint="default"/>
      </w:rPr>
    </w:lvl>
  </w:abstractNum>
  <w:abstractNum w:abstractNumId="111" w15:restartNumberingAfterBreak="0">
    <w:nsid w:val="26682B10"/>
    <w:multiLevelType w:val="multilevel"/>
    <w:tmpl w:val="E600470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b w:val="0"/>
        <w:i w:val="0"/>
        <w:strike w:val="0"/>
        <w:dstrike w:val="0"/>
        <w:color w:val="000000"/>
        <w:sz w:val="20"/>
        <w:szCs w:val="20"/>
        <w:u w:val="none" w:color="000000"/>
        <w:vertAlign w:val="baseline"/>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2" w15:restartNumberingAfterBreak="0">
    <w:nsid w:val="26C2197A"/>
    <w:multiLevelType w:val="hybridMultilevel"/>
    <w:tmpl w:val="18AA7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26DE51B7"/>
    <w:multiLevelType w:val="multilevel"/>
    <w:tmpl w:val="2CC6240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2"/>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4" w15:restartNumberingAfterBreak="0">
    <w:nsid w:val="26EE43C9"/>
    <w:multiLevelType w:val="multilevel"/>
    <w:tmpl w:val="63344878"/>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27174E49"/>
    <w:multiLevelType w:val="hybridMultilevel"/>
    <w:tmpl w:val="DE10CD22"/>
    <w:lvl w:ilvl="0" w:tplc="1FDA4210">
      <w:start w:val="1"/>
      <w:numFmt w:val="decimal"/>
      <w:lvlText w:val="%1."/>
      <w:lvlJc w:val="left"/>
      <w:pPr>
        <w:ind w:left="840" w:hanging="360"/>
      </w:pPr>
      <w:rPr>
        <w:rFonts w:asciiTheme="minorHAnsi" w:hAnsiTheme="minorHAnsi" w:cstheme="minorHAnsi" w:hint="default"/>
        <w:spacing w:val="-6"/>
        <w:w w:val="99"/>
      </w:rPr>
    </w:lvl>
    <w:lvl w:ilvl="1" w:tplc="69ECEEA2">
      <w:numFmt w:val="bullet"/>
      <w:lvlText w:val="•"/>
      <w:lvlJc w:val="left"/>
      <w:pPr>
        <w:ind w:left="1560" w:hanging="361"/>
      </w:pPr>
      <w:rPr>
        <w:rFonts w:hint="default"/>
        <w:w w:val="100"/>
      </w:rPr>
    </w:lvl>
    <w:lvl w:ilvl="2" w:tplc="69ECEEA2">
      <w:numFmt w:val="bullet"/>
      <w:lvlText w:val="•"/>
      <w:lvlJc w:val="left"/>
      <w:pPr>
        <w:ind w:left="2493" w:hanging="361"/>
      </w:pPr>
      <w:rPr>
        <w:rFonts w:hint="default"/>
      </w:rPr>
    </w:lvl>
    <w:lvl w:ilvl="3" w:tplc="69B60028">
      <w:numFmt w:val="bullet"/>
      <w:lvlText w:val="•"/>
      <w:lvlJc w:val="left"/>
      <w:pPr>
        <w:ind w:left="3426" w:hanging="361"/>
      </w:pPr>
      <w:rPr>
        <w:rFonts w:hint="default"/>
      </w:rPr>
    </w:lvl>
    <w:lvl w:ilvl="4" w:tplc="6E02C79C">
      <w:numFmt w:val="bullet"/>
      <w:lvlText w:val="•"/>
      <w:lvlJc w:val="left"/>
      <w:pPr>
        <w:ind w:left="4360" w:hanging="361"/>
      </w:pPr>
      <w:rPr>
        <w:rFonts w:hint="default"/>
      </w:rPr>
    </w:lvl>
    <w:lvl w:ilvl="5" w:tplc="687CB596">
      <w:numFmt w:val="bullet"/>
      <w:lvlText w:val="•"/>
      <w:lvlJc w:val="left"/>
      <w:pPr>
        <w:ind w:left="5293" w:hanging="361"/>
      </w:pPr>
      <w:rPr>
        <w:rFonts w:hint="default"/>
      </w:rPr>
    </w:lvl>
    <w:lvl w:ilvl="6" w:tplc="C7F6BD06">
      <w:numFmt w:val="bullet"/>
      <w:lvlText w:val="•"/>
      <w:lvlJc w:val="left"/>
      <w:pPr>
        <w:ind w:left="6226" w:hanging="361"/>
      </w:pPr>
      <w:rPr>
        <w:rFonts w:hint="default"/>
      </w:rPr>
    </w:lvl>
    <w:lvl w:ilvl="7" w:tplc="10A86884">
      <w:numFmt w:val="bullet"/>
      <w:lvlText w:val="•"/>
      <w:lvlJc w:val="left"/>
      <w:pPr>
        <w:ind w:left="7160" w:hanging="361"/>
      </w:pPr>
      <w:rPr>
        <w:rFonts w:hint="default"/>
      </w:rPr>
    </w:lvl>
    <w:lvl w:ilvl="8" w:tplc="1D1032B0">
      <w:numFmt w:val="bullet"/>
      <w:lvlText w:val="•"/>
      <w:lvlJc w:val="left"/>
      <w:pPr>
        <w:ind w:left="8093" w:hanging="361"/>
      </w:pPr>
      <w:rPr>
        <w:rFonts w:hint="default"/>
      </w:rPr>
    </w:lvl>
  </w:abstractNum>
  <w:abstractNum w:abstractNumId="116" w15:restartNumberingAfterBreak="0">
    <w:nsid w:val="27314C7C"/>
    <w:multiLevelType w:val="multilevel"/>
    <w:tmpl w:val="DC44D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80D3547"/>
    <w:multiLevelType w:val="hybridMultilevel"/>
    <w:tmpl w:val="2E4C9F44"/>
    <w:lvl w:ilvl="0" w:tplc="DAE41296">
      <w:start w:val="1"/>
      <w:numFmt w:val="bullet"/>
      <w:lvlText w:val=""/>
      <w:lvlJc w:val="left"/>
      <w:pPr>
        <w:ind w:left="720" w:hanging="360"/>
      </w:pPr>
      <w:rPr>
        <w:rFonts w:ascii="Symbol" w:hAnsi="Symbol" w:hint="default"/>
        <w:color w:val="auto"/>
        <w:sz w:val="24"/>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8297A0A"/>
    <w:multiLevelType w:val="multilevel"/>
    <w:tmpl w:val="2BCC9E6A"/>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 w15:restartNumberingAfterBreak="0">
    <w:nsid w:val="28451924"/>
    <w:multiLevelType w:val="multilevel"/>
    <w:tmpl w:val="85EAEFBA"/>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28655CB2"/>
    <w:multiLevelType w:val="multilevel"/>
    <w:tmpl w:val="DC44A2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8B27189"/>
    <w:multiLevelType w:val="multilevel"/>
    <w:tmpl w:val="B4D4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8B32629"/>
    <w:multiLevelType w:val="hybridMultilevel"/>
    <w:tmpl w:val="4108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8D405BA"/>
    <w:multiLevelType w:val="hybridMultilevel"/>
    <w:tmpl w:val="9C34F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28E17D12"/>
    <w:multiLevelType w:val="multilevel"/>
    <w:tmpl w:val="FC480E34"/>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5" w15:restartNumberingAfterBreak="0">
    <w:nsid w:val="28EB0D03"/>
    <w:multiLevelType w:val="multilevel"/>
    <w:tmpl w:val="B2C6CE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94A4326"/>
    <w:multiLevelType w:val="hybridMultilevel"/>
    <w:tmpl w:val="A88C73EA"/>
    <w:lvl w:ilvl="0" w:tplc="BACCA0D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A85BC4"/>
    <w:multiLevelType w:val="hybridMultilevel"/>
    <w:tmpl w:val="469EB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2A652DAF"/>
    <w:multiLevelType w:val="multilevel"/>
    <w:tmpl w:val="97F6669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AB10DF4"/>
    <w:multiLevelType w:val="multilevel"/>
    <w:tmpl w:val="E966AF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AC33C15"/>
    <w:multiLevelType w:val="hybridMultilevel"/>
    <w:tmpl w:val="7D70963C"/>
    <w:lvl w:ilvl="0" w:tplc="04090017">
      <w:start w:val="1"/>
      <w:numFmt w:val="decimal"/>
      <w:pStyle w:val="Normal-bulli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1" w15:restartNumberingAfterBreak="0">
    <w:nsid w:val="2ACB7670"/>
    <w:multiLevelType w:val="hybridMultilevel"/>
    <w:tmpl w:val="E0468256"/>
    <w:lvl w:ilvl="0" w:tplc="9768FFBE">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2B952BE8"/>
    <w:multiLevelType w:val="multilevel"/>
    <w:tmpl w:val="46B88D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3" w15:restartNumberingAfterBreak="0">
    <w:nsid w:val="2BBF0A9B"/>
    <w:multiLevelType w:val="hybridMultilevel"/>
    <w:tmpl w:val="36DA90B6"/>
    <w:lvl w:ilvl="0" w:tplc="5BCACE2E">
      <w:start w:val="1"/>
      <w:numFmt w:val="lowerLetter"/>
      <w:lvlText w:val="%1."/>
      <w:lvlJc w:val="left"/>
      <w:pPr>
        <w:tabs>
          <w:tab w:val="num" w:pos="1800"/>
        </w:tabs>
        <w:ind w:left="1800" w:hanging="360"/>
      </w:pPr>
    </w:lvl>
    <w:lvl w:ilvl="1" w:tplc="6F36C89C" w:tentative="1">
      <w:start w:val="1"/>
      <w:numFmt w:val="lowerLetter"/>
      <w:lvlText w:val="%2."/>
      <w:lvlJc w:val="left"/>
      <w:pPr>
        <w:tabs>
          <w:tab w:val="num" w:pos="1440"/>
        </w:tabs>
        <w:ind w:left="1440" w:hanging="360"/>
      </w:pPr>
    </w:lvl>
    <w:lvl w:ilvl="2" w:tplc="88967A0A" w:tentative="1">
      <w:start w:val="1"/>
      <w:numFmt w:val="lowerRoman"/>
      <w:lvlText w:val="%3."/>
      <w:lvlJc w:val="right"/>
      <w:pPr>
        <w:tabs>
          <w:tab w:val="num" w:pos="2160"/>
        </w:tabs>
        <w:ind w:left="2160" w:hanging="180"/>
      </w:pPr>
    </w:lvl>
    <w:lvl w:ilvl="3" w:tplc="5B82DE24" w:tentative="1">
      <w:start w:val="1"/>
      <w:numFmt w:val="decimal"/>
      <w:lvlText w:val="%4."/>
      <w:lvlJc w:val="left"/>
      <w:pPr>
        <w:tabs>
          <w:tab w:val="num" w:pos="2880"/>
        </w:tabs>
        <w:ind w:left="2880" w:hanging="360"/>
      </w:pPr>
    </w:lvl>
    <w:lvl w:ilvl="4" w:tplc="C51412E6" w:tentative="1">
      <w:start w:val="1"/>
      <w:numFmt w:val="lowerLetter"/>
      <w:lvlText w:val="%5."/>
      <w:lvlJc w:val="left"/>
      <w:pPr>
        <w:tabs>
          <w:tab w:val="num" w:pos="3600"/>
        </w:tabs>
        <w:ind w:left="3600" w:hanging="360"/>
      </w:pPr>
    </w:lvl>
    <w:lvl w:ilvl="5" w:tplc="4DB2169A" w:tentative="1">
      <w:start w:val="1"/>
      <w:numFmt w:val="lowerRoman"/>
      <w:lvlText w:val="%6."/>
      <w:lvlJc w:val="right"/>
      <w:pPr>
        <w:tabs>
          <w:tab w:val="num" w:pos="4320"/>
        </w:tabs>
        <w:ind w:left="4320" w:hanging="180"/>
      </w:pPr>
    </w:lvl>
    <w:lvl w:ilvl="6" w:tplc="65501C74" w:tentative="1">
      <w:start w:val="1"/>
      <w:numFmt w:val="decimal"/>
      <w:lvlText w:val="%7."/>
      <w:lvlJc w:val="left"/>
      <w:pPr>
        <w:tabs>
          <w:tab w:val="num" w:pos="5040"/>
        </w:tabs>
        <w:ind w:left="5040" w:hanging="360"/>
      </w:pPr>
    </w:lvl>
    <w:lvl w:ilvl="7" w:tplc="F5929B14" w:tentative="1">
      <w:start w:val="1"/>
      <w:numFmt w:val="lowerLetter"/>
      <w:lvlText w:val="%8."/>
      <w:lvlJc w:val="left"/>
      <w:pPr>
        <w:tabs>
          <w:tab w:val="num" w:pos="5760"/>
        </w:tabs>
        <w:ind w:left="5760" w:hanging="360"/>
      </w:pPr>
    </w:lvl>
    <w:lvl w:ilvl="8" w:tplc="EC88BA2E" w:tentative="1">
      <w:start w:val="1"/>
      <w:numFmt w:val="lowerRoman"/>
      <w:lvlText w:val="%9."/>
      <w:lvlJc w:val="right"/>
      <w:pPr>
        <w:tabs>
          <w:tab w:val="num" w:pos="6480"/>
        </w:tabs>
        <w:ind w:left="6480" w:hanging="180"/>
      </w:pPr>
    </w:lvl>
  </w:abstractNum>
  <w:abstractNum w:abstractNumId="134" w15:restartNumberingAfterBreak="0">
    <w:nsid w:val="2C207076"/>
    <w:multiLevelType w:val="multilevel"/>
    <w:tmpl w:val="77DA7A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5" w15:restartNumberingAfterBreak="0">
    <w:nsid w:val="2C5F6501"/>
    <w:multiLevelType w:val="multilevel"/>
    <w:tmpl w:val="69F8DF3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6" w15:restartNumberingAfterBreak="0">
    <w:nsid w:val="2D44427D"/>
    <w:multiLevelType w:val="multilevel"/>
    <w:tmpl w:val="E4C034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2D4D31CD"/>
    <w:multiLevelType w:val="hybridMultilevel"/>
    <w:tmpl w:val="6194059A"/>
    <w:lvl w:ilvl="0" w:tplc="BACCA0D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BACCA0D2">
      <w:start w:val="1"/>
      <w:numFmt w:val="bullet"/>
      <w:lvlText w:val=""/>
      <w:lvlJc w:val="left"/>
      <w:pPr>
        <w:ind w:left="3600" w:hanging="360"/>
      </w:pPr>
      <w:rPr>
        <w:rFonts w:ascii="Symbol" w:hAnsi="Symbol" w:hint="default"/>
        <w:sz w:val="22"/>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D7D53C8"/>
    <w:multiLevelType w:val="hybridMultilevel"/>
    <w:tmpl w:val="D760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EEE13D6"/>
    <w:multiLevelType w:val="hybridMultilevel"/>
    <w:tmpl w:val="67FEF5BC"/>
    <w:lvl w:ilvl="0" w:tplc="8648EBCE">
      <w:numFmt w:val="bullet"/>
      <w:lvlText w:val=""/>
      <w:lvlJc w:val="left"/>
      <w:pPr>
        <w:ind w:left="500" w:hanging="360"/>
      </w:pPr>
      <w:rPr>
        <w:rFonts w:ascii="Symbol" w:eastAsia="Symbol" w:hAnsi="Symbol" w:cs="Symbol" w:hint="default"/>
        <w:w w:val="100"/>
        <w:sz w:val="24"/>
        <w:szCs w:val="24"/>
      </w:rPr>
    </w:lvl>
    <w:lvl w:ilvl="1" w:tplc="BACCA0D2">
      <w:start w:val="1"/>
      <w:numFmt w:val="bullet"/>
      <w:lvlText w:val=""/>
      <w:lvlJc w:val="left"/>
      <w:pPr>
        <w:ind w:left="1220" w:hanging="360"/>
      </w:pPr>
      <w:rPr>
        <w:rFonts w:ascii="Symbol" w:hAnsi="Symbol" w:hint="default"/>
        <w:w w:val="100"/>
        <w:sz w:val="22"/>
        <w:szCs w:val="24"/>
      </w:rPr>
    </w:lvl>
    <w:lvl w:ilvl="2" w:tplc="A48AF2DA">
      <w:numFmt w:val="bullet"/>
      <w:lvlText w:val="•"/>
      <w:lvlJc w:val="left"/>
      <w:pPr>
        <w:ind w:left="1040" w:hanging="360"/>
      </w:pPr>
      <w:rPr>
        <w:rFonts w:hint="default"/>
      </w:rPr>
    </w:lvl>
    <w:lvl w:ilvl="3" w:tplc="1CCC0054">
      <w:numFmt w:val="bullet"/>
      <w:lvlText w:val="•"/>
      <w:lvlJc w:val="left"/>
      <w:pPr>
        <w:ind w:left="1220" w:hanging="360"/>
      </w:pPr>
      <w:rPr>
        <w:rFonts w:hint="default"/>
      </w:rPr>
    </w:lvl>
    <w:lvl w:ilvl="4" w:tplc="06B83352">
      <w:numFmt w:val="bullet"/>
      <w:lvlText w:val="•"/>
      <w:lvlJc w:val="left"/>
      <w:pPr>
        <w:ind w:left="2422" w:hanging="360"/>
      </w:pPr>
      <w:rPr>
        <w:rFonts w:hint="default"/>
      </w:rPr>
    </w:lvl>
    <w:lvl w:ilvl="5" w:tplc="5F4E8B0E">
      <w:numFmt w:val="bullet"/>
      <w:lvlText w:val="•"/>
      <w:lvlJc w:val="left"/>
      <w:pPr>
        <w:ind w:left="3625" w:hanging="360"/>
      </w:pPr>
      <w:rPr>
        <w:rFonts w:hint="default"/>
      </w:rPr>
    </w:lvl>
    <w:lvl w:ilvl="6" w:tplc="22D8102E">
      <w:numFmt w:val="bullet"/>
      <w:lvlText w:val="•"/>
      <w:lvlJc w:val="left"/>
      <w:pPr>
        <w:ind w:left="4828" w:hanging="360"/>
      </w:pPr>
      <w:rPr>
        <w:rFonts w:hint="default"/>
      </w:rPr>
    </w:lvl>
    <w:lvl w:ilvl="7" w:tplc="13CAA27A">
      <w:numFmt w:val="bullet"/>
      <w:lvlText w:val="•"/>
      <w:lvlJc w:val="left"/>
      <w:pPr>
        <w:ind w:left="6031" w:hanging="360"/>
      </w:pPr>
      <w:rPr>
        <w:rFonts w:hint="default"/>
      </w:rPr>
    </w:lvl>
    <w:lvl w:ilvl="8" w:tplc="97EEEFD8">
      <w:numFmt w:val="bullet"/>
      <w:lvlText w:val="•"/>
      <w:lvlJc w:val="left"/>
      <w:pPr>
        <w:ind w:left="7234" w:hanging="360"/>
      </w:pPr>
      <w:rPr>
        <w:rFonts w:hint="default"/>
      </w:rPr>
    </w:lvl>
  </w:abstractNum>
  <w:abstractNum w:abstractNumId="140" w15:restartNumberingAfterBreak="0">
    <w:nsid w:val="2F0E64B5"/>
    <w:multiLevelType w:val="multilevel"/>
    <w:tmpl w:val="67B62D22"/>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300A1C16"/>
    <w:multiLevelType w:val="hybridMultilevel"/>
    <w:tmpl w:val="532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02C4AA6"/>
    <w:multiLevelType w:val="multilevel"/>
    <w:tmpl w:val="23BA00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3" w15:restartNumberingAfterBreak="0">
    <w:nsid w:val="308D3AE8"/>
    <w:multiLevelType w:val="multilevel"/>
    <w:tmpl w:val="0C940A0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0AE331D"/>
    <w:multiLevelType w:val="hybridMultilevel"/>
    <w:tmpl w:val="39363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0FB4445"/>
    <w:multiLevelType w:val="multilevel"/>
    <w:tmpl w:val="A372F0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1176B43"/>
    <w:multiLevelType w:val="hybridMultilevel"/>
    <w:tmpl w:val="8182C61C"/>
    <w:lvl w:ilvl="0" w:tplc="BACCA0D2">
      <w:start w:val="1"/>
      <w:numFmt w:val="bullet"/>
      <w:lvlText w:val=""/>
      <w:lvlJc w:val="left"/>
      <w:pPr>
        <w:ind w:left="720" w:hanging="360"/>
      </w:pPr>
      <w:rPr>
        <w:rFonts w:ascii="Symbol" w:hAnsi="Symbol" w:hint="default"/>
        <w:sz w:val="22"/>
      </w:rPr>
    </w:lvl>
    <w:lvl w:ilvl="1" w:tplc="BACCA0D2">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1B51D8E"/>
    <w:multiLevelType w:val="multilevel"/>
    <w:tmpl w:val="070833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8" w15:restartNumberingAfterBreak="0">
    <w:nsid w:val="32052018"/>
    <w:multiLevelType w:val="hybridMultilevel"/>
    <w:tmpl w:val="CC9646BA"/>
    <w:lvl w:ilvl="0" w:tplc="C29ECDA8">
      <w:start w:val="1"/>
      <w:numFmt w:val="bullet"/>
      <w:lvlText w:val="•"/>
      <w:lvlJc w:val="left"/>
      <w:pPr>
        <w:tabs>
          <w:tab w:val="num" w:pos="720"/>
        </w:tabs>
        <w:ind w:left="720" w:hanging="360"/>
      </w:pPr>
      <w:rPr>
        <w:rFonts w:ascii="Arial" w:hAnsi="Arial" w:hint="default"/>
      </w:rPr>
    </w:lvl>
    <w:lvl w:ilvl="1" w:tplc="32183574" w:tentative="1">
      <w:start w:val="1"/>
      <w:numFmt w:val="bullet"/>
      <w:lvlText w:val="•"/>
      <w:lvlJc w:val="left"/>
      <w:pPr>
        <w:tabs>
          <w:tab w:val="num" w:pos="1440"/>
        </w:tabs>
        <w:ind w:left="1440" w:hanging="360"/>
      </w:pPr>
      <w:rPr>
        <w:rFonts w:ascii="Arial" w:hAnsi="Arial" w:hint="default"/>
      </w:rPr>
    </w:lvl>
    <w:lvl w:ilvl="2" w:tplc="EC38A21A" w:tentative="1">
      <w:start w:val="1"/>
      <w:numFmt w:val="bullet"/>
      <w:lvlText w:val="•"/>
      <w:lvlJc w:val="left"/>
      <w:pPr>
        <w:tabs>
          <w:tab w:val="num" w:pos="2160"/>
        </w:tabs>
        <w:ind w:left="2160" w:hanging="360"/>
      </w:pPr>
      <w:rPr>
        <w:rFonts w:ascii="Arial" w:hAnsi="Arial" w:hint="default"/>
      </w:rPr>
    </w:lvl>
    <w:lvl w:ilvl="3" w:tplc="5C98A358" w:tentative="1">
      <w:start w:val="1"/>
      <w:numFmt w:val="bullet"/>
      <w:lvlText w:val="•"/>
      <w:lvlJc w:val="left"/>
      <w:pPr>
        <w:tabs>
          <w:tab w:val="num" w:pos="2880"/>
        </w:tabs>
        <w:ind w:left="2880" w:hanging="360"/>
      </w:pPr>
      <w:rPr>
        <w:rFonts w:ascii="Arial" w:hAnsi="Arial" w:hint="default"/>
      </w:rPr>
    </w:lvl>
    <w:lvl w:ilvl="4" w:tplc="E45C2D0A" w:tentative="1">
      <w:start w:val="1"/>
      <w:numFmt w:val="bullet"/>
      <w:lvlText w:val="•"/>
      <w:lvlJc w:val="left"/>
      <w:pPr>
        <w:tabs>
          <w:tab w:val="num" w:pos="3600"/>
        </w:tabs>
        <w:ind w:left="3600" w:hanging="360"/>
      </w:pPr>
      <w:rPr>
        <w:rFonts w:ascii="Arial" w:hAnsi="Arial" w:hint="default"/>
      </w:rPr>
    </w:lvl>
    <w:lvl w:ilvl="5" w:tplc="66542C2A" w:tentative="1">
      <w:start w:val="1"/>
      <w:numFmt w:val="bullet"/>
      <w:lvlText w:val="•"/>
      <w:lvlJc w:val="left"/>
      <w:pPr>
        <w:tabs>
          <w:tab w:val="num" w:pos="4320"/>
        </w:tabs>
        <w:ind w:left="4320" w:hanging="360"/>
      </w:pPr>
      <w:rPr>
        <w:rFonts w:ascii="Arial" w:hAnsi="Arial" w:hint="default"/>
      </w:rPr>
    </w:lvl>
    <w:lvl w:ilvl="6" w:tplc="C3D8EEFC" w:tentative="1">
      <w:start w:val="1"/>
      <w:numFmt w:val="bullet"/>
      <w:lvlText w:val="•"/>
      <w:lvlJc w:val="left"/>
      <w:pPr>
        <w:tabs>
          <w:tab w:val="num" w:pos="5040"/>
        </w:tabs>
        <w:ind w:left="5040" w:hanging="360"/>
      </w:pPr>
      <w:rPr>
        <w:rFonts w:ascii="Arial" w:hAnsi="Arial" w:hint="default"/>
      </w:rPr>
    </w:lvl>
    <w:lvl w:ilvl="7" w:tplc="E0F0FE36" w:tentative="1">
      <w:start w:val="1"/>
      <w:numFmt w:val="bullet"/>
      <w:lvlText w:val="•"/>
      <w:lvlJc w:val="left"/>
      <w:pPr>
        <w:tabs>
          <w:tab w:val="num" w:pos="5760"/>
        </w:tabs>
        <w:ind w:left="5760" w:hanging="360"/>
      </w:pPr>
      <w:rPr>
        <w:rFonts w:ascii="Arial" w:hAnsi="Arial" w:hint="default"/>
      </w:rPr>
    </w:lvl>
    <w:lvl w:ilvl="8" w:tplc="269CA006"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320C21B3"/>
    <w:multiLevelType w:val="multilevel"/>
    <w:tmpl w:val="17B00CE8"/>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32440D91"/>
    <w:multiLevelType w:val="multilevel"/>
    <w:tmpl w:val="5EC63FB8"/>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vertAlign w:val="baseline"/>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2E07CD7"/>
    <w:multiLevelType w:val="hybridMultilevel"/>
    <w:tmpl w:val="1B36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3063150"/>
    <w:multiLevelType w:val="multilevel"/>
    <w:tmpl w:val="2A2AD316"/>
    <w:lvl w:ilvl="0">
      <w:start w:val="1"/>
      <w:numFmt w:val="decimal"/>
      <w:lvlText w:val="%1."/>
      <w:lvlJc w:val="left"/>
      <w:pPr>
        <w:ind w:left="720" w:hanging="360"/>
      </w:pPr>
      <w:rPr>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334222B6"/>
    <w:multiLevelType w:val="hybridMultilevel"/>
    <w:tmpl w:val="51048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3A16A6F"/>
    <w:multiLevelType w:val="multilevel"/>
    <w:tmpl w:val="CF2A24A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4D060AE"/>
    <w:multiLevelType w:val="multilevel"/>
    <w:tmpl w:val="67D83C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4F733E0"/>
    <w:multiLevelType w:val="multilevel"/>
    <w:tmpl w:val="A1A0F88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2"/>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7" w15:restartNumberingAfterBreak="0">
    <w:nsid w:val="35123B48"/>
    <w:multiLevelType w:val="multilevel"/>
    <w:tmpl w:val="E5160A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8" w15:restartNumberingAfterBreak="0">
    <w:nsid w:val="35327BA6"/>
    <w:multiLevelType w:val="multilevel"/>
    <w:tmpl w:val="D8B6489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5786E33"/>
    <w:multiLevelType w:val="hybridMultilevel"/>
    <w:tmpl w:val="CCD0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5A6629D"/>
    <w:multiLevelType w:val="hybridMultilevel"/>
    <w:tmpl w:val="E4FC386E"/>
    <w:lvl w:ilvl="0" w:tplc="20EC5F88">
      <w:start w:val="1"/>
      <w:numFmt w:val="bullet"/>
      <w:lvlText w:val="•"/>
      <w:lvlJc w:val="left"/>
      <w:pPr>
        <w:tabs>
          <w:tab w:val="num" w:pos="720"/>
        </w:tabs>
        <w:ind w:left="720" w:hanging="360"/>
      </w:pPr>
      <w:rPr>
        <w:rFonts w:ascii="Arial" w:hAnsi="Arial" w:hint="default"/>
      </w:rPr>
    </w:lvl>
    <w:lvl w:ilvl="1" w:tplc="5D109E5C" w:tentative="1">
      <w:start w:val="1"/>
      <w:numFmt w:val="bullet"/>
      <w:lvlText w:val="•"/>
      <w:lvlJc w:val="left"/>
      <w:pPr>
        <w:tabs>
          <w:tab w:val="num" w:pos="1440"/>
        </w:tabs>
        <w:ind w:left="1440" w:hanging="360"/>
      </w:pPr>
      <w:rPr>
        <w:rFonts w:ascii="Arial" w:hAnsi="Arial" w:hint="default"/>
      </w:rPr>
    </w:lvl>
    <w:lvl w:ilvl="2" w:tplc="A42808B6" w:tentative="1">
      <w:start w:val="1"/>
      <w:numFmt w:val="bullet"/>
      <w:lvlText w:val="•"/>
      <w:lvlJc w:val="left"/>
      <w:pPr>
        <w:tabs>
          <w:tab w:val="num" w:pos="2160"/>
        </w:tabs>
        <w:ind w:left="2160" w:hanging="360"/>
      </w:pPr>
      <w:rPr>
        <w:rFonts w:ascii="Arial" w:hAnsi="Arial" w:hint="default"/>
      </w:rPr>
    </w:lvl>
    <w:lvl w:ilvl="3" w:tplc="A6B86D80" w:tentative="1">
      <w:start w:val="1"/>
      <w:numFmt w:val="bullet"/>
      <w:lvlText w:val="•"/>
      <w:lvlJc w:val="left"/>
      <w:pPr>
        <w:tabs>
          <w:tab w:val="num" w:pos="2880"/>
        </w:tabs>
        <w:ind w:left="2880" w:hanging="360"/>
      </w:pPr>
      <w:rPr>
        <w:rFonts w:ascii="Arial" w:hAnsi="Arial" w:hint="default"/>
      </w:rPr>
    </w:lvl>
    <w:lvl w:ilvl="4" w:tplc="36A6D346" w:tentative="1">
      <w:start w:val="1"/>
      <w:numFmt w:val="bullet"/>
      <w:lvlText w:val="•"/>
      <w:lvlJc w:val="left"/>
      <w:pPr>
        <w:tabs>
          <w:tab w:val="num" w:pos="3600"/>
        </w:tabs>
        <w:ind w:left="3600" w:hanging="360"/>
      </w:pPr>
      <w:rPr>
        <w:rFonts w:ascii="Arial" w:hAnsi="Arial" w:hint="default"/>
      </w:rPr>
    </w:lvl>
    <w:lvl w:ilvl="5" w:tplc="B6A2FB7C" w:tentative="1">
      <w:start w:val="1"/>
      <w:numFmt w:val="bullet"/>
      <w:lvlText w:val="•"/>
      <w:lvlJc w:val="left"/>
      <w:pPr>
        <w:tabs>
          <w:tab w:val="num" w:pos="4320"/>
        </w:tabs>
        <w:ind w:left="4320" w:hanging="360"/>
      </w:pPr>
      <w:rPr>
        <w:rFonts w:ascii="Arial" w:hAnsi="Arial" w:hint="default"/>
      </w:rPr>
    </w:lvl>
    <w:lvl w:ilvl="6" w:tplc="8E664F0E" w:tentative="1">
      <w:start w:val="1"/>
      <w:numFmt w:val="bullet"/>
      <w:lvlText w:val="•"/>
      <w:lvlJc w:val="left"/>
      <w:pPr>
        <w:tabs>
          <w:tab w:val="num" w:pos="5040"/>
        </w:tabs>
        <w:ind w:left="5040" w:hanging="360"/>
      </w:pPr>
      <w:rPr>
        <w:rFonts w:ascii="Arial" w:hAnsi="Arial" w:hint="default"/>
      </w:rPr>
    </w:lvl>
    <w:lvl w:ilvl="7" w:tplc="415E035C" w:tentative="1">
      <w:start w:val="1"/>
      <w:numFmt w:val="bullet"/>
      <w:lvlText w:val="•"/>
      <w:lvlJc w:val="left"/>
      <w:pPr>
        <w:tabs>
          <w:tab w:val="num" w:pos="5760"/>
        </w:tabs>
        <w:ind w:left="5760" w:hanging="360"/>
      </w:pPr>
      <w:rPr>
        <w:rFonts w:ascii="Arial" w:hAnsi="Arial" w:hint="default"/>
      </w:rPr>
    </w:lvl>
    <w:lvl w:ilvl="8" w:tplc="188C1276" w:tentative="1">
      <w:start w:val="1"/>
      <w:numFmt w:val="bullet"/>
      <w:lvlText w:val="•"/>
      <w:lvlJc w:val="left"/>
      <w:pPr>
        <w:tabs>
          <w:tab w:val="num" w:pos="6480"/>
        </w:tabs>
        <w:ind w:left="6480" w:hanging="360"/>
      </w:pPr>
      <w:rPr>
        <w:rFonts w:ascii="Arial" w:hAnsi="Arial" w:hint="default"/>
      </w:rPr>
    </w:lvl>
  </w:abstractNum>
  <w:abstractNum w:abstractNumId="161" w15:restartNumberingAfterBreak="0">
    <w:nsid w:val="35AF386E"/>
    <w:multiLevelType w:val="multilevel"/>
    <w:tmpl w:val="1B525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EC5B9D"/>
    <w:multiLevelType w:val="multilevel"/>
    <w:tmpl w:val="B5C86B7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36010A5D"/>
    <w:multiLevelType w:val="multilevel"/>
    <w:tmpl w:val="77321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360B7447"/>
    <w:multiLevelType w:val="hybridMultilevel"/>
    <w:tmpl w:val="1704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610427E"/>
    <w:multiLevelType w:val="multilevel"/>
    <w:tmpl w:val="35928D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6" w15:restartNumberingAfterBreak="0">
    <w:nsid w:val="364D7756"/>
    <w:multiLevelType w:val="hybridMultilevel"/>
    <w:tmpl w:val="E080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6742BCA"/>
    <w:multiLevelType w:val="hybridMultilevel"/>
    <w:tmpl w:val="57B89C52"/>
    <w:lvl w:ilvl="0" w:tplc="BACCA0D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6E77DF6"/>
    <w:multiLevelType w:val="multilevel"/>
    <w:tmpl w:val="029EAB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 w15:restartNumberingAfterBreak="0">
    <w:nsid w:val="370573C8"/>
    <w:multiLevelType w:val="hybridMultilevel"/>
    <w:tmpl w:val="DEE0ED68"/>
    <w:lvl w:ilvl="0" w:tplc="8B0E38F8">
      <w:start w:val="1"/>
      <w:numFmt w:val="bullet"/>
      <w:lvlText w:val=""/>
      <w:lvlJc w:val="left"/>
      <w:pPr>
        <w:ind w:left="720" w:hanging="360"/>
      </w:pPr>
      <w:rPr>
        <w:rFonts w:ascii="Symbol" w:hAnsi="Symbol" w:hint="default"/>
        <w:b w:val="0"/>
        <w:i w:val="0"/>
        <w:strike w:val="0"/>
        <w:dstrike w:val="0"/>
        <w:color w:val="000000"/>
        <w:sz w:val="20"/>
        <w:szCs w:val="20"/>
        <w:u w:val="none" w:color="00000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75B563C"/>
    <w:multiLevelType w:val="multilevel"/>
    <w:tmpl w:val="F82AF2D8"/>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1" w15:restartNumberingAfterBreak="0">
    <w:nsid w:val="375E5528"/>
    <w:multiLevelType w:val="multilevel"/>
    <w:tmpl w:val="F7309652"/>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7947AA8"/>
    <w:multiLevelType w:val="multilevel"/>
    <w:tmpl w:val="A92A44EA"/>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7B96169"/>
    <w:multiLevelType w:val="multilevel"/>
    <w:tmpl w:val="829654BC"/>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4" w15:restartNumberingAfterBreak="0">
    <w:nsid w:val="37FA2E00"/>
    <w:multiLevelType w:val="multilevel"/>
    <w:tmpl w:val="E63AEEAA"/>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89B45C9"/>
    <w:multiLevelType w:val="multilevel"/>
    <w:tmpl w:val="0374B93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6" w15:restartNumberingAfterBreak="0">
    <w:nsid w:val="391B0819"/>
    <w:multiLevelType w:val="multilevel"/>
    <w:tmpl w:val="BC9E8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97621FC"/>
    <w:multiLevelType w:val="hybridMultilevel"/>
    <w:tmpl w:val="D1F08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97C05ED"/>
    <w:multiLevelType w:val="hybridMultilevel"/>
    <w:tmpl w:val="DC786B96"/>
    <w:lvl w:ilvl="0" w:tplc="04090001">
      <w:start w:val="1"/>
      <w:numFmt w:val="decimal"/>
      <w:lvlText w:val="%1."/>
      <w:lvlJc w:val="left"/>
      <w:pPr>
        <w:tabs>
          <w:tab w:val="num" w:pos="360"/>
        </w:tabs>
        <w:ind w:left="360" w:hanging="360"/>
      </w:pPr>
    </w:lvl>
    <w:lvl w:ilvl="1" w:tplc="04090003">
      <w:start w:val="1"/>
      <w:numFmt w:val="decimal"/>
      <w:pStyle w:val="SOPnumb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9" w15:restartNumberingAfterBreak="0">
    <w:nsid w:val="39B51CA1"/>
    <w:multiLevelType w:val="multilevel"/>
    <w:tmpl w:val="1EE0FBD6"/>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0" w15:restartNumberingAfterBreak="0">
    <w:nsid w:val="39C629BB"/>
    <w:multiLevelType w:val="multilevel"/>
    <w:tmpl w:val="3B1C0C9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b w:val="0"/>
        <w:i w:val="0"/>
        <w:strike w:val="0"/>
        <w:dstrike w:val="0"/>
        <w:color w:val="000000"/>
        <w:sz w:val="20"/>
        <w:szCs w:val="20"/>
        <w:u w:val="none" w:color="000000"/>
        <w:vertAlign w:val="baseline"/>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3A790233"/>
    <w:multiLevelType w:val="multilevel"/>
    <w:tmpl w:val="13C85F6C"/>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2" w15:restartNumberingAfterBreak="0">
    <w:nsid w:val="3A8A00F0"/>
    <w:multiLevelType w:val="hybridMultilevel"/>
    <w:tmpl w:val="6B82D5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B3C3E76"/>
    <w:multiLevelType w:val="multilevel"/>
    <w:tmpl w:val="D93A46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4" w15:restartNumberingAfterBreak="0">
    <w:nsid w:val="3BB723B2"/>
    <w:multiLevelType w:val="multilevel"/>
    <w:tmpl w:val="1F3C95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5" w15:restartNumberingAfterBreak="0">
    <w:nsid w:val="3BE320B8"/>
    <w:multiLevelType w:val="multilevel"/>
    <w:tmpl w:val="D59C3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C041F66"/>
    <w:multiLevelType w:val="multilevel"/>
    <w:tmpl w:val="0CCE8A94"/>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7" w15:restartNumberingAfterBreak="0">
    <w:nsid w:val="3C0A7CD5"/>
    <w:multiLevelType w:val="hybridMultilevel"/>
    <w:tmpl w:val="953230BC"/>
    <w:lvl w:ilvl="0" w:tplc="DAE41296">
      <w:start w:val="1"/>
      <w:numFmt w:val="bullet"/>
      <w:lvlText w:val=""/>
      <w:lvlJc w:val="left"/>
      <w:pPr>
        <w:ind w:left="1440" w:hanging="360"/>
      </w:pPr>
      <w:rPr>
        <w:rFonts w:ascii="Symbol" w:hAnsi="Symbol" w:hint="default"/>
        <w:color w:val="auto"/>
        <w:sz w:val="24"/>
        <w:u w:color="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3C677AE8"/>
    <w:multiLevelType w:val="multilevel"/>
    <w:tmpl w:val="CF6E2E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9" w15:restartNumberingAfterBreak="0">
    <w:nsid w:val="3CA82997"/>
    <w:multiLevelType w:val="multilevel"/>
    <w:tmpl w:val="A260AB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CDB703A"/>
    <w:multiLevelType w:val="multilevel"/>
    <w:tmpl w:val="45CC3AC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1" w15:restartNumberingAfterBreak="0">
    <w:nsid w:val="3D7A2AA2"/>
    <w:multiLevelType w:val="multilevel"/>
    <w:tmpl w:val="96361D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2" w15:restartNumberingAfterBreak="0">
    <w:nsid w:val="3D9B22A4"/>
    <w:multiLevelType w:val="multilevel"/>
    <w:tmpl w:val="683E812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DE0097B"/>
    <w:multiLevelType w:val="hybridMultilevel"/>
    <w:tmpl w:val="E14A67DA"/>
    <w:lvl w:ilvl="0" w:tplc="BACCA0D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3E1F71F1"/>
    <w:multiLevelType w:val="multilevel"/>
    <w:tmpl w:val="FF309960"/>
    <w:lvl w:ilvl="0">
      <w:start w:val="6"/>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5" w15:restartNumberingAfterBreak="0">
    <w:nsid w:val="3F4E4432"/>
    <w:multiLevelType w:val="multilevel"/>
    <w:tmpl w:val="D18C9BD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6" w15:restartNumberingAfterBreak="0">
    <w:nsid w:val="3F542A15"/>
    <w:multiLevelType w:val="multilevel"/>
    <w:tmpl w:val="313C2E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0775226"/>
    <w:multiLevelType w:val="hybridMultilevel"/>
    <w:tmpl w:val="71B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1505AA0"/>
    <w:multiLevelType w:val="hybridMultilevel"/>
    <w:tmpl w:val="5BE27480"/>
    <w:lvl w:ilvl="0" w:tplc="45CC20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1AB0403"/>
    <w:multiLevelType w:val="multilevel"/>
    <w:tmpl w:val="28244686"/>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0" w15:restartNumberingAfterBreak="0">
    <w:nsid w:val="41CD09F3"/>
    <w:multiLevelType w:val="multilevel"/>
    <w:tmpl w:val="D50246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2951764"/>
    <w:multiLevelType w:val="multilevel"/>
    <w:tmpl w:val="0AB8901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2" w15:restartNumberingAfterBreak="0">
    <w:nsid w:val="429D5076"/>
    <w:multiLevelType w:val="hybridMultilevel"/>
    <w:tmpl w:val="ED0CA5FA"/>
    <w:lvl w:ilvl="0" w:tplc="D9FEA0D2">
      <w:start w:val="1"/>
      <w:numFmt w:val="bullet"/>
      <w:lvlText w:val="•"/>
      <w:lvlJc w:val="left"/>
      <w:pPr>
        <w:tabs>
          <w:tab w:val="num" w:pos="720"/>
        </w:tabs>
        <w:ind w:left="720" w:hanging="360"/>
      </w:pPr>
      <w:rPr>
        <w:rFonts w:ascii="Arial" w:hAnsi="Arial" w:hint="default"/>
      </w:rPr>
    </w:lvl>
    <w:lvl w:ilvl="1" w:tplc="15F6D356" w:tentative="1">
      <w:start w:val="1"/>
      <w:numFmt w:val="bullet"/>
      <w:lvlText w:val="•"/>
      <w:lvlJc w:val="left"/>
      <w:pPr>
        <w:tabs>
          <w:tab w:val="num" w:pos="1440"/>
        </w:tabs>
        <w:ind w:left="1440" w:hanging="360"/>
      </w:pPr>
      <w:rPr>
        <w:rFonts w:ascii="Arial" w:hAnsi="Arial" w:hint="default"/>
      </w:rPr>
    </w:lvl>
    <w:lvl w:ilvl="2" w:tplc="12D61C9C" w:tentative="1">
      <w:start w:val="1"/>
      <w:numFmt w:val="bullet"/>
      <w:lvlText w:val="•"/>
      <w:lvlJc w:val="left"/>
      <w:pPr>
        <w:tabs>
          <w:tab w:val="num" w:pos="2160"/>
        </w:tabs>
        <w:ind w:left="2160" w:hanging="360"/>
      </w:pPr>
      <w:rPr>
        <w:rFonts w:ascii="Arial" w:hAnsi="Arial" w:hint="default"/>
      </w:rPr>
    </w:lvl>
    <w:lvl w:ilvl="3" w:tplc="078AA24E" w:tentative="1">
      <w:start w:val="1"/>
      <w:numFmt w:val="bullet"/>
      <w:lvlText w:val="•"/>
      <w:lvlJc w:val="left"/>
      <w:pPr>
        <w:tabs>
          <w:tab w:val="num" w:pos="2880"/>
        </w:tabs>
        <w:ind w:left="2880" w:hanging="360"/>
      </w:pPr>
      <w:rPr>
        <w:rFonts w:ascii="Arial" w:hAnsi="Arial" w:hint="default"/>
      </w:rPr>
    </w:lvl>
    <w:lvl w:ilvl="4" w:tplc="FA369AFA" w:tentative="1">
      <w:start w:val="1"/>
      <w:numFmt w:val="bullet"/>
      <w:lvlText w:val="•"/>
      <w:lvlJc w:val="left"/>
      <w:pPr>
        <w:tabs>
          <w:tab w:val="num" w:pos="3600"/>
        </w:tabs>
        <w:ind w:left="3600" w:hanging="360"/>
      </w:pPr>
      <w:rPr>
        <w:rFonts w:ascii="Arial" w:hAnsi="Arial" w:hint="default"/>
      </w:rPr>
    </w:lvl>
    <w:lvl w:ilvl="5" w:tplc="06DA18A4" w:tentative="1">
      <w:start w:val="1"/>
      <w:numFmt w:val="bullet"/>
      <w:lvlText w:val="•"/>
      <w:lvlJc w:val="left"/>
      <w:pPr>
        <w:tabs>
          <w:tab w:val="num" w:pos="4320"/>
        </w:tabs>
        <w:ind w:left="4320" w:hanging="360"/>
      </w:pPr>
      <w:rPr>
        <w:rFonts w:ascii="Arial" w:hAnsi="Arial" w:hint="default"/>
      </w:rPr>
    </w:lvl>
    <w:lvl w:ilvl="6" w:tplc="A70868F2" w:tentative="1">
      <w:start w:val="1"/>
      <w:numFmt w:val="bullet"/>
      <w:lvlText w:val="•"/>
      <w:lvlJc w:val="left"/>
      <w:pPr>
        <w:tabs>
          <w:tab w:val="num" w:pos="5040"/>
        </w:tabs>
        <w:ind w:left="5040" w:hanging="360"/>
      </w:pPr>
      <w:rPr>
        <w:rFonts w:ascii="Arial" w:hAnsi="Arial" w:hint="default"/>
      </w:rPr>
    </w:lvl>
    <w:lvl w:ilvl="7" w:tplc="65F4D098" w:tentative="1">
      <w:start w:val="1"/>
      <w:numFmt w:val="bullet"/>
      <w:lvlText w:val="•"/>
      <w:lvlJc w:val="left"/>
      <w:pPr>
        <w:tabs>
          <w:tab w:val="num" w:pos="5760"/>
        </w:tabs>
        <w:ind w:left="5760" w:hanging="360"/>
      </w:pPr>
      <w:rPr>
        <w:rFonts w:ascii="Arial" w:hAnsi="Arial" w:hint="default"/>
      </w:rPr>
    </w:lvl>
    <w:lvl w:ilvl="8" w:tplc="0320330A" w:tentative="1">
      <w:start w:val="1"/>
      <w:numFmt w:val="bullet"/>
      <w:lvlText w:val="•"/>
      <w:lvlJc w:val="left"/>
      <w:pPr>
        <w:tabs>
          <w:tab w:val="num" w:pos="6480"/>
        </w:tabs>
        <w:ind w:left="6480" w:hanging="360"/>
      </w:pPr>
      <w:rPr>
        <w:rFonts w:ascii="Arial" w:hAnsi="Arial" w:hint="default"/>
      </w:rPr>
    </w:lvl>
  </w:abstractNum>
  <w:abstractNum w:abstractNumId="203" w15:restartNumberingAfterBreak="0">
    <w:nsid w:val="42F44422"/>
    <w:multiLevelType w:val="multilevel"/>
    <w:tmpl w:val="0D4EAAF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4" w15:restartNumberingAfterBreak="0">
    <w:nsid w:val="43316D47"/>
    <w:multiLevelType w:val="hybridMultilevel"/>
    <w:tmpl w:val="3CB2C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46D4D44"/>
    <w:multiLevelType w:val="multilevel"/>
    <w:tmpl w:val="D87CA7CA"/>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6" w15:restartNumberingAfterBreak="0">
    <w:nsid w:val="44FF2708"/>
    <w:multiLevelType w:val="hybridMultilevel"/>
    <w:tmpl w:val="329E5DDE"/>
    <w:lvl w:ilvl="0" w:tplc="8648EBCE">
      <w:numFmt w:val="bullet"/>
      <w:lvlText w:val=""/>
      <w:lvlJc w:val="left"/>
      <w:pPr>
        <w:ind w:left="500" w:hanging="360"/>
      </w:pPr>
      <w:rPr>
        <w:rFonts w:ascii="Symbol" w:eastAsia="Symbol" w:hAnsi="Symbol" w:cs="Symbol" w:hint="default"/>
        <w:w w:val="100"/>
        <w:sz w:val="24"/>
        <w:szCs w:val="24"/>
      </w:rPr>
    </w:lvl>
    <w:lvl w:ilvl="1" w:tplc="47C49A58">
      <w:numFmt w:val="bullet"/>
      <w:lvlText w:val="o"/>
      <w:lvlJc w:val="left"/>
      <w:pPr>
        <w:ind w:left="1220" w:hanging="360"/>
      </w:pPr>
      <w:rPr>
        <w:rFonts w:ascii="Courier New" w:eastAsia="Courier New" w:hAnsi="Courier New" w:cs="Courier New" w:hint="default"/>
        <w:w w:val="100"/>
        <w:sz w:val="24"/>
        <w:szCs w:val="24"/>
      </w:rPr>
    </w:lvl>
    <w:lvl w:ilvl="2" w:tplc="A48AF2DA">
      <w:numFmt w:val="bullet"/>
      <w:lvlText w:val="•"/>
      <w:lvlJc w:val="left"/>
      <w:pPr>
        <w:ind w:left="1040" w:hanging="360"/>
      </w:pPr>
      <w:rPr>
        <w:rFonts w:hint="default"/>
      </w:rPr>
    </w:lvl>
    <w:lvl w:ilvl="3" w:tplc="1CCC0054">
      <w:numFmt w:val="bullet"/>
      <w:lvlText w:val="•"/>
      <w:lvlJc w:val="left"/>
      <w:pPr>
        <w:ind w:left="1220" w:hanging="360"/>
      </w:pPr>
      <w:rPr>
        <w:rFonts w:hint="default"/>
      </w:rPr>
    </w:lvl>
    <w:lvl w:ilvl="4" w:tplc="06B83352">
      <w:numFmt w:val="bullet"/>
      <w:lvlText w:val="•"/>
      <w:lvlJc w:val="left"/>
      <w:pPr>
        <w:ind w:left="2422" w:hanging="360"/>
      </w:pPr>
      <w:rPr>
        <w:rFonts w:hint="default"/>
      </w:rPr>
    </w:lvl>
    <w:lvl w:ilvl="5" w:tplc="5F4E8B0E">
      <w:numFmt w:val="bullet"/>
      <w:lvlText w:val="•"/>
      <w:lvlJc w:val="left"/>
      <w:pPr>
        <w:ind w:left="3625" w:hanging="360"/>
      </w:pPr>
      <w:rPr>
        <w:rFonts w:hint="default"/>
      </w:rPr>
    </w:lvl>
    <w:lvl w:ilvl="6" w:tplc="22D8102E">
      <w:numFmt w:val="bullet"/>
      <w:lvlText w:val="•"/>
      <w:lvlJc w:val="left"/>
      <w:pPr>
        <w:ind w:left="4828" w:hanging="360"/>
      </w:pPr>
      <w:rPr>
        <w:rFonts w:hint="default"/>
      </w:rPr>
    </w:lvl>
    <w:lvl w:ilvl="7" w:tplc="13CAA27A">
      <w:numFmt w:val="bullet"/>
      <w:lvlText w:val="•"/>
      <w:lvlJc w:val="left"/>
      <w:pPr>
        <w:ind w:left="6031" w:hanging="360"/>
      </w:pPr>
      <w:rPr>
        <w:rFonts w:hint="default"/>
      </w:rPr>
    </w:lvl>
    <w:lvl w:ilvl="8" w:tplc="97EEEFD8">
      <w:numFmt w:val="bullet"/>
      <w:lvlText w:val="•"/>
      <w:lvlJc w:val="left"/>
      <w:pPr>
        <w:ind w:left="7234" w:hanging="360"/>
      </w:pPr>
      <w:rPr>
        <w:rFonts w:hint="default"/>
      </w:rPr>
    </w:lvl>
  </w:abstractNum>
  <w:abstractNum w:abstractNumId="207" w15:restartNumberingAfterBreak="0">
    <w:nsid w:val="45313C85"/>
    <w:multiLevelType w:val="multilevel"/>
    <w:tmpl w:val="914CB6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8" w15:restartNumberingAfterBreak="0">
    <w:nsid w:val="459470C1"/>
    <w:multiLevelType w:val="hybridMultilevel"/>
    <w:tmpl w:val="EDEE4B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460A2D30"/>
    <w:multiLevelType w:val="multilevel"/>
    <w:tmpl w:val="96747EDA"/>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62E0383"/>
    <w:multiLevelType w:val="hybridMultilevel"/>
    <w:tmpl w:val="F2CAE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992335"/>
    <w:multiLevelType w:val="hybridMultilevel"/>
    <w:tmpl w:val="AF3AD96A"/>
    <w:lvl w:ilvl="0" w:tplc="BACCA0D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6D652B0"/>
    <w:multiLevelType w:val="hybridMultilevel"/>
    <w:tmpl w:val="F6E4283E"/>
    <w:lvl w:ilvl="0" w:tplc="04090001">
      <w:start w:val="1"/>
      <w:numFmt w:val="bullet"/>
      <w:pStyle w:val="normal-bullit2"/>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3" w15:restartNumberingAfterBreak="0">
    <w:nsid w:val="46FC7F0D"/>
    <w:multiLevelType w:val="hybridMultilevel"/>
    <w:tmpl w:val="D248C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7A96641"/>
    <w:multiLevelType w:val="multilevel"/>
    <w:tmpl w:val="4088F4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5" w15:restartNumberingAfterBreak="0">
    <w:nsid w:val="47B52959"/>
    <w:multiLevelType w:val="hybridMultilevel"/>
    <w:tmpl w:val="0EB81E76"/>
    <w:lvl w:ilvl="0" w:tplc="6CF464C8">
      <w:start w:val="1"/>
      <w:numFmt w:val="decimal"/>
      <w:lvlText w:val="%1."/>
      <w:lvlJc w:val="left"/>
      <w:pPr>
        <w:tabs>
          <w:tab w:val="num" w:pos="720"/>
        </w:tabs>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7D165A2"/>
    <w:multiLevelType w:val="multilevel"/>
    <w:tmpl w:val="A64AFE4C"/>
    <w:lvl w:ilvl="0">
      <w:start w:val="1"/>
      <w:numFmt w:val="bullet"/>
      <w:pStyle w:val="Bullet1"/>
      <w:lvlText w:val=""/>
      <w:lvlJc w:val="left"/>
      <w:pPr>
        <w:tabs>
          <w:tab w:val="num" w:pos="2880"/>
        </w:tabs>
        <w:ind w:left="2736" w:hanging="216"/>
      </w:pPr>
      <w:rPr>
        <w:rFonts w:ascii="Symbol" w:hAnsi="Symbol" w:hint="default"/>
        <w:strike w:val="0"/>
        <w:color w:val="auto"/>
      </w:rPr>
    </w:lvl>
    <w:lvl w:ilvl="1">
      <w:start w:val="1"/>
      <w:numFmt w:val="bullet"/>
      <w:pStyle w:val="Bullet2"/>
      <w:lvlText w:val="o"/>
      <w:lvlJc w:val="left"/>
      <w:pPr>
        <w:tabs>
          <w:tab w:val="num" w:pos="1177"/>
        </w:tabs>
        <w:ind w:left="1033" w:hanging="216"/>
      </w:pPr>
      <w:rPr>
        <w:rFonts w:ascii="Courier New" w:hAnsi="Courier New" w:hint="default"/>
        <w:b w:val="0"/>
        <w:i w:val="0"/>
        <w:strike w:val="0"/>
        <w:color w:val="auto"/>
        <w:sz w:val="20"/>
      </w:rPr>
    </w:lvl>
    <w:lvl w:ilvl="2">
      <w:start w:val="1"/>
      <w:numFmt w:val="bullet"/>
      <w:pStyle w:val="Bullet3"/>
      <w:lvlText w:val=""/>
      <w:lvlJc w:val="left"/>
      <w:pPr>
        <w:tabs>
          <w:tab w:val="num" w:pos="1321"/>
        </w:tabs>
        <w:ind w:left="1177" w:hanging="216"/>
      </w:pPr>
      <w:rPr>
        <w:rFonts w:ascii="Wingdings" w:hAnsi="Wingdings" w:hint="default"/>
      </w:rPr>
    </w:lvl>
    <w:lvl w:ilvl="3">
      <w:start w:val="1"/>
      <w:numFmt w:val="bullet"/>
      <w:pStyle w:val="Bullet4"/>
      <w:lvlText w:val=""/>
      <w:lvlJc w:val="left"/>
      <w:pPr>
        <w:tabs>
          <w:tab w:val="num" w:pos="1537"/>
        </w:tabs>
        <w:ind w:left="1393" w:hanging="216"/>
      </w:pPr>
      <w:rPr>
        <w:rFonts w:ascii="Symbol" w:hAnsi="Symbol" w:hint="default"/>
        <w:b w:val="0"/>
        <w:i w:val="0"/>
        <w:sz w:val="16"/>
      </w:rPr>
    </w:lvl>
    <w:lvl w:ilvl="4">
      <w:start w:val="1"/>
      <w:numFmt w:val="bullet"/>
      <w:lvlText w:val=""/>
      <w:lvlJc w:val="left"/>
      <w:pPr>
        <w:tabs>
          <w:tab w:val="num" w:pos="2113"/>
        </w:tabs>
        <w:ind w:left="2113" w:hanging="360"/>
      </w:pPr>
      <w:rPr>
        <w:rFonts w:ascii="Symbol" w:hAnsi="Symbol" w:hint="default"/>
      </w:rPr>
    </w:lvl>
    <w:lvl w:ilvl="5">
      <w:start w:val="1"/>
      <w:numFmt w:val="bullet"/>
      <w:lvlText w:val=""/>
      <w:lvlJc w:val="left"/>
      <w:pPr>
        <w:tabs>
          <w:tab w:val="num" w:pos="2473"/>
        </w:tabs>
        <w:ind w:left="2473" w:hanging="360"/>
      </w:pPr>
      <w:rPr>
        <w:rFonts w:ascii="Wingdings" w:hAnsi="Wingdings" w:hint="default"/>
      </w:rPr>
    </w:lvl>
    <w:lvl w:ilvl="6">
      <w:start w:val="1"/>
      <w:numFmt w:val="bullet"/>
      <w:lvlText w:val=""/>
      <w:lvlJc w:val="left"/>
      <w:pPr>
        <w:tabs>
          <w:tab w:val="num" w:pos="2833"/>
        </w:tabs>
        <w:ind w:left="2833" w:hanging="360"/>
      </w:pPr>
      <w:rPr>
        <w:rFonts w:ascii="Wingdings" w:hAnsi="Wingdings" w:hint="default"/>
      </w:rPr>
    </w:lvl>
    <w:lvl w:ilvl="7">
      <w:start w:val="1"/>
      <w:numFmt w:val="bullet"/>
      <w:lvlText w:val=""/>
      <w:lvlJc w:val="left"/>
      <w:pPr>
        <w:tabs>
          <w:tab w:val="num" w:pos="3193"/>
        </w:tabs>
        <w:ind w:left="3193" w:hanging="360"/>
      </w:pPr>
      <w:rPr>
        <w:rFonts w:ascii="Symbol" w:hAnsi="Symbol" w:hint="default"/>
      </w:rPr>
    </w:lvl>
    <w:lvl w:ilvl="8">
      <w:start w:val="1"/>
      <w:numFmt w:val="bullet"/>
      <w:lvlText w:val=""/>
      <w:lvlJc w:val="left"/>
      <w:pPr>
        <w:tabs>
          <w:tab w:val="num" w:pos="3553"/>
        </w:tabs>
        <w:ind w:left="3553" w:hanging="360"/>
      </w:pPr>
      <w:rPr>
        <w:rFonts w:ascii="Symbol" w:hAnsi="Symbol" w:hint="default"/>
      </w:rPr>
    </w:lvl>
  </w:abstractNum>
  <w:abstractNum w:abstractNumId="217" w15:restartNumberingAfterBreak="0">
    <w:nsid w:val="480F2513"/>
    <w:multiLevelType w:val="multilevel"/>
    <w:tmpl w:val="029EAB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8" w15:restartNumberingAfterBreak="0">
    <w:nsid w:val="48D30DBD"/>
    <w:multiLevelType w:val="hybridMultilevel"/>
    <w:tmpl w:val="0A26AD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912012B"/>
    <w:multiLevelType w:val="hybridMultilevel"/>
    <w:tmpl w:val="1D62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97719C2"/>
    <w:multiLevelType w:val="multilevel"/>
    <w:tmpl w:val="DCE86FE0"/>
    <w:lvl w:ilvl="0">
      <w:start w:val="1"/>
      <w:numFmt w:val="bullet"/>
      <w:lvlText w:val="o"/>
      <w:lvlJc w:val="left"/>
      <w:pPr>
        <w:tabs>
          <w:tab w:val="num" w:pos="720"/>
        </w:tabs>
        <w:ind w:left="720" w:hanging="360"/>
      </w:pPr>
      <w:rPr>
        <w:rFonts w:ascii="Courier New" w:hAnsi="Courier New" w:hint="default"/>
        <w:color w:val="auto"/>
        <w:sz w:val="28"/>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A2F32D8"/>
    <w:multiLevelType w:val="multilevel"/>
    <w:tmpl w:val="350EAE8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B9E26C7"/>
    <w:multiLevelType w:val="multilevel"/>
    <w:tmpl w:val="92B486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3" w15:restartNumberingAfterBreak="0">
    <w:nsid w:val="4BCA59A2"/>
    <w:multiLevelType w:val="multilevel"/>
    <w:tmpl w:val="ACE6A392"/>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4" w15:restartNumberingAfterBreak="0">
    <w:nsid w:val="4C1C24DA"/>
    <w:multiLevelType w:val="hybridMultilevel"/>
    <w:tmpl w:val="E19C9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4D1154A9"/>
    <w:multiLevelType w:val="hybridMultilevel"/>
    <w:tmpl w:val="499C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E765A60"/>
    <w:multiLevelType w:val="multilevel"/>
    <w:tmpl w:val="029EAB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7" w15:restartNumberingAfterBreak="0">
    <w:nsid w:val="4EA146D1"/>
    <w:multiLevelType w:val="multilevel"/>
    <w:tmpl w:val="2666A2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8" w15:restartNumberingAfterBreak="0">
    <w:nsid w:val="4EA90024"/>
    <w:multiLevelType w:val="multilevel"/>
    <w:tmpl w:val="1D186F1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9" w15:restartNumberingAfterBreak="0">
    <w:nsid w:val="4EC52C3C"/>
    <w:multiLevelType w:val="hybridMultilevel"/>
    <w:tmpl w:val="7696E49E"/>
    <w:lvl w:ilvl="0" w:tplc="F6FA9560">
      <w:start w:val="1"/>
      <w:numFmt w:val="bullet"/>
      <w:lvlText w:val="•"/>
      <w:lvlJc w:val="left"/>
      <w:pPr>
        <w:ind w:left="720" w:hanging="360"/>
      </w:pPr>
      <w:rPr>
        <w:rFonts w:hint="default"/>
        <w:w w:val="100"/>
        <w:sz w:val="24"/>
      </w:rPr>
    </w:lvl>
    <w:lvl w:ilvl="1" w:tplc="F6FA9560">
      <w:start w:val="1"/>
      <w:numFmt w:val="bullet"/>
      <w:lvlText w:val="•"/>
      <w:lvlJc w:val="left"/>
      <w:pPr>
        <w:ind w:left="1440" w:hanging="360"/>
      </w:pPr>
      <w:rPr>
        <w:rFonts w:hint="default"/>
        <w:w w:val="100"/>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4EF559C4"/>
    <w:multiLevelType w:val="multilevel"/>
    <w:tmpl w:val="F566CA66"/>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F313E34"/>
    <w:multiLevelType w:val="hybridMultilevel"/>
    <w:tmpl w:val="06F2B192"/>
    <w:lvl w:ilvl="0" w:tplc="C9A086B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F924FCD"/>
    <w:multiLevelType w:val="hybridMultilevel"/>
    <w:tmpl w:val="66F2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FAE1C99"/>
    <w:multiLevelType w:val="hybridMultilevel"/>
    <w:tmpl w:val="B9245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FB04B31"/>
    <w:multiLevelType w:val="multilevel"/>
    <w:tmpl w:val="BBCE4D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FFD5E16"/>
    <w:multiLevelType w:val="multilevel"/>
    <w:tmpl w:val="579EC2B8"/>
    <w:lvl w:ilvl="0">
      <w:start w:val="1"/>
      <w:numFmt w:val="decimal"/>
      <w:lvlText w:val="%1)"/>
      <w:lvlJc w:val="left"/>
      <w:pPr>
        <w:ind w:left="360" w:hanging="360"/>
      </w:pPr>
      <w:rPr>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15:restartNumberingAfterBreak="0">
    <w:nsid w:val="501E4DAF"/>
    <w:multiLevelType w:val="multilevel"/>
    <w:tmpl w:val="982E8984"/>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7" w15:restartNumberingAfterBreak="0">
    <w:nsid w:val="50AF0A69"/>
    <w:multiLevelType w:val="hybridMultilevel"/>
    <w:tmpl w:val="00E23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50CA273D"/>
    <w:multiLevelType w:val="multilevel"/>
    <w:tmpl w:val="F7983D36"/>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1101B61"/>
    <w:multiLevelType w:val="multilevel"/>
    <w:tmpl w:val="2FA8B3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0" w15:restartNumberingAfterBreak="0">
    <w:nsid w:val="511A2057"/>
    <w:multiLevelType w:val="hybridMultilevel"/>
    <w:tmpl w:val="EA2890AA"/>
    <w:lvl w:ilvl="0" w:tplc="E4A29FCE">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14E536F"/>
    <w:multiLevelType w:val="hybridMultilevel"/>
    <w:tmpl w:val="1F7E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1834778"/>
    <w:multiLevelType w:val="hybridMultilevel"/>
    <w:tmpl w:val="1C9AC4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15:restartNumberingAfterBreak="0">
    <w:nsid w:val="5185110F"/>
    <w:multiLevelType w:val="multilevel"/>
    <w:tmpl w:val="351CF970"/>
    <w:lvl w:ilvl="0">
      <w:start w:val="1"/>
      <w:numFmt w:val="bullet"/>
      <w:lvlText w:val="o"/>
      <w:lvlJc w:val="left"/>
      <w:pPr>
        <w:tabs>
          <w:tab w:val="num" w:pos="720"/>
        </w:tabs>
        <w:ind w:left="720" w:hanging="360"/>
      </w:pPr>
      <w:rPr>
        <w:rFonts w:ascii="Courier New" w:hAnsi="Courier New" w:hint="default"/>
        <w:color w:val="auto"/>
        <w:sz w:val="28"/>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20D7289"/>
    <w:multiLevelType w:val="multilevel"/>
    <w:tmpl w:val="9C26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24610FB"/>
    <w:multiLevelType w:val="multilevel"/>
    <w:tmpl w:val="46E6731E"/>
    <w:lvl w:ilvl="0">
      <w:start w:val="1"/>
      <w:numFmt w:val="bullet"/>
      <w:lvlText w:val="o"/>
      <w:lvlJc w:val="left"/>
      <w:pPr>
        <w:tabs>
          <w:tab w:val="num" w:pos="720"/>
        </w:tabs>
        <w:ind w:left="720" w:hanging="360"/>
      </w:pPr>
      <w:rPr>
        <w:rFonts w:ascii="Courier New" w:hAnsi="Courier New" w:hint="default"/>
        <w:color w:val="auto"/>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36457E5"/>
    <w:multiLevelType w:val="hybridMultilevel"/>
    <w:tmpl w:val="4580C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53C44C09"/>
    <w:multiLevelType w:val="multilevel"/>
    <w:tmpl w:val="BB44A03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4580530"/>
    <w:multiLevelType w:val="hybridMultilevel"/>
    <w:tmpl w:val="7ABE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4F62EA0"/>
    <w:multiLevelType w:val="multilevel"/>
    <w:tmpl w:val="DEC6F2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0" w15:restartNumberingAfterBreak="0">
    <w:nsid w:val="55EE4395"/>
    <w:multiLevelType w:val="multilevel"/>
    <w:tmpl w:val="E6BC615E"/>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1" w15:restartNumberingAfterBreak="0">
    <w:nsid w:val="577977BA"/>
    <w:multiLevelType w:val="multilevel"/>
    <w:tmpl w:val="F0160212"/>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2" w15:restartNumberingAfterBreak="0">
    <w:nsid w:val="58050F77"/>
    <w:multiLevelType w:val="multilevel"/>
    <w:tmpl w:val="DF8E01F8"/>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3" w15:restartNumberingAfterBreak="0">
    <w:nsid w:val="58365896"/>
    <w:multiLevelType w:val="hybridMultilevel"/>
    <w:tmpl w:val="81CA904A"/>
    <w:lvl w:ilvl="0" w:tplc="BACCA0D2">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4" w15:restartNumberingAfterBreak="0">
    <w:nsid w:val="597D4F25"/>
    <w:multiLevelType w:val="hybridMultilevel"/>
    <w:tmpl w:val="1468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999052F"/>
    <w:multiLevelType w:val="multilevel"/>
    <w:tmpl w:val="1F1833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6" w15:restartNumberingAfterBreak="0">
    <w:nsid w:val="59A13960"/>
    <w:multiLevelType w:val="hybridMultilevel"/>
    <w:tmpl w:val="AD5C3484"/>
    <w:lvl w:ilvl="0" w:tplc="04090001">
      <w:start w:val="1"/>
      <w:numFmt w:val="bullet"/>
      <w:lvlText w:val=""/>
      <w:lvlJc w:val="left"/>
      <w:pPr>
        <w:ind w:left="720" w:hanging="360"/>
      </w:pPr>
      <w:rPr>
        <w:rFonts w:ascii="Symbol" w:hAnsi="Symbol" w:hint="default"/>
      </w:rPr>
    </w:lvl>
    <w:lvl w:ilvl="1" w:tplc="0158FD40">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9DA3BAE"/>
    <w:multiLevelType w:val="multilevel"/>
    <w:tmpl w:val="4BE4C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AB7700F"/>
    <w:multiLevelType w:val="hybridMultilevel"/>
    <w:tmpl w:val="644C3D24"/>
    <w:lvl w:ilvl="0" w:tplc="E8860D98">
      <w:start w:val="1"/>
      <w:numFmt w:val="decimal"/>
      <w:lvlText w:val="%1."/>
      <w:lvlJc w:val="left"/>
      <w:pPr>
        <w:ind w:left="378" w:hanging="238"/>
      </w:pPr>
      <w:rPr>
        <w:rFonts w:ascii="Calibri" w:eastAsia="Calibri" w:hAnsi="Calibri" w:cs="Calibri" w:hint="default"/>
        <w:w w:val="100"/>
        <w:sz w:val="24"/>
        <w:szCs w:val="24"/>
      </w:rPr>
    </w:lvl>
    <w:lvl w:ilvl="1" w:tplc="C16E3F96">
      <w:numFmt w:val="bullet"/>
      <w:lvlText w:val="•"/>
      <w:lvlJc w:val="left"/>
      <w:pPr>
        <w:ind w:left="1306" w:hanging="238"/>
      </w:pPr>
      <w:rPr>
        <w:rFonts w:hint="default"/>
      </w:rPr>
    </w:lvl>
    <w:lvl w:ilvl="2" w:tplc="DDB629B6">
      <w:numFmt w:val="bullet"/>
      <w:lvlText w:val="•"/>
      <w:lvlJc w:val="left"/>
      <w:pPr>
        <w:ind w:left="2232" w:hanging="238"/>
      </w:pPr>
      <w:rPr>
        <w:rFonts w:hint="default"/>
      </w:rPr>
    </w:lvl>
    <w:lvl w:ilvl="3" w:tplc="A13E62EA">
      <w:numFmt w:val="bullet"/>
      <w:lvlText w:val="•"/>
      <w:lvlJc w:val="left"/>
      <w:pPr>
        <w:ind w:left="3158" w:hanging="238"/>
      </w:pPr>
      <w:rPr>
        <w:rFonts w:hint="default"/>
      </w:rPr>
    </w:lvl>
    <w:lvl w:ilvl="4" w:tplc="450A106C">
      <w:numFmt w:val="bullet"/>
      <w:lvlText w:val="•"/>
      <w:lvlJc w:val="left"/>
      <w:pPr>
        <w:ind w:left="4084" w:hanging="238"/>
      </w:pPr>
      <w:rPr>
        <w:rFonts w:hint="default"/>
      </w:rPr>
    </w:lvl>
    <w:lvl w:ilvl="5" w:tplc="81FAE420">
      <w:numFmt w:val="bullet"/>
      <w:lvlText w:val="•"/>
      <w:lvlJc w:val="left"/>
      <w:pPr>
        <w:ind w:left="5010" w:hanging="238"/>
      </w:pPr>
      <w:rPr>
        <w:rFonts w:hint="default"/>
      </w:rPr>
    </w:lvl>
    <w:lvl w:ilvl="6" w:tplc="4E22FF88">
      <w:numFmt w:val="bullet"/>
      <w:lvlText w:val="•"/>
      <w:lvlJc w:val="left"/>
      <w:pPr>
        <w:ind w:left="5936" w:hanging="238"/>
      </w:pPr>
      <w:rPr>
        <w:rFonts w:hint="default"/>
      </w:rPr>
    </w:lvl>
    <w:lvl w:ilvl="7" w:tplc="9C46AD04">
      <w:numFmt w:val="bullet"/>
      <w:lvlText w:val="•"/>
      <w:lvlJc w:val="left"/>
      <w:pPr>
        <w:ind w:left="6862" w:hanging="238"/>
      </w:pPr>
      <w:rPr>
        <w:rFonts w:hint="default"/>
      </w:rPr>
    </w:lvl>
    <w:lvl w:ilvl="8" w:tplc="265269AC">
      <w:numFmt w:val="bullet"/>
      <w:lvlText w:val="•"/>
      <w:lvlJc w:val="left"/>
      <w:pPr>
        <w:ind w:left="7788" w:hanging="238"/>
      </w:pPr>
      <w:rPr>
        <w:rFonts w:hint="default"/>
      </w:rPr>
    </w:lvl>
  </w:abstractNum>
  <w:abstractNum w:abstractNumId="259" w15:restartNumberingAfterBreak="0">
    <w:nsid w:val="5B603A9B"/>
    <w:multiLevelType w:val="multilevel"/>
    <w:tmpl w:val="224E6272"/>
    <w:lvl w:ilvl="0">
      <w:start w:val="1"/>
      <w:numFmt w:val="decimal"/>
      <w:lvlText w:val="%1)"/>
      <w:lvlJc w:val="left"/>
      <w:pPr>
        <w:ind w:left="360" w:hanging="360"/>
      </w:pPr>
      <w:rPr>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0" w15:restartNumberingAfterBreak="0">
    <w:nsid w:val="5C0C71C2"/>
    <w:multiLevelType w:val="multilevel"/>
    <w:tmpl w:val="BEECE2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heme="minorHAnsi" w:hAnsiTheme="minorHAnsi" w:cstheme="minorBid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1" w15:restartNumberingAfterBreak="0">
    <w:nsid w:val="5C154AD2"/>
    <w:multiLevelType w:val="multilevel"/>
    <w:tmpl w:val="7826CC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C353019"/>
    <w:multiLevelType w:val="multilevel"/>
    <w:tmpl w:val="C4569B3C"/>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3" w15:restartNumberingAfterBreak="0">
    <w:nsid w:val="5C8C3099"/>
    <w:multiLevelType w:val="hybridMultilevel"/>
    <w:tmpl w:val="52AAA6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CD938B2"/>
    <w:multiLevelType w:val="multilevel"/>
    <w:tmpl w:val="AC305A4A"/>
    <w:lvl w:ilvl="0">
      <w:start w:val="17"/>
      <w:numFmt w:val="decimal"/>
      <w:lvlText w:val="%1"/>
      <w:lvlJc w:val="left"/>
      <w:pPr>
        <w:ind w:left="540" w:hanging="540"/>
      </w:pPr>
      <w:rPr>
        <w:rFonts w:hint="default"/>
      </w:rPr>
    </w:lvl>
    <w:lvl w:ilvl="1">
      <w:start w:val="1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5" w15:restartNumberingAfterBreak="0">
    <w:nsid w:val="5D0B4584"/>
    <w:multiLevelType w:val="hybridMultilevel"/>
    <w:tmpl w:val="48F67C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5D4D128E"/>
    <w:multiLevelType w:val="multilevel"/>
    <w:tmpl w:val="1638E3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color w:val="auto"/>
        <w:w w:val="100"/>
        <w:sz w:val="22"/>
        <w:szCs w:val="23"/>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7" w15:restartNumberingAfterBreak="0">
    <w:nsid w:val="5D9F6409"/>
    <w:multiLevelType w:val="multilevel"/>
    <w:tmpl w:val="0F7A190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8" w15:restartNumberingAfterBreak="0">
    <w:nsid w:val="5E1E6F25"/>
    <w:multiLevelType w:val="multilevel"/>
    <w:tmpl w:val="4D2CFF5C"/>
    <w:lvl w:ilvl="0">
      <w:start w:val="1"/>
      <w:numFmt w:val="bullet"/>
      <w:lvlText w:val=""/>
      <w:lvlJc w:val="left"/>
      <w:pPr>
        <w:tabs>
          <w:tab w:val="num" w:pos="2880"/>
        </w:tabs>
        <w:ind w:left="2736" w:hanging="216"/>
      </w:pPr>
      <w:rPr>
        <w:rFonts w:ascii="Symbol" w:hAnsi="Symbol" w:hint="default"/>
        <w:strike w:val="0"/>
        <w:color w:val="auto"/>
      </w:rPr>
    </w:lvl>
    <w:lvl w:ilvl="1">
      <w:start w:val="1"/>
      <w:numFmt w:val="bullet"/>
      <w:lvlText w:val="o"/>
      <w:lvlJc w:val="left"/>
      <w:pPr>
        <w:tabs>
          <w:tab w:val="num" w:pos="1177"/>
        </w:tabs>
        <w:ind w:left="1033" w:hanging="216"/>
      </w:pPr>
      <w:rPr>
        <w:rFonts w:ascii="Courier New" w:hAnsi="Courier New" w:hint="default"/>
        <w:b w:val="0"/>
        <w:i w:val="0"/>
        <w:strike w:val="0"/>
        <w:color w:val="auto"/>
        <w:sz w:val="20"/>
      </w:rPr>
    </w:lvl>
    <w:lvl w:ilvl="2">
      <w:start w:val="1"/>
      <w:numFmt w:val="bullet"/>
      <w:lvlText w:val="•"/>
      <w:lvlJc w:val="left"/>
      <w:pPr>
        <w:tabs>
          <w:tab w:val="num" w:pos="1321"/>
        </w:tabs>
        <w:ind w:left="1177" w:hanging="216"/>
      </w:pPr>
      <w:rPr>
        <w:rFonts w:ascii="Calibri" w:hAnsi="Calibri" w:hint="default"/>
        <w:b w:val="0"/>
        <w:i w:val="0"/>
        <w:strike w:val="0"/>
        <w:dstrike w:val="0"/>
        <w:color w:val="000000"/>
        <w:sz w:val="28"/>
        <w:szCs w:val="24"/>
        <w:u w:val="none" w:color="000000"/>
        <w:vertAlign w:val="baseline"/>
      </w:rPr>
    </w:lvl>
    <w:lvl w:ilvl="3">
      <w:start w:val="1"/>
      <w:numFmt w:val="bullet"/>
      <w:lvlText w:val=""/>
      <w:lvlJc w:val="left"/>
      <w:pPr>
        <w:tabs>
          <w:tab w:val="num" w:pos="1537"/>
        </w:tabs>
        <w:ind w:left="1393" w:hanging="216"/>
      </w:pPr>
      <w:rPr>
        <w:rFonts w:ascii="Symbol" w:hAnsi="Symbol" w:hint="default"/>
        <w:b w:val="0"/>
        <w:i w:val="0"/>
        <w:sz w:val="16"/>
      </w:rPr>
    </w:lvl>
    <w:lvl w:ilvl="4">
      <w:start w:val="1"/>
      <w:numFmt w:val="bullet"/>
      <w:lvlText w:val=""/>
      <w:lvlJc w:val="left"/>
      <w:pPr>
        <w:tabs>
          <w:tab w:val="num" w:pos="2113"/>
        </w:tabs>
        <w:ind w:left="2113" w:hanging="360"/>
      </w:pPr>
      <w:rPr>
        <w:rFonts w:ascii="Symbol" w:hAnsi="Symbol" w:hint="default"/>
      </w:rPr>
    </w:lvl>
    <w:lvl w:ilvl="5">
      <w:start w:val="1"/>
      <w:numFmt w:val="bullet"/>
      <w:lvlText w:val=""/>
      <w:lvlJc w:val="left"/>
      <w:pPr>
        <w:tabs>
          <w:tab w:val="num" w:pos="2473"/>
        </w:tabs>
        <w:ind w:left="2473" w:hanging="360"/>
      </w:pPr>
      <w:rPr>
        <w:rFonts w:ascii="Wingdings" w:hAnsi="Wingdings" w:hint="default"/>
      </w:rPr>
    </w:lvl>
    <w:lvl w:ilvl="6">
      <w:start w:val="1"/>
      <w:numFmt w:val="bullet"/>
      <w:lvlText w:val=""/>
      <w:lvlJc w:val="left"/>
      <w:pPr>
        <w:tabs>
          <w:tab w:val="num" w:pos="2833"/>
        </w:tabs>
        <w:ind w:left="2833" w:hanging="360"/>
      </w:pPr>
      <w:rPr>
        <w:rFonts w:ascii="Wingdings" w:hAnsi="Wingdings" w:hint="default"/>
      </w:rPr>
    </w:lvl>
    <w:lvl w:ilvl="7">
      <w:start w:val="1"/>
      <w:numFmt w:val="bullet"/>
      <w:lvlText w:val=""/>
      <w:lvlJc w:val="left"/>
      <w:pPr>
        <w:tabs>
          <w:tab w:val="num" w:pos="3193"/>
        </w:tabs>
        <w:ind w:left="3193" w:hanging="360"/>
      </w:pPr>
      <w:rPr>
        <w:rFonts w:ascii="Symbol" w:hAnsi="Symbol" w:hint="default"/>
      </w:rPr>
    </w:lvl>
    <w:lvl w:ilvl="8">
      <w:start w:val="1"/>
      <w:numFmt w:val="bullet"/>
      <w:lvlText w:val=""/>
      <w:lvlJc w:val="left"/>
      <w:pPr>
        <w:tabs>
          <w:tab w:val="num" w:pos="3553"/>
        </w:tabs>
        <w:ind w:left="3553" w:hanging="360"/>
      </w:pPr>
      <w:rPr>
        <w:rFonts w:ascii="Symbol" w:hAnsi="Symbol" w:hint="default"/>
      </w:rPr>
    </w:lvl>
  </w:abstractNum>
  <w:abstractNum w:abstractNumId="269" w15:restartNumberingAfterBreak="0">
    <w:nsid w:val="5E4E3305"/>
    <w:multiLevelType w:val="multilevel"/>
    <w:tmpl w:val="1C066B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0" w15:restartNumberingAfterBreak="0">
    <w:nsid w:val="5EC90F1B"/>
    <w:multiLevelType w:val="hybridMultilevel"/>
    <w:tmpl w:val="7EA04080"/>
    <w:lvl w:ilvl="0" w:tplc="C8F4CF36">
      <w:start w:val="1"/>
      <w:numFmt w:val="decimal"/>
      <w:lvlText w:val="%1."/>
      <w:lvlJc w:val="left"/>
      <w:pPr>
        <w:ind w:left="2308" w:hanging="238"/>
      </w:pPr>
      <w:rPr>
        <w:rFonts w:ascii="Calibri" w:eastAsia="Calibri" w:hAnsi="Calibri" w:cs="Calibri" w:hint="default"/>
        <w:w w:val="100"/>
        <w:sz w:val="24"/>
        <w:szCs w:val="24"/>
      </w:rPr>
    </w:lvl>
    <w:lvl w:ilvl="1" w:tplc="F4AAD38A">
      <w:numFmt w:val="bullet"/>
      <w:lvlText w:val="•"/>
      <w:lvlJc w:val="left"/>
      <w:pPr>
        <w:ind w:left="3258" w:hanging="238"/>
      </w:pPr>
      <w:rPr>
        <w:rFonts w:hint="default"/>
      </w:rPr>
    </w:lvl>
    <w:lvl w:ilvl="2" w:tplc="E11477E4">
      <w:numFmt w:val="bullet"/>
      <w:lvlText w:val="•"/>
      <w:lvlJc w:val="left"/>
      <w:pPr>
        <w:ind w:left="4208" w:hanging="238"/>
      </w:pPr>
      <w:rPr>
        <w:rFonts w:hint="default"/>
      </w:rPr>
    </w:lvl>
    <w:lvl w:ilvl="3" w:tplc="DEDE8062">
      <w:numFmt w:val="bullet"/>
      <w:lvlText w:val="•"/>
      <w:lvlJc w:val="left"/>
      <w:pPr>
        <w:ind w:left="5158" w:hanging="238"/>
      </w:pPr>
      <w:rPr>
        <w:rFonts w:hint="default"/>
      </w:rPr>
    </w:lvl>
    <w:lvl w:ilvl="4" w:tplc="BCAA653A">
      <w:numFmt w:val="bullet"/>
      <w:lvlText w:val="•"/>
      <w:lvlJc w:val="left"/>
      <w:pPr>
        <w:ind w:left="6108" w:hanging="238"/>
      </w:pPr>
      <w:rPr>
        <w:rFonts w:hint="default"/>
      </w:rPr>
    </w:lvl>
    <w:lvl w:ilvl="5" w:tplc="CD00FFB0">
      <w:numFmt w:val="bullet"/>
      <w:lvlText w:val="•"/>
      <w:lvlJc w:val="left"/>
      <w:pPr>
        <w:ind w:left="7058" w:hanging="238"/>
      </w:pPr>
      <w:rPr>
        <w:rFonts w:hint="default"/>
      </w:rPr>
    </w:lvl>
    <w:lvl w:ilvl="6" w:tplc="C876093A">
      <w:numFmt w:val="bullet"/>
      <w:lvlText w:val="•"/>
      <w:lvlJc w:val="left"/>
      <w:pPr>
        <w:ind w:left="8008" w:hanging="238"/>
      </w:pPr>
      <w:rPr>
        <w:rFonts w:hint="default"/>
      </w:rPr>
    </w:lvl>
    <w:lvl w:ilvl="7" w:tplc="7890D0CA">
      <w:numFmt w:val="bullet"/>
      <w:lvlText w:val="•"/>
      <w:lvlJc w:val="left"/>
      <w:pPr>
        <w:ind w:left="8958" w:hanging="238"/>
      </w:pPr>
      <w:rPr>
        <w:rFonts w:hint="default"/>
      </w:rPr>
    </w:lvl>
    <w:lvl w:ilvl="8" w:tplc="7C741438">
      <w:numFmt w:val="bullet"/>
      <w:lvlText w:val="•"/>
      <w:lvlJc w:val="left"/>
      <w:pPr>
        <w:ind w:left="9908" w:hanging="238"/>
      </w:pPr>
      <w:rPr>
        <w:rFonts w:hint="default"/>
      </w:rPr>
    </w:lvl>
  </w:abstractNum>
  <w:abstractNum w:abstractNumId="271" w15:restartNumberingAfterBreak="0">
    <w:nsid w:val="5F3F3331"/>
    <w:multiLevelType w:val="multilevel"/>
    <w:tmpl w:val="31284FB8"/>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2" w15:restartNumberingAfterBreak="0">
    <w:nsid w:val="5F7C5778"/>
    <w:multiLevelType w:val="multilevel"/>
    <w:tmpl w:val="BD481A1A"/>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3" w15:restartNumberingAfterBreak="0">
    <w:nsid w:val="5FD25010"/>
    <w:multiLevelType w:val="multilevel"/>
    <w:tmpl w:val="76644D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FF63A86"/>
    <w:multiLevelType w:val="multilevel"/>
    <w:tmpl w:val="DD2A51C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5" w15:restartNumberingAfterBreak="0">
    <w:nsid w:val="610C5F00"/>
    <w:multiLevelType w:val="hybridMultilevel"/>
    <w:tmpl w:val="8CF07022"/>
    <w:lvl w:ilvl="0" w:tplc="9C2CD57E">
      <w:start w:val="1"/>
      <w:numFmt w:val="bullet"/>
      <w:lvlText w:val=""/>
      <w:lvlJc w:val="left"/>
      <w:pPr>
        <w:ind w:left="864" w:hanging="360"/>
      </w:pPr>
      <w:rPr>
        <w:rFonts w:ascii="Symbol" w:hAnsi="Symbol" w:hint="default"/>
        <w:sz w:val="20"/>
      </w:rPr>
    </w:lvl>
    <w:lvl w:ilvl="1" w:tplc="B248E972">
      <w:start w:val="1"/>
      <w:numFmt w:val="bullet"/>
      <w:lvlText w:val="o"/>
      <w:lvlJc w:val="left"/>
      <w:pPr>
        <w:ind w:left="1584" w:hanging="360"/>
      </w:pPr>
      <w:rPr>
        <w:rFonts w:ascii="Courier New" w:hAnsi="Courier New" w:hint="default"/>
        <w:sz w:val="20"/>
      </w:rPr>
    </w:lvl>
    <w:lvl w:ilvl="2" w:tplc="8A14AA72">
      <w:start w:val="1"/>
      <w:numFmt w:val="bullet"/>
      <w:lvlText w:val=""/>
      <w:lvlJc w:val="left"/>
      <w:pPr>
        <w:ind w:left="2304" w:hanging="360"/>
      </w:pPr>
      <w:rPr>
        <w:rFonts w:ascii="Wingdings" w:hAnsi="Wingdings" w:hint="default"/>
        <w:sz w:val="20"/>
      </w:rPr>
    </w:lvl>
    <w:lvl w:ilvl="3" w:tplc="75141DA2">
      <w:start w:val="1"/>
      <w:numFmt w:val="bullet"/>
      <w:lvlText w:val=""/>
      <w:lvlJc w:val="left"/>
      <w:pPr>
        <w:ind w:left="3024" w:hanging="360"/>
      </w:pPr>
      <w:rPr>
        <w:rFonts w:ascii="Wingdings" w:hAnsi="Wingdings" w:hint="default"/>
        <w:sz w:val="20"/>
      </w:rPr>
    </w:lvl>
    <w:lvl w:ilvl="4" w:tplc="04090003">
      <w:start w:val="1"/>
      <w:numFmt w:val="bullet"/>
      <w:lvlText w:val="o"/>
      <w:lvlJc w:val="left"/>
      <w:pPr>
        <w:ind w:left="3744" w:hanging="360"/>
      </w:pPr>
      <w:rPr>
        <w:rFonts w:ascii="Courier New" w:hAnsi="Courier New" w:hint="default"/>
      </w:rPr>
    </w:lvl>
    <w:lvl w:ilvl="5" w:tplc="C8BA10F4">
      <w:start w:val="1"/>
      <w:numFmt w:val="bullet"/>
      <w:lvlText w:val=""/>
      <w:lvlJc w:val="left"/>
      <w:pPr>
        <w:ind w:left="4464" w:hanging="360"/>
      </w:pPr>
      <w:rPr>
        <w:rFonts w:ascii="Symbol" w:hAnsi="Symbol" w:hint="default"/>
        <w:sz w:val="24"/>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6" w15:restartNumberingAfterBreak="0">
    <w:nsid w:val="629835D9"/>
    <w:multiLevelType w:val="hybridMultilevel"/>
    <w:tmpl w:val="1CBA5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62B61D78"/>
    <w:multiLevelType w:val="multilevel"/>
    <w:tmpl w:val="BCE4040C"/>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OPLevel3"/>
      <w:lvlText w:val="%1.%2.%3"/>
      <w:lvlJc w:val="left"/>
      <w:pPr>
        <w:tabs>
          <w:tab w:val="num" w:pos="1728"/>
        </w:tabs>
        <w:ind w:left="792" w:firstLine="144"/>
      </w:pPr>
      <w:rPr>
        <w:rFonts w:hint="default"/>
        <w:b w:val="0"/>
        <w:i w:val="0"/>
        <w:sz w:val="22"/>
        <w:szCs w:val="22"/>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8" w15:restartNumberingAfterBreak="0">
    <w:nsid w:val="63A27D99"/>
    <w:multiLevelType w:val="multilevel"/>
    <w:tmpl w:val="53CAF572"/>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9" w15:restartNumberingAfterBreak="0">
    <w:nsid w:val="63CF3E4C"/>
    <w:multiLevelType w:val="multilevel"/>
    <w:tmpl w:val="63DA13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40A32D2"/>
    <w:multiLevelType w:val="hybridMultilevel"/>
    <w:tmpl w:val="A4DC3EE4"/>
    <w:lvl w:ilvl="0" w:tplc="7E282EF6">
      <w:start w:val="1"/>
      <w:numFmt w:val="bullet"/>
      <w:lvlText w:val="o"/>
      <w:lvlJc w:val="left"/>
      <w:pPr>
        <w:ind w:left="2160" w:hanging="360"/>
      </w:pPr>
      <w:rPr>
        <w:rFonts w:ascii="Courier New" w:hAnsi="Courier New"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1" w15:restartNumberingAfterBreak="0">
    <w:nsid w:val="64376E1F"/>
    <w:multiLevelType w:val="hybridMultilevel"/>
    <w:tmpl w:val="C29A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64C46FFC"/>
    <w:multiLevelType w:val="multilevel"/>
    <w:tmpl w:val="D792A72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3" w15:restartNumberingAfterBreak="0">
    <w:nsid w:val="64C81BB4"/>
    <w:multiLevelType w:val="multilevel"/>
    <w:tmpl w:val="05C4A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4CF1FD4"/>
    <w:multiLevelType w:val="multilevel"/>
    <w:tmpl w:val="A0DA73DA"/>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5" w15:restartNumberingAfterBreak="0">
    <w:nsid w:val="654B3695"/>
    <w:multiLevelType w:val="multilevel"/>
    <w:tmpl w:val="806410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6" w15:restartNumberingAfterBreak="0">
    <w:nsid w:val="65554A53"/>
    <w:multiLevelType w:val="multilevel"/>
    <w:tmpl w:val="074C652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7" w15:restartNumberingAfterBreak="0">
    <w:nsid w:val="669D6045"/>
    <w:multiLevelType w:val="multilevel"/>
    <w:tmpl w:val="03868D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8" w15:restartNumberingAfterBreak="0">
    <w:nsid w:val="67015AB6"/>
    <w:multiLevelType w:val="multilevel"/>
    <w:tmpl w:val="7180B898"/>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794602E"/>
    <w:multiLevelType w:val="hybridMultilevel"/>
    <w:tmpl w:val="37D07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0" w15:restartNumberingAfterBreak="0">
    <w:nsid w:val="681D73FF"/>
    <w:multiLevelType w:val="hybridMultilevel"/>
    <w:tmpl w:val="92681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573E6024">
      <w:start w:val="1"/>
      <w:numFmt w:val="bullet"/>
      <w:lvlText w:val="o"/>
      <w:lvlJc w:val="left"/>
      <w:pPr>
        <w:ind w:left="1800" w:hanging="360"/>
      </w:pPr>
      <w:rPr>
        <w:rFonts w:ascii="Courier New" w:hAnsi="Courier New" w:hint="default"/>
        <w:color w:val="auto"/>
        <w:sz w:val="24"/>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683C113E"/>
    <w:multiLevelType w:val="hybridMultilevel"/>
    <w:tmpl w:val="5464F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8874E9B"/>
    <w:multiLevelType w:val="hybridMultilevel"/>
    <w:tmpl w:val="69F45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8A251FF"/>
    <w:multiLevelType w:val="hybridMultilevel"/>
    <w:tmpl w:val="CABE8E48"/>
    <w:lvl w:ilvl="0" w:tplc="D1006D9E">
      <w:start w:val="1"/>
      <w:numFmt w:val="bullet"/>
      <w:lvlText w:val="•"/>
      <w:lvlJc w:val="left"/>
      <w:pPr>
        <w:tabs>
          <w:tab w:val="num" w:pos="720"/>
        </w:tabs>
        <w:ind w:left="720" w:hanging="360"/>
      </w:pPr>
      <w:rPr>
        <w:rFonts w:ascii="Arial" w:hAnsi="Arial" w:hint="default"/>
      </w:rPr>
    </w:lvl>
    <w:lvl w:ilvl="1" w:tplc="EA068FDE" w:tentative="1">
      <w:start w:val="1"/>
      <w:numFmt w:val="bullet"/>
      <w:lvlText w:val="•"/>
      <w:lvlJc w:val="left"/>
      <w:pPr>
        <w:tabs>
          <w:tab w:val="num" w:pos="1440"/>
        </w:tabs>
        <w:ind w:left="1440" w:hanging="360"/>
      </w:pPr>
      <w:rPr>
        <w:rFonts w:ascii="Arial" w:hAnsi="Arial" w:hint="default"/>
      </w:rPr>
    </w:lvl>
    <w:lvl w:ilvl="2" w:tplc="D3B8F240" w:tentative="1">
      <w:start w:val="1"/>
      <w:numFmt w:val="bullet"/>
      <w:lvlText w:val="•"/>
      <w:lvlJc w:val="left"/>
      <w:pPr>
        <w:tabs>
          <w:tab w:val="num" w:pos="2160"/>
        </w:tabs>
        <w:ind w:left="2160" w:hanging="360"/>
      </w:pPr>
      <w:rPr>
        <w:rFonts w:ascii="Arial" w:hAnsi="Arial" w:hint="default"/>
      </w:rPr>
    </w:lvl>
    <w:lvl w:ilvl="3" w:tplc="29B6776A" w:tentative="1">
      <w:start w:val="1"/>
      <w:numFmt w:val="bullet"/>
      <w:lvlText w:val="•"/>
      <w:lvlJc w:val="left"/>
      <w:pPr>
        <w:tabs>
          <w:tab w:val="num" w:pos="2880"/>
        </w:tabs>
        <w:ind w:left="2880" w:hanging="360"/>
      </w:pPr>
      <w:rPr>
        <w:rFonts w:ascii="Arial" w:hAnsi="Arial" w:hint="default"/>
      </w:rPr>
    </w:lvl>
    <w:lvl w:ilvl="4" w:tplc="B310227A" w:tentative="1">
      <w:start w:val="1"/>
      <w:numFmt w:val="bullet"/>
      <w:lvlText w:val="•"/>
      <w:lvlJc w:val="left"/>
      <w:pPr>
        <w:tabs>
          <w:tab w:val="num" w:pos="3600"/>
        </w:tabs>
        <w:ind w:left="3600" w:hanging="360"/>
      </w:pPr>
      <w:rPr>
        <w:rFonts w:ascii="Arial" w:hAnsi="Arial" w:hint="default"/>
      </w:rPr>
    </w:lvl>
    <w:lvl w:ilvl="5" w:tplc="1E0AC1B8" w:tentative="1">
      <w:start w:val="1"/>
      <w:numFmt w:val="bullet"/>
      <w:lvlText w:val="•"/>
      <w:lvlJc w:val="left"/>
      <w:pPr>
        <w:tabs>
          <w:tab w:val="num" w:pos="4320"/>
        </w:tabs>
        <w:ind w:left="4320" w:hanging="360"/>
      </w:pPr>
      <w:rPr>
        <w:rFonts w:ascii="Arial" w:hAnsi="Arial" w:hint="default"/>
      </w:rPr>
    </w:lvl>
    <w:lvl w:ilvl="6" w:tplc="5C045B96" w:tentative="1">
      <w:start w:val="1"/>
      <w:numFmt w:val="bullet"/>
      <w:lvlText w:val="•"/>
      <w:lvlJc w:val="left"/>
      <w:pPr>
        <w:tabs>
          <w:tab w:val="num" w:pos="5040"/>
        </w:tabs>
        <w:ind w:left="5040" w:hanging="360"/>
      </w:pPr>
      <w:rPr>
        <w:rFonts w:ascii="Arial" w:hAnsi="Arial" w:hint="default"/>
      </w:rPr>
    </w:lvl>
    <w:lvl w:ilvl="7" w:tplc="FCF61E2A" w:tentative="1">
      <w:start w:val="1"/>
      <w:numFmt w:val="bullet"/>
      <w:lvlText w:val="•"/>
      <w:lvlJc w:val="left"/>
      <w:pPr>
        <w:tabs>
          <w:tab w:val="num" w:pos="5760"/>
        </w:tabs>
        <w:ind w:left="5760" w:hanging="360"/>
      </w:pPr>
      <w:rPr>
        <w:rFonts w:ascii="Arial" w:hAnsi="Arial" w:hint="default"/>
      </w:rPr>
    </w:lvl>
    <w:lvl w:ilvl="8" w:tplc="9CA4AB42" w:tentative="1">
      <w:start w:val="1"/>
      <w:numFmt w:val="bullet"/>
      <w:lvlText w:val="•"/>
      <w:lvlJc w:val="left"/>
      <w:pPr>
        <w:tabs>
          <w:tab w:val="num" w:pos="6480"/>
        </w:tabs>
        <w:ind w:left="6480" w:hanging="360"/>
      </w:pPr>
      <w:rPr>
        <w:rFonts w:ascii="Arial" w:hAnsi="Arial" w:hint="default"/>
      </w:rPr>
    </w:lvl>
  </w:abstractNum>
  <w:abstractNum w:abstractNumId="294" w15:restartNumberingAfterBreak="0">
    <w:nsid w:val="68A54A76"/>
    <w:multiLevelType w:val="multilevel"/>
    <w:tmpl w:val="B9880C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8DF08C3"/>
    <w:multiLevelType w:val="hybridMultilevel"/>
    <w:tmpl w:val="C6822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6" w15:restartNumberingAfterBreak="0">
    <w:nsid w:val="693F7056"/>
    <w:multiLevelType w:val="hybridMultilevel"/>
    <w:tmpl w:val="B0D6930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1">
      <w:start w:val="1"/>
      <w:numFmt w:val="bullet"/>
      <w:lvlText w:val=""/>
      <w:lvlJc w:val="left"/>
      <w:pPr>
        <w:ind w:left="2304" w:hanging="360"/>
      </w:pPr>
      <w:rPr>
        <w:rFonts w:ascii="Symbol" w:hAnsi="Symbol"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7" w15:restartNumberingAfterBreak="0">
    <w:nsid w:val="696B0EA4"/>
    <w:multiLevelType w:val="hybridMultilevel"/>
    <w:tmpl w:val="C8E82234"/>
    <w:lvl w:ilvl="0" w:tplc="BACCA0D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71A8A61A">
      <w:start w:val="1"/>
      <w:numFmt w:val="bullet"/>
      <w:lvlText w:val="o"/>
      <w:lvlJc w:val="left"/>
      <w:pPr>
        <w:ind w:left="2160" w:hanging="360"/>
      </w:pPr>
      <w:rPr>
        <w:rFonts w:ascii="Courier New" w:hAnsi="Courier New" w:hint="default"/>
        <w:color w:val="auto"/>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B142707"/>
    <w:multiLevelType w:val="multilevel"/>
    <w:tmpl w:val="F836BD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9" w15:restartNumberingAfterBreak="0">
    <w:nsid w:val="6B196789"/>
    <w:multiLevelType w:val="hybridMultilevel"/>
    <w:tmpl w:val="0B2025AE"/>
    <w:lvl w:ilvl="0" w:tplc="48A654D6">
      <w:start w:val="1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B9B72EE"/>
    <w:multiLevelType w:val="hybridMultilevel"/>
    <w:tmpl w:val="3C28230E"/>
    <w:lvl w:ilvl="0" w:tplc="0409000F">
      <w:start w:val="1"/>
      <w:numFmt w:val="bullet"/>
      <w:lvlText w:val=""/>
      <w:lvlJc w:val="left"/>
      <w:pPr>
        <w:tabs>
          <w:tab w:val="num" w:pos="1080"/>
        </w:tabs>
        <w:ind w:left="108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pStyle w:val="normal-bullit3"/>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6C6B0C63"/>
    <w:multiLevelType w:val="hybridMultilevel"/>
    <w:tmpl w:val="AF722B56"/>
    <w:lvl w:ilvl="0" w:tplc="BACCA0D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71A8A61A">
      <w:start w:val="1"/>
      <w:numFmt w:val="bullet"/>
      <w:lvlText w:val="o"/>
      <w:lvlJc w:val="left"/>
      <w:pPr>
        <w:ind w:left="2160" w:hanging="360"/>
      </w:pPr>
      <w:rPr>
        <w:rFonts w:ascii="Courier New" w:hAnsi="Courier New" w:hint="default"/>
        <w:color w:val="auto"/>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6CCD4187"/>
    <w:multiLevelType w:val="multilevel"/>
    <w:tmpl w:val="421CB5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CED0689"/>
    <w:multiLevelType w:val="hybridMultilevel"/>
    <w:tmpl w:val="C964B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6D134225"/>
    <w:multiLevelType w:val="multilevel"/>
    <w:tmpl w:val="8E6C64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D180484"/>
    <w:multiLevelType w:val="multilevel"/>
    <w:tmpl w:val="BAD89B2A"/>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E160CD3"/>
    <w:multiLevelType w:val="hybridMultilevel"/>
    <w:tmpl w:val="7C345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7" w15:restartNumberingAfterBreak="0">
    <w:nsid w:val="6E6F5CCE"/>
    <w:multiLevelType w:val="hybridMultilevel"/>
    <w:tmpl w:val="E3FA9D94"/>
    <w:lvl w:ilvl="0" w:tplc="B76A05B0">
      <w:start w:val="1"/>
      <w:numFmt w:val="decimal"/>
      <w:lvlText w:val="%1."/>
      <w:lvlJc w:val="left"/>
      <w:pPr>
        <w:ind w:left="720" w:hanging="360"/>
      </w:pPr>
      <w:rPr>
        <w:rFonts w:ascii="Calibri" w:hAnsi="Calibri" w:cs="Calibri" w:hint="default"/>
      </w:rPr>
    </w:lvl>
    <w:lvl w:ilvl="1" w:tplc="BB542CC0">
      <w:start w:val="1"/>
      <w:numFmt w:val="lowerLetter"/>
      <w:lvlText w:val="%2."/>
      <w:lvlJc w:val="left"/>
      <w:pPr>
        <w:ind w:left="1440" w:hanging="360"/>
      </w:pPr>
      <w:rPr>
        <w:rFonts w:ascii="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6E74295A"/>
    <w:multiLevelType w:val="hybridMultilevel"/>
    <w:tmpl w:val="5720F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6F6667F4"/>
    <w:multiLevelType w:val="hybridMultilevel"/>
    <w:tmpl w:val="B0D8E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ACCA0D2">
      <w:start w:val="1"/>
      <w:numFmt w:val="bullet"/>
      <w:lvlText w:val=""/>
      <w:lvlJc w:val="left"/>
      <w:pPr>
        <w:ind w:left="1800" w:hanging="360"/>
      </w:pPr>
      <w:rPr>
        <w:rFonts w:ascii="Symbol" w:hAnsi="Symbol" w:hint="default"/>
        <w:sz w:val="22"/>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910CE0FC">
      <w:start w:val="7"/>
      <w:numFmt w:val="bullet"/>
      <w:lvlText w:val="-"/>
      <w:lvlJc w:val="left"/>
      <w:pPr>
        <w:ind w:left="5400" w:hanging="360"/>
      </w:pPr>
      <w:rPr>
        <w:rFonts w:ascii="Calibri" w:eastAsia="Times New Roman" w:hAnsi="Calibri"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6FD10720"/>
    <w:multiLevelType w:val="hybridMultilevel"/>
    <w:tmpl w:val="0F8A9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15:restartNumberingAfterBreak="0">
    <w:nsid w:val="70C75F28"/>
    <w:multiLevelType w:val="multilevel"/>
    <w:tmpl w:val="7826CC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0D4441C"/>
    <w:multiLevelType w:val="multilevel"/>
    <w:tmpl w:val="BA1C699A"/>
    <w:lvl w:ilvl="0">
      <w:start w:val="1"/>
      <w:numFmt w:val="bullet"/>
      <w:lvlText w:val=""/>
      <w:lvlJc w:val="left"/>
      <w:pPr>
        <w:ind w:left="360" w:hanging="360"/>
      </w:pPr>
      <w:rPr>
        <w:rFonts w:ascii="Symbol" w:hAnsi="Symbol" w:hint="default"/>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3" w15:restartNumberingAfterBreak="0">
    <w:nsid w:val="71115BF2"/>
    <w:multiLevelType w:val="multilevel"/>
    <w:tmpl w:val="05C4A77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4" w15:restartNumberingAfterBreak="0">
    <w:nsid w:val="715E77DC"/>
    <w:multiLevelType w:val="multilevel"/>
    <w:tmpl w:val="2D5EF5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color w:val="auto"/>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5" w15:restartNumberingAfterBreak="0">
    <w:nsid w:val="717E2E87"/>
    <w:multiLevelType w:val="multilevel"/>
    <w:tmpl w:val="4C8628A4"/>
    <w:lvl w:ilvl="0">
      <w:start w:val="1"/>
      <w:numFmt w:val="bullet"/>
      <w:lvlText w:val=""/>
      <w:lvlJc w:val="left"/>
      <w:pPr>
        <w:tabs>
          <w:tab w:val="num" w:pos="2880"/>
        </w:tabs>
        <w:ind w:left="2736" w:hanging="216"/>
      </w:pPr>
      <w:rPr>
        <w:rFonts w:ascii="Symbol" w:hAnsi="Symbol" w:hint="default"/>
        <w:strike w:val="0"/>
        <w:color w:val="auto"/>
      </w:rPr>
    </w:lvl>
    <w:lvl w:ilvl="1">
      <w:start w:val="1"/>
      <w:numFmt w:val="bullet"/>
      <w:lvlText w:val=""/>
      <w:lvlJc w:val="left"/>
      <w:pPr>
        <w:tabs>
          <w:tab w:val="num" w:pos="1177"/>
        </w:tabs>
        <w:ind w:left="1033" w:hanging="216"/>
      </w:pPr>
      <w:rPr>
        <w:rFonts w:ascii="Symbol" w:hAnsi="Symbol" w:hint="default"/>
        <w:b w:val="0"/>
        <w:i w:val="0"/>
        <w:strike w:val="0"/>
        <w:color w:val="auto"/>
        <w:sz w:val="22"/>
      </w:rPr>
    </w:lvl>
    <w:lvl w:ilvl="2">
      <w:start w:val="1"/>
      <w:numFmt w:val="bullet"/>
      <w:lvlText w:val=""/>
      <w:lvlJc w:val="left"/>
      <w:pPr>
        <w:tabs>
          <w:tab w:val="num" w:pos="1321"/>
        </w:tabs>
        <w:ind w:left="1177" w:hanging="216"/>
      </w:pPr>
      <w:rPr>
        <w:rFonts w:ascii="Wingdings" w:hAnsi="Wingdings" w:hint="default"/>
      </w:rPr>
    </w:lvl>
    <w:lvl w:ilvl="3">
      <w:start w:val="1"/>
      <w:numFmt w:val="bullet"/>
      <w:lvlText w:val=""/>
      <w:lvlJc w:val="left"/>
      <w:pPr>
        <w:tabs>
          <w:tab w:val="num" w:pos="1537"/>
        </w:tabs>
        <w:ind w:left="1393" w:hanging="216"/>
      </w:pPr>
      <w:rPr>
        <w:rFonts w:ascii="Symbol" w:hAnsi="Symbol" w:hint="default"/>
        <w:b w:val="0"/>
        <w:i w:val="0"/>
        <w:sz w:val="16"/>
      </w:rPr>
    </w:lvl>
    <w:lvl w:ilvl="4">
      <w:start w:val="1"/>
      <w:numFmt w:val="bullet"/>
      <w:lvlText w:val=""/>
      <w:lvlJc w:val="left"/>
      <w:pPr>
        <w:tabs>
          <w:tab w:val="num" w:pos="2113"/>
        </w:tabs>
        <w:ind w:left="2113" w:hanging="360"/>
      </w:pPr>
      <w:rPr>
        <w:rFonts w:ascii="Symbol" w:hAnsi="Symbol" w:hint="default"/>
      </w:rPr>
    </w:lvl>
    <w:lvl w:ilvl="5">
      <w:start w:val="1"/>
      <w:numFmt w:val="bullet"/>
      <w:lvlText w:val=""/>
      <w:lvlJc w:val="left"/>
      <w:pPr>
        <w:tabs>
          <w:tab w:val="num" w:pos="2473"/>
        </w:tabs>
        <w:ind w:left="2473" w:hanging="360"/>
      </w:pPr>
      <w:rPr>
        <w:rFonts w:ascii="Wingdings" w:hAnsi="Wingdings" w:hint="default"/>
      </w:rPr>
    </w:lvl>
    <w:lvl w:ilvl="6">
      <w:start w:val="1"/>
      <w:numFmt w:val="bullet"/>
      <w:lvlText w:val=""/>
      <w:lvlJc w:val="left"/>
      <w:pPr>
        <w:tabs>
          <w:tab w:val="num" w:pos="2833"/>
        </w:tabs>
        <w:ind w:left="2833" w:hanging="360"/>
      </w:pPr>
      <w:rPr>
        <w:rFonts w:ascii="Wingdings" w:hAnsi="Wingdings" w:hint="default"/>
      </w:rPr>
    </w:lvl>
    <w:lvl w:ilvl="7">
      <w:start w:val="1"/>
      <w:numFmt w:val="bullet"/>
      <w:lvlText w:val=""/>
      <w:lvlJc w:val="left"/>
      <w:pPr>
        <w:tabs>
          <w:tab w:val="num" w:pos="3193"/>
        </w:tabs>
        <w:ind w:left="3193" w:hanging="360"/>
      </w:pPr>
      <w:rPr>
        <w:rFonts w:ascii="Symbol" w:hAnsi="Symbol" w:hint="default"/>
      </w:rPr>
    </w:lvl>
    <w:lvl w:ilvl="8">
      <w:start w:val="1"/>
      <w:numFmt w:val="bullet"/>
      <w:lvlText w:val=""/>
      <w:lvlJc w:val="left"/>
      <w:pPr>
        <w:tabs>
          <w:tab w:val="num" w:pos="3553"/>
        </w:tabs>
        <w:ind w:left="3553" w:hanging="360"/>
      </w:pPr>
      <w:rPr>
        <w:rFonts w:ascii="Symbol" w:hAnsi="Symbol" w:hint="default"/>
      </w:rPr>
    </w:lvl>
  </w:abstractNum>
  <w:abstractNum w:abstractNumId="316" w15:restartNumberingAfterBreak="0">
    <w:nsid w:val="72770AD9"/>
    <w:multiLevelType w:val="hybridMultilevel"/>
    <w:tmpl w:val="BE50A256"/>
    <w:lvl w:ilvl="0" w:tplc="4AA61902">
      <w:start w:val="1"/>
      <w:numFmt w:val="decimal"/>
      <w:lvlText w:val="%1."/>
      <w:lvlJc w:val="left"/>
      <w:pPr>
        <w:ind w:left="500" w:hanging="360"/>
      </w:pPr>
      <w:rPr>
        <w:rFonts w:ascii="Calibri" w:eastAsia="Calibri" w:hAnsi="Calibri" w:cs="Calibri" w:hint="default"/>
        <w:spacing w:val="-4"/>
        <w:w w:val="100"/>
        <w:sz w:val="24"/>
        <w:szCs w:val="24"/>
      </w:rPr>
    </w:lvl>
    <w:lvl w:ilvl="1" w:tplc="A1F0DE9A">
      <w:numFmt w:val="bullet"/>
      <w:lvlText w:val="•"/>
      <w:lvlJc w:val="left"/>
      <w:pPr>
        <w:ind w:left="1414" w:hanging="360"/>
      </w:pPr>
      <w:rPr>
        <w:rFonts w:hint="default"/>
      </w:rPr>
    </w:lvl>
    <w:lvl w:ilvl="2" w:tplc="3C9EC2BA">
      <w:numFmt w:val="bullet"/>
      <w:lvlText w:val="•"/>
      <w:lvlJc w:val="left"/>
      <w:pPr>
        <w:ind w:left="2328" w:hanging="360"/>
      </w:pPr>
      <w:rPr>
        <w:rFonts w:hint="default"/>
      </w:rPr>
    </w:lvl>
    <w:lvl w:ilvl="3" w:tplc="FEF0F492">
      <w:numFmt w:val="bullet"/>
      <w:lvlText w:val="•"/>
      <w:lvlJc w:val="left"/>
      <w:pPr>
        <w:ind w:left="3242" w:hanging="360"/>
      </w:pPr>
      <w:rPr>
        <w:rFonts w:hint="default"/>
      </w:rPr>
    </w:lvl>
    <w:lvl w:ilvl="4" w:tplc="51102CFA">
      <w:numFmt w:val="bullet"/>
      <w:lvlText w:val="•"/>
      <w:lvlJc w:val="left"/>
      <w:pPr>
        <w:ind w:left="4156" w:hanging="360"/>
      </w:pPr>
      <w:rPr>
        <w:rFonts w:hint="default"/>
      </w:rPr>
    </w:lvl>
    <w:lvl w:ilvl="5" w:tplc="CB9253E0">
      <w:numFmt w:val="bullet"/>
      <w:lvlText w:val="•"/>
      <w:lvlJc w:val="left"/>
      <w:pPr>
        <w:ind w:left="5070" w:hanging="360"/>
      </w:pPr>
      <w:rPr>
        <w:rFonts w:hint="default"/>
      </w:rPr>
    </w:lvl>
    <w:lvl w:ilvl="6" w:tplc="1E0E3EB2">
      <w:numFmt w:val="bullet"/>
      <w:lvlText w:val="•"/>
      <w:lvlJc w:val="left"/>
      <w:pPr>
        <w:ind w:left="5984" w:hanging="360"/>
      </w:pPr>
      <w:rPr>
        <w:rFonts w:hint="default"/>
      </w:rPr>
    </w:lvl>
    <w:lvl w:ilvl="7" w:tplc="8C3E9858">
      <w:numFmt w:val="bullet"/>
      <w:lvlText w:val="•"/>
      <w:lvlJc w:val="left"/>
      <w:pPr>
        <w:ind w:left="6898" w:hanging="360"/>
      </w:pPr>
      <w:rPr>
        <w:rFonts w:hint="default"/>
      </w:rPr>
    </w:lvl>
    <w:lvl w:ilvl="8" w:tplc="CFE88C02">
      <w:numFmt w:val="bullet"/>
      <w:lvlText w:val="•"/>
      <w:lvlJc w:val="left"/>
      <w:pPr>
        <w:ind w:left="7812" w:hanging="360"/>
      </w:pPr>
      <w:rPr>
        <w:rFonts w:hint="default"/>
      </w:rPr>
    </w:lvl>
  </w:abstractNum>
  <w:abstractNum w:abstractNumId="317" w15:restartNumberingAfterBreak="0">
    <w:nsid w:val="72835B4E"/>
    <w:multiLevelType w:val="multilevel"/>
    <w:tmpl w:val="28B0454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8" w15:restartNumberingAfterBreak="0">
    <w:nsid w:val="72C257BF"/>
    <w:multiLevelType w:val="hybridMultilevel"/>
    <w:tmpl w:val="0BC031AC"/>
    <w:lvl w:ilvl="0" w:tplc="9C2CD57E">
      <w:start w:val="1"/>
      <w:numFmt w:val="bullet"/>
      <w:lvlText w:val=""/>
      <w:lvlJc w:val="left"/>
      <w:pPr>
        <w:ind w:left="864" w:hanging="360"/>
      </w:pPr>
      <w:rPr>
        <w:rFonts w:ascii="Symbol" w:hAnsi="Symbol" w:hint="default"/>
        <w:sz w:val="20"/>
      </w:rPr>
    </w:lvl>
    <w:lvl w:ilvl="1" w:tplc="B248E972">
      <w:start w:val="1"/>
      <w:numFmt w:val="bullet"/>
      <w:lvlText w:val="o"/>
      <w:lvlJc w:val="left"/>
      <w:pPr>
        <w:ind w:left="1584" w:hanging="360"/>
      </w:pPr>
      <w:rPr>
        <w:rFonts w:ascii="Courier New" w:hAnsi="Courier New" w:hint="default"/>
        <w:sz w:val="20"/>
      </w:rPr>
    </w:lvl>
    <w:lvl w:ilvl="2" w:tplc="8A14AA72">
      <w:start w:val="1"/>
      <w:numFmt w:val="bullet"/>
      <w:lvlText w:val=""/>
      <w:lvlJc w:val="left"/>
      <w:pPr>
        <w:ind w:left="2304" w:hanging="360"/>
      </w:pPr>
      <w:rPr>
        <w:rFonts w:ascii="Wingdings" w:hAnsi="Wingdings" w:hint="default"/>
        <w:sz w:val="20"/>
      </w:rPr>
    </w:lvl>
    <w:lvl w:ilvl="3" w:tplc="75141DA2">
      <w:start w:val="1"/>
      <w:numFmt w:val="bullet"/>
      <w:lvlText w:val=""/>
      <w:lvlJc w:val="left"/>
      <w:pPr>
        <w:ind w:left="3024" w:hanging="360"/>
      </w:pPr>
      <w:rPr>
        <w:rFonts w:ascii="Wingdings" w:hAnsi="Wingdings" w:hint="default"/>
        <w:sz w:val="20"/>
      </w:rPr>
    </w:lvl>
    <w:lvl w:ilvl="4" w:tplc="04090003">
      <w:start w:val="1"/>
      <w:numFmt w:val="bullet"/>
      <w:lvlText w:val="o"/>
      <w:lvlJc w:val="left"/>
      <w:pPr>
        <w:ind w:left="3744" w:hanging="360"/>
      </w:pPr>
      <w:rPr>
        <w:rFonts w:ascii="Courier New" w:hAnsi="Courier New" w:hint="default"/>
      </w:rPr>
    </w:lvl>
    <w:lvl w:ilvl="5" w:tplc="75048CE4">
      <w:start w:val="1"/>
      <w:numFmt w:val="bullet"/>
      <w:lvlText w:val=""/>
      <w:lvlJc w:val="left"/>
      <w:pPr>
        <w:ind w:left="4464" w:hanging="360"/>
      </w:pPr>
      <w:rPr>
        <w:rFonts w:ascii="Wingdings" w:hAnsi="Wingdings" w:hint="default"/>
        <w:sz w:val="28"/>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9" w15:restartNumberingAfterBreak="0">
    <w:nsid w:val="72D405F2"/>
    <w:multiLevelType w:val="hybridMultilevel"/>
    <w:tmpl w:val="ABD82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15:restartNumberingAfterBreak="0">
    <w:nsid w:val="73054910"/>
    <w:multiLevelType w:val="hybridMultilevel"/>
    <w:tmpl w:val="4016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38033FC"/>
    <w:multiLevelType w:val="hybridMultilevel"/>
    <w:tmpl w:val="0A3AA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4390A55"/>
    <w:multiLevelType w:val="hybridMultilevel"/>
    <w:tmpl w:val="220807BC"/>
    <w:lvl w:ilvl="0" w:tplc="6CF464C8">
      <w:start w:val="1"/>
      <w:numFmt w:val="decimal"/>
      <w:lvlText w:val="%1."/>
      <w:lvlJc w:val="left"/>
      <w:pPr>
        <w:tabs>
          <w:tab w:val="num" w:pos="720"/>
        </w:tabs>
        <w:ind w:left="720" w:hanging="360"/>
      </w:pPr>
      <w:rPr>
        <w:b w:val="0"/>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44D7E2A"/>
    <w:multiLevelType w:val="multilevel"/>
    <w:tmpl w:val="B358E0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2"/>
      </w:rPr>
    </w:lvl>
    <w:lvl w:ilvl="3">
      <w:start w:val="1"/>
      <w:numFmt w:val="upperLetter"/>
      <w:lvlText w:val="%4."/>
      <w:lvlJc w:val="left"/>
      <w:pPr>
        <w:tabs>
          <w:tab w:val="num" w:pos="2880"/>
        </w:tabs>
        <w:ind w:left="2880" w:hanging="360"/>
      </w:pPr>
    </w:lvl>
    <w:lvl w:ilvl="4">
      <w:start w:val="1"/>
      <w:numFmt w:val="upperRoman"/>
      <w:lvlText w:val="%5."/>
      <w:lvlJc w:val="righ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5162DA5"/>
    <w:multiLevelType w:val="hybridMultilevel"/>
    <w:tmpl w:val="529C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5231A1F"/>
    <w:multiLevelType w:val="multilevel"/>
    <w:tmpl w:val="9F6C8802"/>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6" w15:restartNumberingAfterBreak="0">
    <w:nsid w:val="75417F20"/>
    <w:multiLevelType w:val="multilevel"/>
    <w:tmpl w:val="67A22EB0"/>
    <w:lvl w:ilvl="0">
      <w:start w:val="1"/>
      <w:numFmt w:val="bullet"/>
      <w:lvlText w:val="o"/>
      <w:lvlJc w:val="left"/>
      <w:pPr>
        <w:tabs>
          <w:tab w:val="num" w:pos="720"/>
        </w:tabs>
        <w:ind w:left="720" w:hanging="360"/>
      </w:pPr>
      <w:rPr>
        <w:rFonts w:ascii="Courier New" w:hAnsi="Courier New" w:hint="default"/>
        <w:color w:val="auto"/>
        <w:sz w:val="28"/>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6643E3E"/>
    <w:multiLevelType w:val="hybridMultilevel"/>
    <w:tmpl w:val="B5FE4944"/>
    <w:lvl w:ilvl="0" w:tplc="4E488484">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69A4F1E"/>
    <w:multiLevelType w:val="hybridMultilevel"/>
    <w:tmpl w:val="76EE1720"/>
    <w:lvl w:ilvl="0" w:tplc="E344451A">
      <w:start w:val="1"/>
      <w:numFmt w:val="decimal"/>
      <w:lvlText w:val="%1."/>
      <w:lvlJc w:val="left"/>
      <w:pPr>
        <w:ind w:left="840" w:hanging="360"/>
      </w:pPr>
      <w:rPr>
        <w:rFonts w:hint="default"/>
        <w:spacing w:val="-6"/>
        <w:w w:val="99"/>
      </w:rPr>
    </w:lvl>
    <w:lvl w:ilvl="1" w:tplc="94E6D0D0">
      <w:numFmt w:val="bullet"/>
      <w:lvlText w:val="•"/>
      <w:lvlJc w:val="left"/>
      <w:pPr>
        <w:ind w:left="1560" w:hanging="361"/>
      </w:pPr>
      <w:rPr>
        <w:rFonts w:hint="default"/>
        <w:w w:val="100"/>
        <w:sz w:val="24"/>
      </w:rPr>
    </w:lvl>
    <w:lvl w:ilvl="2" w:tplc="B248E972">
      <w:start w:val="1"/>
      <w:numFmt w:val="bullet"/>
      <w:lvlText w:val="o"/>
      <w:lvlJc w:val="left"/>
      <w:pPr>
        <w:ind w:left="2493" w:hanging="361"/>
      </w:pPr>
      <w:rPr>
        <w:rFonts w:ascii="Courier New" w:hAnsi="Courier New" w:hint="default"/>
        <w:sz w:val="20"/>
      </w:rPr>
    </w:lvl>
    <w:lvl w:ilvl="3" w:tplc="69B60028">
      <w:numFmt w:val="bullet"/>
      <w:lvlText w:val="•"/>
      <w:lvlJc w:val="left"/>
      <w:pPr>
        <w:ind w:left="3426" w:hanging="361"/>
      </w:pPr>
      <w:rPr>
        <w:rFonts w:hint="default"/>
      </w:rPr>
    </w:lvl>
    <w:lvl w:ilvl="4" w:tplc="6E02C79C">
      <w:numFmt w:val="bullet"/>
      <w:lvlText w:val="•"/>
      <w:lvlJc w:val="left"/>
      <w:pPr>
        <w:ind w:left="4360" w:hanging="361"/>
      </w:pPr>
      <w:rPr>
        <w:rFonts w:hint="default"/>
      </w:rPr>
    </w:lvl>
    <w:lvl w:ilvl="5" w:tplc="687CB596">
      <w:numFmt w:val="bullet"/>
      <w:lvlText w:val="•"/>
      <w:lvlJc w:val="left"/>
      <w:pPr>
        <w:ind w:left="5293" w:hanging="361"/>
      </w:pPr>
      <w:rPr>
        <w:rFonts w:hint="default"/>
      </w:rPr>
    </w:lvl>
    <w:lvl w:ilvl="6" w:tplc="C7F6BD06">
      <w:numFmt w:val="bullet"/>
      <w:lvlText w:val="•"/>
      <w:lvlJc w:val="left"/>
      <w:pPr>
        <w:ind w:left="6226" w:hanging="361"/>
      </w:pPr>
      <w:rPr>
        <w:rFonts w:hint="default"/>
      </w:rPr>
    </w:lvl>
    <w:lvl w:ilvl="7" w:tplc="10A86884">
      <w:numFmt w:val="bullet"/>
      <w:lvlText w:val="•"/>
      <w:lvlJc w:val="left"/>
      <w:pPr>
        <w:ind w:left="7160" w:hanging="361"/>
      </w:pPr>
      <w:rPr>
        <w:rFonts w:hint="default"/>
      </w:rPr>
    </w:lvl>
    <w:lvl w:ilvl="8" w:tplc="1D1032B0">
      <w:numFmt w:val="bullet"/>
      <w:lvlText w:val="•"/>
      <w:lvlJc w:val="left"/>
      <w:pPr>
        <w:ind w:left="8093" w:hanging="361"/>
      </w:pPr>
      <w:rPr>
        <w:rFonts w:hint="default"/>
      </w:rPr>
    </w:lvl>
  </w:abstractNum>
  <w:abstractNum w:abstractNumId="329" w15:restartNumberingAfterBreak="0">
    <w:nsid w:val="76E510BC"/>
    <w:multiLevelType w:val="multilevel"/>
    <w:tmpl w:val="71065D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color w:val="auto"/>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0" w15:restartNumberingAfterBreak="0">
    <w:nsid w:val="78120A11"/>
    <w:multiLevelType w:val="multilevel"/>
    <w:tmpl w:val="C8F038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78511A83"/>
    <w:multiLevelType w:val="hybridMultilevel"/>
    <w:tmpl w:val="9950F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87E5BBE"/>
    <w:multiLevelType w:val="hybridMultilevel"/>
    <w:tmpl w:val="9D36C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15:restartNumberingAfterBreak="0">
    <w:nsid w:val="78E779BE"/>
    <w:multiLevelType w:val="multilevel"/>
    <w:tmpl w:val="71182B7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9B907B1"/>
    <w:multiLevelType w:val="hybridMultilevel"/>
    <w:tmpl w:val="8678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79FB5A8B"/>
    <w:multiLevelType w:val="hybridMultilevel"/>
    <w:tmpl w:val="A700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7A2F2B93"/>
    <w:multiLevelType w:val="multilevel"/>
    <w:tmpl w:val="A5A0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B4D00E4"/>
    <w:multiLevelType w:val="multilevel"/>
    <w:tmpl w:val="AD76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7B680F45"/>
    <w:multiLevelType w:val="multilevel"/>
    <w:tmpl w:val="FC1434CC"/>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C5B0D1B"/>
    <w:multiLevelType w:val="multilevel"/>
    <w:tmpl w:val="E468FF2A"/>
    <w:lvl w:ilvl="0">
      <w:start w:val="1"/>
      <w:numFmt w:val="bullet"/>
      <w:lvlText w:val=""/>
      <w:lvlJc w:val="left"/>
      <w:pPr>
        <w:tabs>
          <w:tab w:val="num" w:pos="360"/>
        </w:tabs>
        <w:ind w:left="360" w:hanging="360"/>
      </w:pPr>
      <w:rPr>
        <w:rFonts w:ascii="Symbol" w:hAnsi="Symbol" w:hint="default"/>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0" w15:restartNumberingAfterBreak="0">
    <w:nsid w:val="7DC961A7"/>
    <w:multiLevelType w:val="hybridMultilevel"/>
    <w:tmpl w:val="03FC1286"/>
    <w:lvl w:ilvl="0" w:tplc="75048CE4">
      <w:start w:val="1"/>
      <w:numFmt w:val="bullet"/>
      <w:lvlText w:val=""/>
      <w:lvlJc w:val="left"/>
      <w:pPr>
        <w:tabs>
          <w:tab w:val="num" w:pos="720"/>
        </w:tabs>
        <w:ind w:left="720" w:hanging="360"/>
      </w:pPr>
      <w:rPr>
        <w:rFonts w:ascii="Wingdings" w:hAnsi="Wingdings" w:hint="default"/>
        <w:sz w:val="28"/>
      </w:rPr>
    </w:lvl>
    <w:lvl w:ilvl="1" w:tplc="7D1C0AB8" w:tentative="1">
      <w:start w:val="1"/>
      <w:numFmt w:val="bullet"/>
      <w:lvlText w:val="•"/>
      <w:lvlJc w:val="left"/>
      <w:pPr>
        <w:tabs>
          <w:tab w:val="num" w:pos="1440"/>
        </w:tabs>
        <w:ind w:left="1440" w:hanging="360"/>
      </w:pPr>
      <w:rPr>
        <w:rFonts w:ascii="Arial" w:hAnsi="Arial" w:hint="default"/>
      </w:rPr>
    </w:lvl>
    <w:lvl w:ilvl="2" w:tplc="B3CC0740" w:tentative="1">
      <w:start w:val="1"/>
      <w:numFmt w:val="bullet"/>
      <w:lvlText w:val="•"/>
      <w:lvlJc w:val="left"/>
      <w:pPr>
        <w:tabs>
          <w:tab w:val="num" w:pos="2160"/>
        </w:tabs>
        <w:ind w:left="2160" w:hanging="360"/>
      </w:pPr>
      <w:rPr>
        <w:rFonts w:ascii="Arial" w:hAnsi="Arial" w:hint="default"/>
      </w:rPr>
    </w:lvl>
    <w:lvl w:ilvl="3" w:tplc="5DCA785A" w:tentative="1">
      <w:start w:val="1"/>
      <w:numFmt w:val="bullet"/>
      <w:lvlText w:val="•"/>
      <w:lvlJc w:val="left"/>
      <w:pPr>
        <w:tabs>
          <w:tab w:val="num" w:pos="2880"/>
        </w:tabs>
        <w:ind w:left="2880" w:hanging="360"/>
      </w:pPr>
      <w:rPr>
        <w:rFonts w:ascii="Arial" w:hAnsi="Arial" w:hint="default"/>
      </w:rPr>
    </w:lvl>
    <w:lvl w:ilvl="4" w:tplc="7352AC06" w:tentative="1">
      <w:start w:val="1"/>
      <w:numFmt w:val="bullet"/>
      <w:lvlText w:val="•"/>
      <w:lvlJc w:val="left"/>
      <w:pPr>
        <w:tabs>
          <w:tab w:val="num" w:pos="3600"/>
        </w:tabs>
        <w:ind w:left="3600" w:hanging="360"/>
      </w:pPr>
      <w:rPr>
        <w:rFonts w:ascii="Arial" w:hAnsi="Arial" w:hint="default"/>
      </w:rPr>
    </w:lvl>
    <w:lvl w:ilvl="5" w:tplc="CFE65B94" w:tentative="1">
      <w:start w:val="1"/>
      <w:numFmt w:val="bullet"/>
      <w:lvlText w:val="•"/>
      <w:lvlJc w:val="left"/>
      <w:pPr>
        <w:tabs>
          <w:tab w:val="num" w:pos="4320"/>
        </w:tabs>
        <w:ind w:left="4320" w:hanging="360"/>
      </w:pPr>
      <w:rPr>
        <w:rFonts w:ascii="Arial" w:hAnsi="Arial" w:hint="default"/>
      </w:rPr>
    </w:lvl>
    <w:lvl w:ilvl="6" w:tplc="8EA26D50" w:tentative="1">
      <w:start w:val="1"/>
      <w:numFmt w:val="bullet"/>
      <w:lvlText w:val="•"/>
      <w:lvlJc w:val="left"/>
      <w:pPr>
        <w:tabs>
          <w:tab w:val="num" w:pos="5040"/>
        </w:tabs>
        <w:ind w:left="5040" w:hanging="360"/>
      </w:pPr>
      <w:rPr>
        <w:rFonts w:ascii="Arial" w:hAnsi="Arial" w:hint="default"/>
      </w:rPr>
    </w:lvl>
    <w:lvl w:ilvl="7" w:tplc="1A3E2BBE" w:tentative="1">
      <w:start w:val="1"/>
      <w:numFmt w:val="bullet"/>
      <w:lvlText w:val="•"/>
      <w:lvlJc w:val="left"/>
      <w:pPr>
        <w:tabs>
          <w:tab w:val="num" w:pos="5760"/>
        </w:tabs>
        <w:ind w:left="5760" w:hanging="360"/>
      </w:pPr>
      <w:rPr>
        <w:rFonts w:ascii="Arial" w:hAnsi="Arial" w:hint="default"/>
      </w:rPr>
    </w:lvl>
    <w:lvl w:ilvl="8" w:tplc="A2F2C37A" w:tentative="1">
      <w:start w:val="1"/>
      <w:numFmt w:val="bullet"/>
      <w:lvlText w:val="•"/>
      <w:lvlJc w:val="left"/>
      <w:pPr>
        <w:tabs>
          <w:tab w:val="num" w:pos="6480"/>
        </w:tabs>
        <w:ind w:left="6480" w:hanging="360"/>
      </w:pPr>
      <w:rPr>
        <w:rFonts w:ascii="Arial" w:hAnsi="Arial" w:hint="default"/>
      </w:rPr>
    </w:lvl>
  </w:abstractNum>
  <w:abstractNum w:abstractNumId="341" w15:restartNumberingAfterBreak="0">
    <w:nsid w:val="7E10768E"/>
    <w:multiLevelType w:val="multilevel"/>
    <w:tmpl w:val="CCF8C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E473EA7"/>
    <w:multiLevelType w:val="multilevel"/>
    <w:tmpl w:val="B9465F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F787125"/>
    <w:multiLevelType w:val="multilevel"/>
    <w:tmpl w:val="BD6ED5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05689529">
    <w:abstractNumId w:val="11"/>
  </w:num>
  <w:num w:numId="2" w16cid:durableId="516191073">
    <w:abstractNumId w:val="56"/>
  </w:num>
  <w:num w:numId="3" w16cid:durableId="281378078">
    <w:abstractNumId w:val="136"/>
  </w:num>
  <w:num w:numId="4" w16cid:durableId="1674256321">
    <w:abstractNumId w:val="68"/>
  </w:num>
  <w:num w:numId="5" w16cid:durableId="1984384665">
    <w:abstractNumId w:val="183"/>
  </w:num>
  <w:num w:numId="6" w16cid:durableId="1773547787">
    <w:abstractNumId w:val="189"/>
  </w:num>
  <w:num w:numId="7" w16cid:durableId="181013804">
    <w:abstractNumId w:val="16"/>
  </w:num>
  <w:num w:numId="8" w16cid:durableId="1853913406">
    <w:abstractNumId w:val="51"/>
  </w:num>
  <w:num w:numId="9" w16cid:durableId="1812793073">
    <w:abstractNumId w:val="222"/>
  </w:num>
  <w:num w:numId="10" w16cid:durableId="11029797">
    <w:abstractNumId w:val="191"/>
  </w:num>
  <w:num w:numId="11" w16cid:durableId="1109619352">
    <w:abstractNumId w:val="31"/>
  </w:num>
  <w:num w:numId="12" w16cid:durableId="2707963">
    <w:abstractNumId w:val="6"/>
  </w:num>
  <w:num w:numId="13" w16cid:durableId="1681464399">
    <w:abstractNumId w:val="42"/>
  </w:num>
  <w:num w:numId="14" w16cid:durableId="1129591034">
    <w:abstractNumId w:val="88"/>
  </w:num>
  <w:num w:numId="15" w16cid:durableId="369452090">
    <w:abstractNumId w:val="228"/>
  </w:num>
  <w:num w:numId="16" w16cid:durableId="765075994">
    <w:abstractNumId w:val="135"/>
  </w:num>
  <w:num w:numId="17" w16cid:durableId="227612601">
    <w:abstractNumId w:val="104"/>
  </w:num>
  <w:num w:numId="18" w16cid:durableId="527062244">
    <w:abstractNumId w:val="14"/>
  </w:num>
  <w:num w:numId="19" w16cid:durableId="1427844195">
    <w:abstractNumId w:val="57"/>
  </w:num>
  <w:num w:numId="20" w16cid:durableId="1175805267">
    <w:abstractNumId w:val="7"/>
  </w:num>
  <w:num w:numId="21" w16cid:durableId="611326276">
    <w:abstractNumId w:val="132"/>
  </w:num>
  <w:num w:numId="22" w16cid:durableId="1971007228">
    <w:abstractNumId w:val="37"/>
  </w:num>
  <w:num w:numId="23" w16cid:durableId="1363894797">
    <w:abstractNumId w:val="53"/>
  </w:num>
  <w:num w:numId="24" w16cid:durableId="589046629">
    <w:abstractNumId w:val="188"/>
  </w:num>
  <w:num w:numId="25" w16cid:durableId="967202786">
    <w:abstractNumId w:val="287"/>
  </w:num>
  <w:num w:numId="26" w16cid:durableId="849370934">
    <w:abstractNumId w:val="255"/>
  </w:num>
  <w:num w:numId="27" w16cid:durableId="1186560816">
    <w:abstractNumId w:val="239"/>
  </w:num>
  <w:num w:numId="28" w16cid:durableId="969899182">
    <w:abstractNumId w:val="147"/>
  </w:num>
  <w:num w:numId="29" w16cid:durableId="456221563">
    <w:abstractNumId w:val="83"/>
  </w:num>
  <w:num w:numId="30" w16cid:durableId="1309243176">
    <w:abstractNumId w:val="203"/>
  </w:num>
  <w:num w:numId="31" w16cid:durableId="1399088278">
    <w:abstractNumId w:val="190"/>
  </w:num>
  <w:num w:numId="32" w16cid:durableId="1652706975">
    <w:abstractNumId w:val="184"/>
  </w:num>
  <w:num w:numId="33" w16cid:durableId="169410574">
    <w:abstractNumId w:val="298"/>
  </w:num>
  <w:num w:numId="34" w16cid:durableId="151215797">
    <w:abstractNumId w:val="134"/>
  </w:num>
  <w:num w:numId="35" w16cid:durableId="1448160922">
    <w:abstractNumId w:val="230"/>
  </w:num>
  <w:num w:numId="36" w16cid:durableId="1216312741">
    <w:abstractNumId w:val="163"/>
  </w:num>
  <w:num w:numId="37" w16cid:durableId="1798184752">
    <w:abstractNumId w:val="64"/>
  </w:num>
  <w:num w:numId="38" w16cid:durableId="452020910">
    <w:abstractNumId w:val="341"/>
  </w:num>
  <w:num w:numId="39" w16cid:durableId="462427095">
    <w:abstractNumId w:val="107"/>
  </w:num>
  <w:num w:numId="40" w16cid:durableId="1191602323">
    <w:abstractNumId w:val="283"/>
  </w:num>
  <w:num w:numId="41" w16cid:durableId="2030789854">
    <w:abstractNumId w:val="195"/>
  </w:num>
  <w:num w:numId="42" w16cid:durableId="790131188">
    <w:abstractNumId w:val="286"/>
  </w:num>
  <w:num w:numId="43" w16cid:durableId="307822838">
    <w:abstractNumId w:val="269"/>
  </w:num>
  <w:num w:numId="44" w16cid:durableId="1893350014">
    <w:abstractNumId w:val="249"/>
  </w:num>
  <w:num w:numId="45" w16cid:durableId="1228757776">
    <w:abstractNumId w:val="161"/>
  </w:num>
  <w:num w:numId="46" w16cid:durableId="1417940710">
    <w:abstractNumId w:val="221"/>
  </w:num>
  <w:num w:numId="47" w16cid:durableId="2102330125">
    <w:abstractNumId w:val="186"/>
  </w:num>
  <w:num w:numId="48" w16cid:durableId="681200328">
    <w:abstractNumId w:val="176"/>
  </w:num>
  <w:num w:numId="49" w16cid:durableId="1171140931">
    <w:abstractNumId w:val="342"/>
  </w:num>
  <w:num w:numId="50" w16cid:durableId="1202327656">
    <w:abstractNumId w:val="25"/>
  </w:num>
  <w:num w:numId="51" w16cid:durableId="1967851953">
    <w:abstractNumId w:val="142"/>
  </w:num>
  <w:num w:numId="52" w16cid:durableId="341392878">
    <w:abstractNumId w:val="103"/>
  </w:num>
  <w:num w:numId="53" w16cid:durableId="880824590">
    <w:abstractNumId w:val="85"/>
  </w:num>
  <w:num w:numId="54" w16cid:durableId="696397172">
    <w:abstractNumId w:val="247"/>
  </w:num>
  <w:num w:numId="55" w16cid:durableId="600993459">
    <w:abstractNumId w:val="227"/>
  </w:num>
  <w:num w:numId="56" w16cid:durableId="1414425858">
    <w:abstractNumId w:val="285"/>
  </w:num>
  <w:num w:numId="57" w16cid:durableId="1861973019">
    <w:abstractNumId w:val="75"/>
  </w:num>
  <w:num w:numId="58" w16cid:durableId="1182739345">
    <w:abstractNumId w:val="162"/>
  </w:num>
  <w:num w:numId="59" w16cid:durableId="393358082">
    <w:abstractNumId w:val="274"/>
  </w:num>
  <w:num w:numId="60" w16cid:durableId="2060668501">
    <w:abstractNumId w:val="175"/>
  </w:num>
  <w:num w:numId="61" w16cid:durableId="742803214">
    <w:abstractNumId w:val="157"/>
  </w:num>
  <w:num w:numId="62" w16cid:durableId="1141389734">
    <w:abstractNumId w:val="343"/>
  </w:num>
  <w:num w:numId="63" w16cid:durableId="154731119">
    <w:abstractNumId w:val="267"/>
  </w:num>
  <w:num w:numId="64" w16cid:durableId="1580287499">
    <w:abstractNumId w:val="214"/>
  </w:num>
  <w:num w:numId="65" w16cid:durableId="1806317197">
    <w:abstractNumId w:val="165"/>
  </w:num>
  <w:num w:numId="66" w16cid:durableId="955066198">
    <w:abstractNumId w:val="116"/>
  </w:num>
  <w:num w:numId="67" w16cid:durableId="957494694">
    <w:abstractNumId w:val="155"/>
  </w:num>
  <w:num w:numId="68" w16cid:durableId="1927035069">
    <w:abstractNumId w:val="234"/>
  </w:num>
  <w:num w:numId="69" w16cid:durableId="2124954962">
    <w:abstractNumId w:val="121"/>
  </w:num>
  <w:num w:numId="70" w16cid:durableId="108211166">
    <w:abstractNumId w:val="196"/>
  </w:num>
  <w:num w:numId="71" w16cid:durableId="2035963265">
    <w:abstractNumId w:val="330"/>
  </w:num>
  <w:num w:numId="72" w16cid:durableId="352464644">
    <w:abstractNumId w:val="273"/>
  </w:num>
  <w:num w:numId="73" w16cid:durableId="132213254">
    <w:abstractNumId w:val="200"/>
  </w:num>
  <w:num w:numId="74" w16cid:durableId="393898011">
    <w:abstractNumId w:val="265"/>
  </w:num>
  <w:num w:numId="75" w16cid:durableId="1968967148">
    <w:abstractNumId w:val="317"/>
  </w:num>
  <w:num w:numId="76" w16cid:durableId="410155662">
    <w:abstractNumId w:val="84"/>
  </w:num>
  <w:num w:numId="77" w16cid:durableId="174150378">
    <w:abstractNumId w:val="119"/>
  </w:num>
  <w:num w:numId="78" w16cid:durableId="800195659">
    <w:abstractNumId w:val="217"/>
  </w:num>
  <w:num w:numId="79" w16cid:durableId="481389930">
    <w:abstractNumId w:val="226"/>
  </w:num>
  <w:num w:numId="80" w16cid:durableId="1838763086">
    <w:abstractNumId w:val="168"/>
  </w:num>
  <w:num w:numId="81" w16cid:durableId="1539120954">
    <w:abstractNumId w:val="260"/>
  </w:num>
  <w:num w:numId="82" w16cid:durableId="1377925896">
    <w:abstractNumId w:val="207"/>
  </w:num>
  <w:num w:numId="83" w16cid:durableId="1906334474">
    <w:abstractNumId w:val="109"/>
  </w:num>
  <w:num w:numId="84" w16cid:durableId="1336961311">
    <w:abstractNumId w:val="44"/>
  </w:num>
  <w:num w:numId="85" w16cid:durableId="718553097">
    <w:abstractNumId w:val="236"/>
  </w:num>
  <w:num w:numId="86" w16cid:durableId="337318271">
    <w:abstractNumId w:val="71"/>
  </w:num>
  <w:num w:numId="87" w16cid:durableId="1716082952">
    <w:abstractNumId w:val="17"/>
  </w:num>
  <w:num w:numId="88" w16cid:durableId="1862354804">
    <w:abstractNumId w:val="66"/>
  </w:num>
  <w:num w:numId="89" w16cid:durableId="748238166">
    <w:abstractNumId w:val="235"/>
  </w:num>
  <w:num w:numId="90" w16cid:durableId="345597375">
    <w:abstractNumId w:val="259"/>
  </w:num>
  <w:num w:numId="91" w16cid:durableId="895972160">
    <w:abstractNumId w:val="65"/>
  </w:num>
  <w:num w:numId="92" w16cid:durableId="455296435">
    <w:abstractNumId w:val="312"/>
  </w:num>
  <w:num w:numId="93" w16cid:durableId="59181471">
    <w:abstractNumId w:val="332"/>
  </w:num>
  <w:num w:numId="94" w16cid:durableId="1854419203">
    <w:abstractNumId w:val="310"/>
  </w:num>
  <w:num w:numId="95" w16cid:durableId="2104839713">
    <w:abstractNumId w:val="237"/>
  </w:num>
  <w:num w:numId="96" w16cid:durableId="1360356537">
    <w:abstractNumId w:val="120"/>
  </w:num>
  <w:num w:numId="97" w16cid:durableId="543521095">
    <w:abstractNumId w:val="69"/>
  </w:num>
  <w:num w:numId="98" w16cid:durableId="1631475528">
    <w:abstractNumId w:val="279"/>
  </w:num>
  <w:num w:numId="99" w16cid:durableId="207231455">
    <w:abstractNumId w:val="171"/>
  </w:num>
  <w:num w:numId="100" w16cid:durableId="1330597055">
    <w:abstractNumId w:val="289"/>
  </w:num>
  <w:num w:numId="101" w16cid:durableId="1156260146">
    <w:abstractNumId w:val="20"/>
  </w:num>
  <w:num w:numId="102" w16cid:durableId="775249038">
    <w:abstractNumId w:val="32"/>
  </w:num>
  <w:num w:numId="103" w16cid:durableId="665783213">
    <w:abstractNumId w:val="166"/>
  </w:num>
  <w:num w:numId="104" w16cid:durableId="500314981">
    <w:abstractNumId w:val="304"/>
  </w:num>
  <w:num w:numId="105" w16cid:durableId="1711106616">
    <w:abstractNumId w:val="29"/>
  </w:num>
  <w:num w:numId="106" w16cid:durableId="1515723957">
    <w:abstractNumId w:val="311"/>
  </w:num>
  <w:num w:numId="107" w16cid:durableId="584344508">
    <w:abstractNumId w:val="261"/>
  </w:num>
  <w:num w:numId="108" w16cid:durableId="1557206104">
    <w:abstractNumId w:val="23"/>
  </w:num>
  <w:num w:numId="109" w16cid:durableId="1529217554">
    <w:abstractNumId w:val="99"/>
  </w:num>
  <w:num w:numId="110" w16cid:durableId="1110276657">
    <w:abstractNumId w:val="138"/>
  </w:num>
  <w:num w:numId="111" w16cid:durableId="2002151287">
    <w:abstractNumId w:val="246"/>
  </w:num>
  <w:num w:numId="112" w16cid:durableId="1705712309">
    <w:abstractNumId w:val="218"/>
  </w:num>
  <w:num w:numId="113" w16cid:durableId="1456870426">
    <w:abstractNumId w:val="319"/>
  </w:num>
  <w:num w:numId="114" w16cid:durableId="1629891035">
    <w:abstractNumId w:val="295"/>
  </w:num>
  <w:num w:numId="115" w16cid:durableId="736323421">
    <w:abstractNumId w:val="3"/>
  </w:num>
  <w:num w:numId="116" w16cid:durableId="1725719000">
    <w:abstractNumId w:val="334"/>
  </w:num>
  <w:num w:numId="117" w16cid:durableId="114952580">
    <w:abstractNumId w:val="308"/>
  </w:num>
  <w:num w:numId="118" w16cid:durableId="1472940135">
    <w:abstractNumId w:val="41"/>
  </w:num>
  <w:num w:numId="119" w16cid:durableId="1422028119">
    <w:abstractNumId w:val="242"/>
  </w:num>
  <w:num w:numId="120" w16cid:durableId="1526626829">
    <w:abstractNumId w:val="257"/>
  </w:num>
  <w:num w:numId="121" w16cid:durableId="936017654">
    <w:abstractNumId w:val="185"/>
  </w:num>
  <w:num w:numId="122" w16cid:durableId="306131971">
    <w:abstractNumId w:val="333"/>
  </w:num>
  <w:num w:numId="123" w16cid:durableId="1555770298">
    <w:abstractNumId w:val="198"/>
  </w:num>
  <w:num w:numId="124" w16cid:durableId="1366978871">
    <w:abstractNumId w:val="224"/>
  </w:num>
  <w:num w:numId="125" w16cid:durableId="134611089">
    <w:abstractNumId w:val="216"/>
  </w:num>
  <w:num w:numId="126" w16cid:durableId="1323924988">
    <w:abstractNumId w:val="313"/>
  </w:num>
  <w:num w:numId="127" w16cid:durableId="392775488">
    <w:abstractNumId w:val="282"/>
  </w:num>
  <w:num w:numId="128" w16cid:durableId="213857522">
    <w:abstractNumId w:val="127"/>
  </w:num>
  <w:num w:numId="129" w16cid:durableId="1793668786">
    <w:abstractNumId w:val="123"/>
  </w:num>
  <w:num w:numId="130" w16cid:durableId="1370910666">
    <w:abstractNumId w:val="1"/>
  </w:num>
  <w:num w:numId="131" w16cid:durableId="1758987997">
    <w:abstractNumId w:val="9"/>
  </w:num>
  <w:num w:numId="132" w16cid:durableId="1723558167">
    <w:abstractNumId w:val="62"/>
  </w:num>
  <w:num w:numId="133" w16cid:durableId="172182636">
    <w:abstractNumId w:val="36"/>
  </w:num>
  <w:num w:numId="134" w16cid:durableId="199711240">
    <w:abstractNumId w:val="86"/>
  </w:num>
  <w:num w:numId="135" w16cid:durableId="186482586">
    <w:abstractNumId w:val="39"/>
  </w:num>
  <w:num w:numId="136" w16cid:durableId="852181880">
    <w:abstractNumId w:val="28"/>
  </w:num>
  <w:num w:numId="137" w16cid:durableId="808936321">
    <w:abstractNumId w:val="324"/>
  </w:num>
  <w:num w:numId="138" w16cid:durableId="446850771">
    <w:abstractNumId w:val="115"/>
  </w:num>
  <w:num w:numId="139" w16cid:durableId="745616490">
    <w:abstractNumId w:val="215"/>
  </w:num>
  <w:num w:numId="140" w16cid:durableId="789737228">
    <w:abstractNumId w:val="322"/>
  </w:num>
  <w:num w:numId="141" w16cid:durableId="483275598">
    <w:abstractNumId w:val="33"/>
  </w:num>
  <w:num w:numId="142" w16cid:durableId="2017683134">
    <w:abstractNumId w:val="182"/>
  </w:num>
  <w:num w:numId="143" w16cid:durableId="733429711">
    <w:abstractNumId w:val="89"/>
  </w:num>
  <w:num w:numId="144" w16cid:durableId="164824853">
    <w:abstractNumId w:val="335"/>
  </w:num>
  <w:num w:numId="145" w16cid:durableId="192965813">
    <w:abstractNumId w:val="105"/>
  </w:num>
  <w:num w:numId="146" w16cid:durableId="640430465">
    <w:abstractNumId w:val="276"/>
  </w:num>
  <w:num w:numId="147" w16cid:durableId="605426844">
    <w:abstractNumId w:val="292"/>
  </w:num>
  <w:num w:numId="148" w16cid:durableId="1376078925">
    <w:abstractNumId w:val="133"/>
  </w:num>
  <w:num w:numId="149" w16cid:durableId="1112675786">
    <w:abstractNumId w:val="331"/>
  </w:num>
  <w:num w:numId="150" w16cid:durableId="181819313">
    <w:abstractNumId w:val="152"/>
  </w:num>
  <w:num w:numId="151" w16cid:durableId="887648409">
    <w:abstractNumId w:val="87"/>
  </w:num>
  <w:num w:numId="152" w16cid:durableId="444427374">
    <w:abstractNumId w:val="47"/>
  </w:num>
  <w:num w:numId="153" w16cid:durableId="1052343979">
    <w:abstractNumId w:val="232"/>
  </w:num>
  <w:num w:numId="154" w16cid:durableId="515730694">
    <w:abstractNumId w:val="80"/>
  </w:num>
  <w:num w:numId="155" w16cid:durableId="1501121546">
    <w:abstractNumId w:val="130"/>
  </w:num>
  <w:num w:numId="156" w16cid:durableId="1790082314">
    <w:abstractNumId w:val="178"/>
  </w:num>
  <w:num w:numId="157" w16cid:durableId="123474899">
    <w:abstractNumId w:val="93"/>
  </w:num>
  <w:num w:numId="158" w16cid:durableId="338587488">
    <w:abstractNumId w:val="101"/>
  </w:num>
  <w:num w:numId="159" w16cid:durableId="330065239">
    <w:abstractNumId w:val="300"/>
  </w:num>
  <w:num w:numId="160" w16cid:durableId="373846870">
    <w:abstractNumId w:val="212"/>
  </w:num>
  <w:num w:numId="161" w16cid:durableId="1122844918">
    <w:abstractNumId w:val="124"/>
  </w:num>
  <w:num w:numId="162" w16cid:durableId="1854684450">
    <w:abstractNumId w:val="277"/>
  </w:num>
  <w:num w:numId="163" w16cid:durableId="843858793">
    <w:abstractNumId w:val="177"/>
  </w:num>
  <w:num w:numId="164" w16cid:durableId="751392715">
    <w:abstractNumId w:val="78"/>
  </w:num>
  <w:num w:numId="165" w16cid:durableId="913315397">
    <w:abstractNumId w:val="248"/>
  </w:num>
  <w:num w:numId="166" w16cid:durableId="1111628990">
    <w:abstractNumId w:val="210"/>
  </w:num>
  <w:num w:numId="167" w16cid:durableId="1957254217">
    <w:abstractNumId w:val="213"/>
  </w:num>
  <w:num w:numId="168" w16cid:durableId="1319726151">
    <w:abstractNumId w:val="30"/>
  </w:num>
  <w:num w:numId="169" w16cid:durableId="1254315302">
    <w:abstractNumId w:val="291"/>
  </w:num>
  <w:num w:numId="170" w16cid:durableId="1847938758">
    <w:abstractNumId w:val="26"/>
  </w:num>
  <w:num w:numId="171" w16cid:durableId="43910967">
    <w:abstractNumId w:val="225"/>
  </w:num>
  <w:num w:numId="172" w16cid:durableId="1132018176">
    <w:abstractNumId w:val="197"/>
  </w:num>
  <w:num w:numId="173" w16cid:durableId="1097025470">
    <w:abstractNumId w:val="327"/>
  </w:num>
  <w:num w:numId="174" w16cid:durableId="955067329">
    <w:abstractNumId w:val="307"/>
  </w:num>
  <w:num w:numId="175" w16cid:durableId="1444421203">
    <w:abstractNumId w:val="81"/>
  </w:num>
  <w:num w:numId="176" w16cid:durableId="1263225369">
    <w:abstractNumId w:val="254"/>
  </w:num>
  <w:num w:numId="177" w16cid:durableId="1702585278">
    <w:abstractNumId w:val="231"/>
  </w:num>
  <w:num w:numId="178" w16cid:durableId="1691712491">
    <w:abstractNumId w:val="79"/>
  </w:num>
  <w:num w:numId="179" w16cid:durableId="166362880">
    <w:abstractNumId w:val="159"/>
  </w:num>
  <w:num w:numId="180" w16cid:durableId="713698284">
    <w:abstractNumId w:val="112"/>
  </w:num>
  <w:num w:numId="181" w16cid:durableId="1053118061">
    <w:abstractNumId w:val="303"/>
  </w:num>
  <w:num w:numId="182" w16cid:durableId="1202474524">
    <w:abstractNumId w:val="61"/>
  </w:num>
  <w:num w:numId="183" w16cid:durableId="510797338">
    <w:abstractNumId w:val="151"/>
  </w:num>
  <w:num w:numId="184" w16cid:durableId="961302535">
    <w:abstractNumId w:val="281"/>
  </w:num>
  <w:num w:numId="185" w16cid:durableId="225343219">
    <w:abstractNumId w:val="22"/>
  </w:num>
  <w:num w:numId="186" w16cid:durableId="1661275789">
    <w:abstractNumId w:val="95"/>
  </w:num>
  <w:num w:numId="187" w16cid:durableId="440074377">
    <w:abstractNumId w:val="320"/>
  </w:num>
  <w:num w:numId="188" w16cid:durableId="1157497788">
    <w:abstractNumId w:val="144"/>
  </w:num>
  <w:num w:numId="189" w16cid:durableId="1349796541">
    <w:abstractNumId w:val="153"/>
  </w:num>
  <w:num w:numId="190" w16cid:durableId="1860925156">
    <w:abstractNumId w:val="77"/>
  </w:num>
  <w:num w:numId="191" w16cid:durableId="687365877">
    <w:abstractNumId w:val="145"/>
  </w:num>
  <w:num w:numId="192" w16cid:durableId="228541137">
    <w:abstractNumId w:val="294"/>
  </w:num>
  <w:num w:numId="193" w16cid:durableId="1130056320">
    <w:abstractNumId w:val="118"/>
  </w:num>
  <w:num w:numId="194" w16cid:durableId="1433087546">
    <w:abstractNumId w:val="90"/>
  </w:num>
  <w:num w:numId="195" w16cid:durableId="903220102">
    <w:abstractNumId w:val="280"/>
  </w:num>
  <w:num w:numId="196" w16cid:durableId="2081441779">
    <w:abstractNumId w:val="76"/>
  </w:num>
  <w:num w:numId="197" w16cid:durableId="1860510044">
    <w:abstractNumId w:val="70"/>
  </w:num>
  <w:num w:numId="198" w16cid:durableId="932203816">
    <w:abstractNumId w:val="21"/>
  </w:num>
  <w:num w:numId="199" w16cid:durableId="2078476697">
    <w:abstractNumId w:val="179"/>
  </w:num>
  <w:num w:numId="200" w16cid:durableId="867716284">
    <w:abstractNumId w:val="173"/>
  </w:num>
  <w:num w:numId="201" w16cid:durableId="1406339338">
    <w:abstractNumId w:val="278"/>
  </w:num>
  <w:num w:numId="202" w16cid:durableId="1563054572">
    <w:abstractNumId w:val="38"/>
  </w:num>
  <w:num w:numId="203" w16cid:durableId="825971855">
    <w:abstractNumId w:val="251"/>
  </w:num>
  <w:num w:numId="204" w16cid:durableId="1709837488">
    <w:abstractNumId w:val="223"/>
  </w:num>
  <w:num w:numId="205" w16cid:durableId="2127504686">
    <w:abstractNumId w:val="256"/>
  </w:num>
  <w:num w:numId="206" w16cid:durableId="1990284087">
    <w:abstractNumId w:val="106"/>
  </w:num>
  <w:num w:numId="207" w16cid:durableId="43605456">
    <w:abstractNumId w:val="59"/>
  </w:num>
  <w:num w:numId="208" w16cid:durableId="2113435197">
    <w:abstractNumId w:val="102"/>
  </w:num>
  <w:num w:numId="209" w16cid:durableId="1594128476">
    <w:abstractNumId w:val="284"/>
  </w:num>
  <w:num w:numId="210" w16cid:durableId="451747991">
    <w:abstractNumId w:val="201"/>
  </w:num>
  <w:num w:numId="211" w16cid:durableId="1234973152">
    <w:abstractNumId w:val="336"/>
  </w:num>
  <w:num w:numId="212" w16cid:durableId="1172716905">
    <w:abstractNumId w:val="19"/>
  </w:num>
  <w:num w:numId="213" w16cid:durableId="1630236780">
    <w:abstractNumId w:val="60"/>
  </w:num>
  <w:num w:numId="214" w16cid:durableId="1113091807">
    <w:abstractNumId w:val="328"/>
  </w:num>
  <w:num w:numId="215" w16cid:durableId="818612174">
    <w:abstractNumId w:val="229"/>
  </w:num>
  <w:num w:numId="216" w16cid:durableId="1652908217">
    <w:abstractNumId w:val="194"/>
  </w:num>
  <w:num w:numId="217" w16cid:durableId="28998346">
    <w:abstractNumId w:val="187"/>
  </w:num>
  <w:num w:numId="218" w16cid:durableId="1194222573">
    <w:abstractNumId w:val="117"/>
  </w:num>
  <w:num w:numId="219" w16cid:durableId="884297679">
    <w:abstractNumId w:val="141"/>
  </w:num>
  <w:num w:numId="220" w16cid:durableId="145899907">
    <w:abstractNumId w:val="12"/>
  </w:num>
  <w:num w:numId="221" w16cid:durableId="342513248">
    <w:abstractNumId w:val="316"/>
  </w:num>
  <w:num w:numId="222" w16cid:durableId="1436710382">
    <w:abstractNumId w:val="270"/>
  </w:num>
  <w:num w:numId="223" w16cid:durableId="533467919">
    <w:abstractNumId w:val="74"/>
  </w:num>
  <w:num w:numId="224" w16cid:durableId="270822005">
    <w:abstractNumId w:val="97"/>
  </w:num>
  <w:num w:numId="225" w16cid:durableId="5794122">
    <w:abstractNumId w:val="258"/>
  </w:num>
  <w:num w:numId="226" w16cid:durableId="698698842">
    <w:abstractNumId w:val="110"/>
  </w:num>
  <w:num w:numId="227" w16cid:durableId="1573464367">
    <w:abstractNumId w:val="206"/>
  </w:num>
  <w:num w:numId="228" w16cid:durableId="1110003696">
    <w:abstractNumId w:val="54"/>
  </w:num>
  <w:num w:numId="229" w16cid:durableId="188875191">
    <w:abstractNumId w:val="143"/>
  </w:num>
  <w:num w:numId="230" w16cid:durableId="831486414">
    <w:abstractNumId w:val="4"/>
  </w:num>
  <w:num w:numId="231" w16cid:durableId="2089616727">
    <w:abstractNumId w:val="238"/>
  </w:num>
  <w:num w:numId="232" w16cid:durableId="1840735864">
    <w:abstractNumId w:val="35"/>
  </w:num>
  <w:num w:numId="233" w16cid:durableId="693657093">
    <w:abstractNumId w:val="149"/>
  </w:num>
  <w:num w:numId="234" w16cid:durableId="2123919151">
    <w:abstractNumId w:val="170"/>
  </w:num>
  <w:num w:numId="235" w16cid:durableId="878786202">
    <w:abstractNumId w:val="199"/>
  </w:num>
  <w:num w:numId="236" w16cid:durableId="857697453">
    <w:abstractNumId w:val="156"/>
  </w:num>
  <w:num w:numId="237" w16cid:durableId="1089153127">
    <w:abstractNumId w:val="113"/>
  </w:num>
  <w:num w:numId="238" w16cid:durableId="1153330098">
    <w:abstractNumId w:val="211"/>
  </w:num>
  <w:num w:numId="239" w16cid:durableId="1629624718">
    <w:abstractNumId w:val="272"/>
  </w:num>
  <w:num w:numId="240" w16cid:durableId="653754236">
    <w:abstractNumId w:val="297"/>
  </w:num>
  <w:num w:numId="241" w16cid:durableId="1084031793">
    <w:abstractNumId w:val="301"/>
  </w:num>
  <w:num w:numId="242" w16cid:durableId="1555896377">
    <w:abstractNumId w:val="193"/>
  </w:num>
  <w:num w:numId="243" w16cid:durableId="2047175085">
    <w:abstractNumId w:val="167"/>
  </w:num>
  <w:num w:numId="244" w16cid:durableId="729498774">
    <w:abstractNumId w:val="339"/>
  </w:num>
  <w:num w:numId="245" w16cid:durableId="2100905385">
    <w:abstractNumId w:val="72"/>
  </w:num>
  <w:num w:numId="246" w16cid:durableId="1743016913">
    <w:abstractNumId w:val="15"/>
  </w:num>
  <w:num w:numId="247" w16cid:durableId="1076897846">
    <w:abstractNumId w:val="91"/>
  </w:num>
  <w:num w:numId="248" w16cid:durableId="1935283090">
    <w:abstractNumId w:val="205"/>
  </w:num>
  <w:num w:numId="249" w16cid:durableId="705373864">
    <w:abstractNumId w:val="305"/>
  </w:num>
  <w:num w:numId="250" w16cid:durableId="1891108661">
    <w:abstractNumId w:val="209"/>
  </w:num>
  <w:num w:numId="251" w16cid:durableId="1751998685">
    <w:abstractNumId w:val="325"/>
  </w:num>
  <w:num w:numId="252" w16cid:durableId="81413421">
    <w:abstractNumId w:val="181"/>
  </w:num>
  <w:num w:numId="253" w16cid:durableId="1878002143">
    <w:abstractNumId w:val="174"/>
  </w:num>
  <w:num w:numId="254" w16cid:durableId="1800144460">
    <w:abstractNumId w:val="192"/>
  </w:num>
  <w:num w:numId="255" w16cid:durableId="1954238891">
    <w:abstractNumId w:val="67"/>
  </w:num>
  <w:num w:numId="256" w16cid:durableId="1059011996">
    <w:abstractNumId w:val="340"/>
  </w:num>
  <w:num w:numId="257" w16cid:durableId="324863854">
    <w:abstractNumId w:val="0"/>
  </w:num>
  <w:num w:numId="258" w16cid:durableId="386029149">
    <w:abstractNumId w:val="262"/>
  </w:num>
  <w:num w:numId="259" w16cid:durableId="1000350696">
    <w:abstractNumId w:val="82"/>
  </w:num>
  <w:num w:numId="260" w16cid:durableId="936713886">
    <w:abstractNumId w:val="146"/>
  </w:num>
  <w:num w:numId="261" w16cid:durableId="2014448021">
    <w:abstractNumId w:val="243"/>
  </w:num>
  <w:num w:numId="262" w16cid:durableId="1542395956">
    <w:abstractNumId w:val="220"/>
  </w:num>
  <w:num w:numId="263" w16cid:durableId="1473208147">
    <w:abstractNumId w:val="326"/>
  </w:num>
  <w:num w:numId="264" w16cid:durableId="964120669">
    <w:abstractNumId w:val="158"/>
  </w:num>
  <w:num w:numId="265" w16cid:durableId="348264901">
    <w:abstractNumId w:val="137"/>
  </w:num>
  <w:num w:numId="266" w16cid:durableId="687173399">
    <w:abstractNumId w:val="50"/>
  </w:num>
  <w:num w:numId="267" w16cid:durableId="1262105768">
    <w:abstractNumId w:val="18"/>
  </w:num>
  <w:num w:numId="268" w16cid:durableId="1277755890">
    <w:abstractNumId w:val="13"/>
  </w:num>
  <w:num w:numId="269" w16cid:durableId="1021857393">
    <w:abstractNumId w:val="172"/>
  </w:num>
  <w:num w:numId="270" w16cid:durableId="1787314226">
    <w:abstractNumId w:val="338"/>
  </w:num>
  <w:num w:numId="271" w16cid:durableId="282810088">
    <w:abstractNumId w:val="150"/>
  </w:num>
  <w:num w:numId="272" w16cid:durableId="1806194601">
    <w:abstractNumId w:val="5"/>
  </w:num>
  <w:num w:numId="273" w16cid:durableId="752316757">
    <w:abstractNumId w:val="233"/>
  </w:num>
  <w:num w:numId="274" w16cid:durableId="790129555">
    <w:abstractNumId w:val="321"/>
  </w:num>
  <w:num w:numId="275" w16cid:durableId="868105636">
    <w:abstractNumId w:val="263"/>
  </w:num>
  <w:num w:numId="276" w16cid:durableId="1298604228">
    <w:abstractNumId w:val="315"/>
  </w:num>
  <w:num w:numId="277" w16cid:durableId="1755204186">
    <w:abstractNumId w:val="302"/>
  </w:num>
  <w:num w:numId="278" w16cid:durableId="802575144">
    <w:abstractNumId w:val="40"/>
  </w:num>
  <w:num w:numId="279" w16cid:durableId="1540242371">
    <w:abstractNumId w:val="129"/>
  </w:num>
  <w:num w:numId="280" w16cid:durableId="1845246205">
    <w:abstractNumId w:val="108"/>
  </w:num>
  <w:num w:numId="281" w16cid:durableId="967734992">
    <w:abstractNumId w:val="128"/>
  </w:num>
  <w:num w:numId="282" w16cid:durableId="732235586">
    <w:abstractNumId w:val="125"/>
  </w:num>
  <w:num w:numId="283" w16cid:durableId="504172919">
    <w:abstractNumId w:val="10"/>
  </w:num>
  <w:num w:numId="284" w16cid:durableId="1999117903">
    <w:abstractNumId w:val="34"/>
  </w:num>
  <w:num w:numId="285" w16cid:durableId="958797990">
    <w:abstractNumId w:val="2"/>
  </w:num>
  <w:num w:numId="286" w16cid:durableId="757598633">
    <w:abstractNumId w:val="55"/>
  </w:num>
  <w:num w:numId="287" w16cid:durableId="161048242">
    <w:abstractNumId w:val="309"/>
  </w:num>
  <w:num w:numId="288" w16cid:durableId="378018504">
    <w:abstractNumId w:val="63"/>
  </w:num>
  <w:num w:numId="289" w16cid:durableId="1310553116">
    <w:abstractNumId w:val="271"/>
  </w:num>
  <w:num w:numId="290" w16cid:durableId="1945573957">
    <w:abstractNumId w:val="114"/>
  </w:num>
  <w:num w:numId="291" w16cid:durableId="1924684220">
    <w:abstractNumId w:val="73"/>
  </w:num>
  <w:num w:numId="292" w16cid:durableId="1400903802">
    <w:abstractNumId w:val="140"/>
  </w:num>
  <w:num w:numId="293" w16cid:durableId="2017884208">
    <w:abstractNumId w:val="100"/>
  </w:num>
  <w:num w:numId="294" w16cid:durableId="229779426">
    <w:abstractNumId w:val="252"/>
  </w:num>
  <w:num w:numId="295" w16cid:durableId="1117331563">
    <w:abstractNumId w:val="27"/>
  </w:num>
  <w:num w:numId="296" w16cid:durableId="758674035">
    <w:abstractNumId w:val="250"/>
  </w:num>
  <w:num w:numId="297" w16cid:durableId="2011563198">
    <w:abstractNumId w:val="48"/>
  </w:num>
  <w:num w:numId="298" w16cid:durableId="1177185270">
    <w:abstractNumId w:val="92"/>
  </w:num>
  <w:num w:numId="299" w16cid:durableId="1250775445">
    <w:abstractNumId w:val="46"/>
  </w:num>
  <w:num w:numId="300" w16cid:durableId="401605428">
    <w:abstractNumId w:val="58"/>
  </w:num>
  <w:num w:numId="301" w16cid:durableId="867371586">
    <w:abstractNumId w:val="288"/>
  </w:num>
  <w:num w:numId="302" w16cid:durableId="321548412">
    <w:abstractNumId w:val="96"/>
  </w:num>
  <w:num w:numId="303" w16cid:durableId="1377778006">
    <w:abstractNumId w:val="49"/>
  </w:num>
  <w:num w:numId="304" w16cid:durableId="860824144">
    <w:abstractNumId w:val="245"/>
  </w:num>
  <w:num w:numId="305" w16cid:durableId="2097164686">
    <w:abstractNumId w:val="139"/>
  </w:num>
  <w:num w:numId="306" w16cid:durableId="595942714">
    <w:abstractNumId w:val="45"/>
  </w:num>
  <w:num w:numId="307" w16cid:durableId="262498055">
    <w:abstractNumId w:val="126"/>
  </w:num>
  <w:num w:numId="308" w16cid:durableId="973026995">
    <w:abstractNumId w:val="94"/>
  </w:num>
  <w:num w:numId="309" w16cid:durableId="160630346">
    <w:abstractNumId w:val="241"/>
  </w:num>
  <w:num w:numId="310" w16cid:durableId="1495799020">
    <w:abstractNumId w:val="296"/>
  </w:num>
  <w:num w:numId="311" w16cid:durableId="1054933026">
    <w:abstractNumId w:val="323"/>
  </w:num>
  <w:num w:numId="312" w16cid:durableId="1197549351">
    <w:abstractNumId w:val="253"/>
  </w:num>
  <w:num w:numId="313" w16cid:durableId="2051219982">
    <w:abstractNumId w:val="318"/>
  </w:num>
  <w:num w:numId="314" w16cid:durableId="1361008961">
    <w:abstractNumId w:val="299"/>
  </w:num>
  <w:num w:numId="315" w16cid:durableId="1262837869">
    <w:abstractNumId w:val="275"/>
  </w:num>
  <w:num w:numId="316" w16cid:durableId="474493045">
    <w:abstractNumId w:val="268"/>
  </w:num>
  <w:num w:numId="317" w16cid:durableId="1676421264">
    <w:abstractNumId w:val="43"/>
  </w:num>
  <w:num w:numId="318" w16cid:durableId="1894387807">
    <w:abstractNumId w:val="24"/>
  </w:num>
  <w:num w:numId="319" w16cid:durableId="1893612667">
    <w:abstractNumId w:val="180"/>
  </w:num>
  <w:num w:numId="320" w16cid:durableId="990056305">
    <w:abstractNumId w:val="169"/>
  </w:num>
  <w:num w:numId="321" w16cid:durableId="537548343">
    <w:abstractNumId w:val="111"/>
  </w:num>
  <w:num w:numId="322" w16cid:durableId="819931064">
    <w:abstractNumId w:val="52"/>
  </w:num>
  <w:num w:numId="323" w16cid:durableId="694841509">
    <w:abstractNumId w:val="240"/>
  </w:num>
  <w:num w:numId="324" w16cid:durableId="266734251">
    <w:abstractNumId w:val="8"/>
  </w:num>
  <w:num w:numId="325" w16cid:durableId="60637418">
    <w:abstractNumId w:val="122"/>
  </w:num>
  <w:num w:numId="326" w16cid:durableId="174076829">
    <w:abstractNumId w:val="219"/>
  </w:num>
  <w:num w:numId="327" w16cid:durableId="2001762330">
    <w:abstractNumId w:val="131"/>
  </w:num>
  <w:num w:numId="328" w16cid:durableId="276451701">
    <w:abstractNumId w:val="154"/>
  </w:num>
  <w:num w:numId="329" w16cid:durableId="1181628151">
    <w:abstractNumId w:val="290"/>
  </w:num>
  <w:num w:numId="330" w16cid:durableId="1694913517">
    <w:abstractNumId w:val="266"/>
  </w:num>
  <w:num w:numId="331" w16cid:durableId="453182984">
    <w:abstractNumId w:val="329"/>
  </w:num>
  <w:num w:numId="332" w16cid:durableId="716903579">
    <w:abstractNumId w:val="314"/>
  </w:num>
  <w:num w:numId="333" w16cid:durableId="942301790">
    <w:abstractNumId w:val="244"/>
  </w:num>
  <w:num w:numId="334" w16cid:durableId="1732653575">
    <w:abstractNumId w:val="306"/>
  </w:num>
  <w:num w:numId="335" w16cid:durableId="1145002023">
    <w:abstractNumId w:val="202"/>
  </w:num>
  <w:num w:numId="336" w16cid:durableId="1545824084">
    <w:abstractNumId w:val="148"/>
  </w:num>
  <w:num w:numId="337" w16cid:durableId="1360086047">
    <w:abstractNumId w:val="293"/>
  </w:num>
  <w:num w:numId="338" w16cid:durableId="1266426256">
    <w:abstractNumId w:val="160"/>
  </w:num>
  <w:num w:numId="339" w16cid:durableId="1219591508">
    <w:abstractNumId w:val="337"/>
  </w:num>
  <w:num w:numId="340" w16cid:durableId="625814135">
    <w:abstractNumId w:val="264"/>
  </w:num>
  <w:num w:numId="341" w16cid:durableId="984897778">
    <w:abstractNumId w:val="98"/>
  </w:num>
  <w:num w:numId="342" w16cid:durableId="1424371969">
    <w:abstractNumId w:val="164"/>
  </w:num>
  <w:num w:numId="343" w16cid:durableId="884490792">
    <w:abstractNumId w:val="204"/>
  </w:num>
  <w:num w:numId="344" w16cid:durableId="686516659">
    <w:abstractNumId w:val="208"/>
  </w:num>
  <w:numIdMacAtCleanup w:val="3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9E"/>
    <w:rsid w:val="00000258"/>
    <w:rsid w:val="00001A14"/>
    <w:rsid w:val="00002170"/>
    <w:rsid w:val="00003BB1"/>
    <w:rsid w:val="000042C4"/>
    <w:rsid w:val="0000513E"/>
    <w:rsid w:val="000051C7"/>
    <w:rsid w:val="00005E81"/>
    <w:rsid w:val="00007969"/>
    <w:rsid w:val="00007DA8"/>
    <w:rsid w:val="000117C5"/>
    <w:rsid w:val="0001313D"/>
    <w:rsid w:val="00014CDC"/>
    <w:rsid w:val="00021687"/>
    <w:rsid w:val="000216F7"/>
    <w:rsid w:val="00021E16"/>
    <w:rsid w:val="00023BAE"/>
    <w:rsid w:val="00024D99"/>
    <w:rsid w:val="000257FE"/>
    <w:rsid w:val="000263D1"/>
    <w:rsid w:val="00030EA8"/>
    <w:rsid w:val="00030F36"/>
    <w:rsid w:val="00032951"/>
    <w:rsid w:val="00033899"/>
    <w:rsid w:val="0003397A"/>
    <w:rsid w:val="00033C39"/>
    <w:rsid w:val="000347A9"/>
    <w:rsid w:val="000354CA"/>
    <w:rsid w:val="00035701"/>
    <w:rsid w:val="00035959"/>
    <w:rsid w:val="00037BA7"/>
    <w:rsid w:val="00037C17"/>
    <w:rsid w:val="00037DEF"/>
    <w:rsid w:val="00041853"/>
    <w:rsid w:val="000427D8"/>
    <w:rsid w:val="00042CAF"/>
    <w:rsid w:val="00044212"/>
    <w:rsid w:val="00047AAA"/>
    <w:rsid w:val="00050E1E"/>
    <w:rsid w:val="0005151A"/>
    <w:rsid w:val="00054B33"/>
    <w:rsid w:val="00055CCD"/>
    <w:rsid w:val="00057106"/>
    <w:rsid w:val="00061015"/>
    <w:rsid w:val="00062F25"/>
    <w:rsid w:val="00063801"/>
    <w:rsid w:val="00064AA8"/>
    <w:rsid w:val="000655EA"/>
    <w:rsid w:val="00065F04"/>
    <w:rsid w:val="00067393"/>
    <w:rsid w:val="00067941"/>
    <w:rsid w:val="0007061C"/>
    <w:rsid w:val="00072E46"/>
    <w:rsid w:val="0007561D"/>
    <w:rsid w:val="000765C7"/>
    <w:rsid w:val="00080D0D"/>
    <w:rsid w:val="000814D8"/>
    <w:rsid w:val="00082791"/>
    <w:rsid w:val="00083063"/>
    <w:rsid w:val="00084EAC"/>
    <w:rsid w:val="00087DEC"/>
    <w:rsid w:val="0009088D"/>
    <w:rsid w:val="000909E5"/>
    <w:rsid w:val="00091AD8"/>
    <w:rsid w:val="00093829"/>
    <w:rsid w:val="0009443F"/>
    <w:rsid w:val="000964E2"/>
    <w:rsid w:val="00097112"/>
    <w:rsid w:val="0009745A"/>
    <w:rsid w:val="000A0678"/>
    <w:rsid w:val="000A2825"/>
    <w:rsid w:val="000A3CCF"/>
    <w:rsid w:val="000A5FC9"/>
    <w:rsid w:val="000A6685"/>
    <w:rsid w:val="000A66B8"/>
    <w:rsid w:val="000A6FE9"/>
    <w:rsid w:val="000B05EB"/>
    <w:rsid w:val="000B0AAD"/>
    <w:rsid w:val="000B108B"/>
    <w:rsid w:val="000B294F"/>
    <w:rsid w:val="000B2EC4"/>
    <w:rsid w:val="000B4A22"/>
    <w:rsid w:val="000B635F"/>
    <w:rsid w:val="000B6623"/>
    <w:rsid w:val="000B71CE"/>
    <w:rsid w:val="000B7A63"/>
    <w:rsid w:val="000C047D"/>
    <w:rsid w:val="000C20F4"/>
    <w:rsid w:val="000C2437"/>
    <w:rsid w:val="000C2DE9"/>
    <w:rsid w:val="000C51A3"/>
    <w:rsid w:val="000D2DF4"/>
    <w:rsid w:val="000D32A1"/>
    <w:rsid w:val="000D48AF"/>
    <w:rsid w:val="000D50DB"/>
    <w:rsid w:val="000D5C84"/>
    <w:rsid w:val="000D5F07"/>
    <w:rsid w:val="000D7050"/>
    <w:rsid w:val="000E4514"/>
    <w:rsid w:val="000E4952"/>
    <w:rsid w:val="000E5CA3"/>
    <w:rsid w:val="000E6099"/>
    <w:rsid w:val="000E639B"/>
    <w:rsid w:val="000E6FE1"/>
    <w:rsid w:val="000F1BA9"/>
    <w:rsid w:val="000F1BD5"/>
    <w:rsid w:val="000F1C2F"/>
    <w:rsid w:val="000F1D0E"/>
    <w:rsid w:val="000F3C5C"/>
    <w:rsid w:val="000F42B8"/>
    <w:rsid w:val="00100CE6"/>
    <w:rsid w:val="001019D1"/>
    <w:rsid w:val="00102F8A"/>
    <w:rsid w:val="0010633D"/>
    <w:rsid w:val="0010641F"/>
    <w:rsid w:val="00106C21"/>
    <w:rsid w:val="00110002"/>
    <w:rsid w:val="001106E6"/>
    <w:rsid w:val="00110F9A"/>
    <w:rsid w:val="00112012"/>
    <w:rsid w:val="00113C04"/>
    <w:rsid w:val="00113EB8"/>
    <w:rsid w:val="00114828"/>
    <w:rsid w:val="00116984"/>
    <w:rsid w:val="00116C0A"/>
    <w:rsid w:val="00116C1D"/>
    <w:rsid w:val="00117A9B"/>
    <w:rsid w:val="00120648"/>
    <w:rsid w:val="001217FF"/>
    <w:rsid w:val="001220D9"/>
    <w:rsid w:val="00122A82"/>
    <w:rsid w:val="00124778"/>
    <w:rsid w:val="00125EB4"/>
    <w:rsid w:val="00125FFC"/>
    <w:rsid w:val="00126BFF"/>
    <w:rsid w:val="0013024F"/>
    <w:rsid w:val="001320EE"/>
    <w:rsid w:val="001324C3"/>
    <w:rsid w:val="001347C9"/>
    <w:rsid w:val="001353EB"/>
    <w:rsid w:val="00135A1D"/>
    <w:rsid w:val="00136B13"/>
    <w:rsid w:val="00141D46"/>
    <w:rsid w:val="001449AA"/>
    <w:rsid w:val="00146256"/>
    <w:rsid w:val="00150CD7"/>
    <w:rsid w:val="00151739"/>
    <w:rsid w:val="0015326E"/>
    <w:rsid w:val="00154487"/>
    <w:rsid w:val="001547EE"/>
    <w:rsid w:val="001549D9"/>
    <w:rsid w:val="00160475"/>
    <w:rsid w:val="001604CF"/>
    <w:rsid w:val="00161342"/>
    <w:rsid w:val="00161CC8"/>
    <w:rsid w:val="001620A4"/>
    <w:rsid w:val="001622C3"/>
    <w:rsid w:val="0016258E"/>
    <w:rsid w:val="0016452A"/>
    <w:rsid w:val="00164DE8"/>
    <w:rsid w:val="001660EE"/>
    <w:rsid w:val="001668DC"/>
    <w:rsid w:val="00167EBF"/>
    <w:rsid w:val="001703F7"/>
    <w:rsid w:val="00170B2A"/>
    <w:rsid w:val="00170C07"/>
    <w:rsid w:val="00171705"/>
    <w:rsid w:val="00172791"/>
    <w:rsid w:val="00175590"/>
    <w:rsid w:val="00176D4B"/>
    <w:rsid w:val="00177C85"/>
    <w:rsid w:val="00182370"/>
    <w:rsid w:val="00183360"/>
    <w:rsid w:val="00183B7A"/>
    <w:rsid w:val="001840D0"/>
    <w:rsid w:val="00185AAD"/>
    <w:rsid w:val="00185AF5"/>
    <w:rsid w:val="00185BDF"/>
    <w:rsid w:val="00190A7E"/>
    <w:rsid w:val="001924B2"/>
    <w:rsid w:val="001925FE"/>
    <w:rsid w:val="00192DD3"/>
    <w:rsid w:val="00192EED"/>
    <w:rsid w:val="00193057"/>
    <w:rsid w:val="001939B3"/>
    <w:rsid w:val="001A1A32"/>
    <w:rsid w:val="001A23D3"/>
    <w:rsid w:val="001A2DAC"/>
    <w:rsid w:val="001A55F2"/>
    <w:rsid w:val="001A652A"/>
    <w:rsid w:val="001A6B61"/>
    <w:rsid w:val="001A6DEF"/>
    <w:rsid w:val="001A7BCF"/>
    <w:rsid w:val="001A7DB0"/>
    <w:rsid w:val="001B1D7E"/>
    <w:rsid w:val="001B1E9D"/>
    <w:rsid w:val="001B471D"/>
    <w:rsid w:val="001B789B"/>
    <w:rsid w:val="001C1323"/>
    <w:rsid w:val="001C1E58"/>
    <w:rsid w:val="001C4B5F"/>
    <w:rsid w:val="001C5E7A"/>
    <w:rsid w:val="001D0D0D"/>
    <w:rsid w:val="001D11EE"/>
    <w:rsid w:val="001D23EA"/>
    <w:rsid w:val="001D2AB1"/>
    <w:rsid w:val="001D3801"/>
    <w:rsid w:val="001D431B"/>
    <w:rsid w:val="001E1178"/>
    <w:rsid w:val="001E2231"/>
    <w:rsid w:val="001E22E4"/>
    <w:rsid w:val="001E30DD"/>
    <w:rsid w:val="001E312B"/>
    <w:rsid w:val="001E3DE6"/>
    <w:rsid w:val="001E480D"/>
    <w:rsid w:val="001E4A4F"/>
    <w:rsid w:val="001E7B14"/>
    <w:rsid w:val="001F0A59"/>
    <w:rsid w:val="001F15C2"/>
    <w:rsid w:val="001F2352"/>
    <w:rsid w:val="001F3CC7"/>
    <w:rsid w:val="001F5468"/>
    <w:rsid w:val="001F72B4"/>
    <w:rsid w:val="001F76D0"/>
    <w:rsid w:val="001F7A66"/>
    <w:rsid w:val="001F7EA6"/>
    <w:rsid w:val="00200EA0"/>
    <w:rsid w:val="00201251"/>
    <w:rsid w:val="00201715"/>
    <w:rsid w:val="00202652"/>
    <w:rsid w:val="00203ED9"/>
    <w:rsid w:val="00205AE9"/>
    <w:rsid w:val="00210F54"/>
    <w:rsid w:val="002114C0"/>
    <w:rsid w:val="0021226C"/>
    <w:rsid w:val="00214A17"/>
    <w:rsid w:val="00214A1E"/>
    <w:rsid w:val="002161E2"/>
    <w:rsid w:val="00216CC9"/>
    <w:rsid w:val="00217A58"/>
    <w:rsid w:val="00220E99"/>
    <w:rsid w:val="00221351"/>
    <w:rsid w:val="00221FCA"/>
    <w:rsid w:val="00222D14"/>
    <w:rsid w:val="002230E9"/>
    <w:rsid w:val="0022352A"/>
    <w:rsid w:val="00223807"/>
    <w:rsid w:val="002263C8"/>
    <w:rsid w:val="002302B4"/>
    <w:rsid w:val="00230BE3"/>
    <w:rsid w:val="0023153B"/>
    <w:rsid w:val="002318E5"/>
    <w:rsid w:val="00232AFE"/>
    <w:rsid w:val="00233932"/>
    <w:rsid w:val="002344D9"/>
    <w:rsid w:val="00234C33"/>
    <w:rsid w:val="00235E27"/>
    <w:rsid w:val="002407D7"/>
    <w:rsid w:val="002415B7"/>
    <w:rsid w:val="002432DB"/>
    <w:rsid w:val="0024478D"/>
    <w:rsid w:val="00246B52"/>
    <w:rsid w:val="00247091"/>
    <w:rsid w:val="002504CE"/>
    <w:rsid w:val="00252560"/>
    <w:rsid w:val="00254001"/>
    <w:rsid w:val="002578B3"/>
    <w:rsid w:val="0026008D"/>
    <w:rsid w:val="0026064C"/>
    <w:rsid w:val="002606F0"/>
    <w:rsid w:val="00260F2B"/>
    <w:rsid w:val="00261310"/>
    <w:rsid w:val="00261BA4"/>
    <w:rsid w:val="002620B2"/>
    <w:rsid w:val="0026260E"/>
    <w:rsid w:val="00263245"/>
    <w:rsid w:val="00263D2A"/>
    <w:rsid w:val="002640D5"/>
    <w:rsid w:val="00267D66"/>
    <w:rsid w:val="002717C3"/>
    <w:rsid w:val="00273792"/>
    <w:rsid w:val="00273E2C"/>
    <w:rsid w:val="00276DF7"/>
    <w:rsid w:val="00280B88"/>
    <w:rsid w:val="00281CA9"/>
    <w:rsid w:val="00281FF2"/>
    <w:rsid w:val="0028451A"/>
    <w:rsid w:val="002847FA"/>
    <w:rsid w:val="002853E1"/>
    <w:rsid w:val="002876EC"/>
    <w:rsid w:val="00287A82"/>
    <w:rsid w:val="0029032B"/>
    <w:rsid w:val="00291AB8"/>
    <w:rsid w:val="00291BDC"/>
    <w:rsid w:val="00291CF6"/>
    <w:rsid w:val="00292631"/>
    <w:rsid w:val="002947DF"/>
    <w:rsid w:val="00294F8F"/>
    <w:rsid w:val="002A0EFA"/>
    <w:rsid w:val="002A20DC"/>
    <w:rsid w:val="002A61B6"/>
    <w:rsid w:val="002B196F"/>
    <w:rsid w:val="002B210A"/>
    <w:rsid w:val="002B28C3"/>
    <w:rsid w:val="002B34A2"/>
    <w:rsid w:val="002B368F"/>
    <w:rsid w:val="002B4713"/>
    <w:rsid w:val="002B5253"/>
    <w:rsid w:val="002B688C"/>
    <w:rsid w:val="002B7EB3"/>
    <w:rsid w:val="002C0004"/>
    <w:rsid w:val="002C23B6"/>
    <w:rsid w:val="002C32FB"/>
    <w:rsid w:val="002C4092"/>
    <w:rsid w:val="002C4907"/>
    <w:rsid w:val="002C76D9"/>
    <w:rsid w:val="002C7F41"/>
    <w:rsid w:val="002D0400"/>
    <w:rsid w:val="002D0CAB"/>
    <w:rsid w:val="002D1E5F"/>
    <w:rsid w:val="002D309F"/>
    <w:rsid w:val="002E327A"/>
    <w:rsid w:val="002E37B2"/>
    <w:rsid w:val="002E3C7B"/>
    <w:rsid w:val="002E4240"/>
    <w:rsid w:val="002E57A3"/>
    <w:rsid w:val="002E5B1D"/>
    <w:rsid w:val="002E6A3F"/>
    <w:rsid w:val="002E7374"/>
    <w:rsid w:val="002E7ECD"/>
    <w:rsid w:val="002F0721"/>
    <w:rsid w:val="002F34CC"/>
    <w:rsid w:val="002F4911"/>
    <w:rsid w:val="002F5C7C"/>
    <w:rsid w:val="002F6E72"/>
    <w:rsid w:val="002F7BA5"/>
    <w:rsid w:val="00303880"/>
    <w:rsid w:val="0030581A"/>
    <w:rsid w:val="00306A92"/>
    <w:rsid w:val="00306F09"/>
    <w:rsid w:val="00307F93"/>
    <w:rsid w:val="003101AE"/>
    <w:rsid w:val="00310498"/>
    <w:rsid w:val="00311BAA"/>
    <w:rsid w:val="003129F8"/>
    <w:rsid w:val="00315530"/>
    <w:rsid w:val="00315A25"/>
    <w:rsid w:val="00316141"/>
    <w:rsid w:val="00316975"/>
    <w:rsid w:val="00316A5A"/>
    <w:rsid w:val="00316BEB"/>
    <w:rsid w:val="00317664"/>
    <w:rsid w:val="003209DC"/>
    <w:rsid w:val="00321F48"/>
    <w:rsid w:val="00323652"/>
    <w:rsid w:val="0032386E"/>
    <w:rsid w:val="003250FA"/>
    <w:rsid w:val="003265F7"/>
    <w:rsid w:val="00326C60"/>
    <w:rsid w:val="003276CA"/>
    <w:rsid w:val="003278C7"/>
    <w:rsid w:val="003311A4"/>
    <w:rsid w:val="00331960"/>
    <w:rsid w:val="00331D2E"/>
    <w:rsid w:val="00332394"/>
    <w:rsid w:val="0033268E"/>
    <w:rsid w:val="00333A0D"/>
    <w:rsid w:val="00340431"/>
    <w:rsid w:val="00340570"/>
    <w:rsid w:val="00341A8F"/>
    <w:rsid w:val="00341A91"/>
    <w:rsid w:val="00342071"/>
    <w:rsid w:val="00343990"/>
    <w:rsid w:val="00343BA4"/>
    <w:rsid w:val="00344476"/>
    <w:rsid w:val="003445E3"/>
    <w:rsid w:val="003446CE"/>
    <w:rsid w:val="00344715"/>
    <w:rsid w:val="003467C6"/>
    <w:rsid w:val="00347259"/>
    <w:rsid w:val="00347539"/>
    <w:rsid w:val="00347DC9"/>
    <w:rsid w:val="00347FF2"/>
    <w:rsid w:val="00350290"/>
    <w:rsid w:val="003516A1"/>
    <w:rsid w:val="00352344"/>
    <w:rsid w:val="003527FB"/>
    <w:rsid w:val="00352C97"/>
    <w:rsid w:val="003538FA"/>
    <w:rsid w:val="00354982"/>
    <w:rsid w:val="0035526F"/>
    <w:rsid w:val="00356ED6"/>
    <w:rsid w:val="0035789E"/>
    <w:rsid w:val="003608D3"/>
    <w:rsid w:val="00361731"/>
    <w:rsid w:val="00362FDC"/>
    <w:rsid w:val="00364329"/>
    <w:rsid w:val="0036522C"/>
    <w:rsid w:val="00365319"/>
    <w:rsid w:val="00365E65"/>
    <w:rsid w:val="00366674"/>
    <w:rsid w:val="0037034E"/>
    <w:rsid w:val="003704D4"/>
    <w:rsid w:val="00371AC9"/>
    <w:rsid w:val="00371FBE"/>
    <w:rsid w:val="00372F89"/>
    <w:rsid w:val="0037334D"/>
    <w:rsid w:val="003736DC"/>
    <w:rsid w:val="00374F33"/>
    <w:rsid w:val="00380C53"/>
    <w:rsid w:val="003810BF"/>
    <w:rsid w:val="00382703"/>
    <w:rsid w:val="003856D3"/>
    <w:rsid w:val="003859A1"/>
    <w:rsid w:val="003869AD"/>
    <w:rsid w:val="00386AEE"/>
    <w:rsid w:val="00390096"/>
    <w:rsid w:val="00391334"/>
    <w:rsid w:val="0039221F"/>
    <w:rsid w:val="00392BDF"/>
    <w:rsid w:val="0039707C"/>
    <w:rsid w:val="003A191C"/>
    <w:rsid w:val="003A358F"/>
    <w:rsid w:val="003A37F0"/>
    <w:rsid w:val="003A46F7"/>
    <w:rsid w:val="003A5400"/>
    <w:rsid w:val="003A597D"/>
    <w:rsid w:val="003A6D52"/>
    <w:rsid w:val="003B04C5"/>
    <w:rsid w:val="003B1281"/>
    <w:rsid w:val="003B281E"/>
    <w:rsid w:val="003B2A79"/>
    <w:rsid w:val="003B3B71"/>
    <w:rsid w:val="003B467C"/>
    <w:rsid w:val="003B5112"/>
    <w:rsid w:val="003B5920"/>
    <w:rsid w:val="003B628D"/>
    <w:rsid w:val="003B6D38"/>
    <w:rsid w:val="003B6EAB"/>
    <w:rsid w:val="003C0AB0"/>
    <w:rsid w:val="003C106E"/>
    <w:rsid w:val="003C1FD8"/>
    <w:rsid w:val="003C347C"/>
    <w:rsid w:val="003C3879"/>
    <w:rsid w:val="003C3EE8"/>
    <w:rsid w:val="003C431E"/>
    <w:rsid w:val="003C5394"/>
    <w:rsid w:val="003C6E91"/>
    <w:rsid w:val="003C70E7"/>
    <w:rsid w:val="003C74A3"/>
    <w:rsid w:val="003C78B7"/>
    <w:rsid w:val="003C79F0"/>
    <w:rsid w:val="003C7D81"/>
    <w:rsid w:val="003D03D6"/>
    <w:rsid w:val="003D1312"/>
    <w:rsid w:val="003D39CA"/>
    <w:rsid w:val="003D3C23"/>
    <w:rsid w:val="003D4C03"/>
    <w:rsid w:val="003E096E"/>
    <w:rsid w:val="003E1659"/>
    <w:rsid w:val="003E34BD"/>
    <w:rsid w:val="003E6165"/>
    <w:rsid w:val="003E7C9E"/>
    <w:rsid w:val="003E7F14"/>
    <w:rsid w:val="003F0AD6"/>
    <w:rsid w:val="003F1850"/>
    <w:rsid w:val="003F1A96"/>
    <w:rsid w:val="003F1FC7"/>
    <w:rsid w:val="003F5D49"/>
    <w:rsid w:val="003F685E"/>
    <w:rsid w:val="00400AE2"/>
    <w:rsid w:val="00401269"/>
    <w:rsid w:val="0040284F"/>
    <w:rsid w:val="00406244"/>
    <w:rsid w:val="0040650F"/>
    <w:rsid w:val="0040674E"/>
    <w:rsid w:val="00406FCE"/>
    <w:rsid w:val="00410750"/>
    <w:rsid w:val="00411FEA"/>
    <w:rsid w:val="00412091"/>
    <w:rsid w:val="004129F5"/>
    <w:rsid w:val="00414B5A"/>
    <w:rsid w:val="0041603A"/>
    <w:rsid w:val="00416320"/>
    <w:rsid w:val="0041667E"/>
    <w:rsid w:val="00421D48"/>
    <w:rsid w:val="00422D5D"/>
    <w:rsid w:val="00423AC5"/>
    <w:rsid w:val="004254B6"/>
    <w:rsid w:val="00425F1B"/>
    <w:rsid w:val="00430FFA"/>
    <w:rsid w:val="00432DC9"/>
    <w:rsid w:val="004337BE"/>
    <w:rsid w:val="00434131"/>
    <w:rsid w:val="004355CF"/>
    <w:rsid w:val="004358D1"/>
    <w:rsid w:val="004378C9"/>
    <w:rsid w:val="00440773"/>
    <w:rsid w:val="00440F66"/>
    <w:rsid w:val="004425EF"/>
    <w:rsid w:val="004426DA"/>
    <w:rsid w:val="004438B9"/>
    <w:rsid w:val="00443C3F"/>
    <w:rsid w:val="004450A4"/>
    <w:rsid w:val="00445E5A"/>
    <w:rsid w:val="00452E45"/>
    <w:rsid w:val="00453AB8"/>
    <w:rsid w:val="00456AF2"/>
    <w:rsid w:val="00457AF3"/>
    <w:rsid w:val="0046035B"/>
    <w:rsid w:val="00460E2C"/>
    <w:rsid w:val="0046147F"/>
    <w:rsid w:val="004615E2"/>
    <w:rsid w:val="00462625"/>
    <w:rsid w:val="00462D16"/>
    <w:rsid w:val="00464613"/>
    <w:rsid w:val="00465117"/>
    <w:rsid w:val="00465751"/>
    <w:rsid w:val="00465B6F"/>
    <w:rsid w:val="00467BC1"/>
    <w:rsid w:val="0047076D"/>
    <w:rsid w:val="004717AF"/>
    <w:rsid w:val="00474770"/>
    <w:rsid w:val="00474EC9"/>
    <w:rsid w:val="00475568"/>
    <w:rsid w:val="00475FED"/>
    <w:rsid w:val="004768B8"/>
    <w:rsid w:val="00476C71"/>
    <w:rsid w:val="00476EB9"/>
    <w:rsid w:val="00480307"/>
    <w:rsid w:val="004806E0"/>
    <w:rsid w:val="00481DFF"/>
    <w:rsid w:val="00482A43"/>
    <w:rsid w:val="0048384C"/>
    <w:rsid w:val="004844ED"/>
    <w:rsid w:val="0048523A"/>
    <w:rsid w:val="0048531D"/>
    <w:rsid w:val="004853C8"/>
    <w:rsid w:val="00485810"/>
    <w:rsid w:val="00485DF3"/>
    <w:rsid w:val="0048782C"/>
    <w:rsid w:val="00487F2F"/>
    <w:rsid w:val="00490BA1"/>
    <w:rsid w:val="004927BD"/>
    <w:rsid w:val="00493A98"/>
    <w:rsid w:val="004945D7"/>
    <w:rsid w:val="0049467F"/>
    <w:rsid w:val="00494E25"/>
    <w:rsid w:val="00495071"/>
    <w:rsid w:val="00495B90"/>
    <w:rsid w:val="00497BE3"/>
    <w:rsid w:val="00497D0C"/>
    <w:rsid w:val="00497D75"/>
    <w:rsid w:val="004A0C94"/>
    <w:rsid w:val="004A108B"/>
    <w:rsid w:val="004A1989"/>
    <w:rsid w:val="004A1A2F"/>
    <w:rsid w:val="004A23E6"/>
    <w:rsid w:val="004A6B91"/>
    <w:rsid w:val="004B11F8"/>
    <w:rsid w:val="004B25FA"/>
    <w:rsid w:val="004B2FF1"/>
    <w:rsid w:val="004B3C8A"/>
    <w:rsid w:val="004B3D13"/>
    <w:rsid w:val="004B4576"/>
    <w:rsid w:val="004B4579"/>
    <w:rsid w:val="004B4D97"/>
    <w:rsid w:val="004B6AF2"/>
    <w:rsid w:val="004B717F"/>
    <w:rsid w:val="004B7FC8"/>
    <w:rsid w:val="004C0755"/>
    <w:rsid w:val="004C12BB"/>
    <w:rsid w:val="004C1406"/>
    <w:rsid w:val="004C2B3B"/>
    <w:rsid w:val="004C3688"/>
    <w:rsid w:val="004C5225"/>
    <w:rsid w:val="004C66BA"/>
    <w:rsid w:val="004C6E96"/>
    <w:rsid w:val="004C6E97"/>
    <w:rsid w:val="004D0DB1"/>
    <w:rsid w:val="004D0E42"/>
    <w:rsid w:val="004D1A0E"/>
    <w:rsid w:val="004D336E"/>
    <w:rsid w:val="004D36C1"/>
    <w:rsid w:val="004D42CB"/>
    <w:rsid w:val="004D5779"/>
    <w:rsid w:val="004D6FCF"/>
    <w:rsid w:val="004D70AF"/>
    <w:rsid w:val="004D74D5"/>
    <w:rsid w:val="004E0E8D"/>
    <w:rsid w:val="004E11CC"/>
    <w:rsid w:val="004E243D"/>
    <w:rsid w:val="004E2EDD"/>
    <w:rsid w:val="004E363A"/>
    <w:rsid w:val="004E61B4"/>
    <w:rsid w:val="004E68ED"/>
    <w:rsid w:val="004E6EA1"/>
    <w:rsid w:val="004E6EB9"/>
    <w:rsid w:val="004E7641"/>
    <w:rsid w:val="004F047C"/>
    <w:rsid w:val="004F0B9F"/>
    <w:rsid w:val="004F2091"/>
    <w:rsid w:val="004F3023"/>
    <w:rsid w:val="004F410F"/>
    <w:rsid w:val="004F6005"/>
    <w:rsid w:val="004F658A"/>
    <w:rsid w:val="0050209B"/>
    <w:rsid w:val="0050330B"/>
    <w:rsid w:val="005052A6"/>
    <w:rsid w:val="005057E4"/>
    <w:rsid w:val="00505CF7"/>
    <w:rsid w:val="00506666"/>
    <w:rsid w:val="005072F9"/>
    <w:rsid w:val="00511590"/>
    <w:rsid w:val="005128DB"/>
    <w:rsid w:val="00512EC6"/>
    <w:rsid w:val="005151F4"/>
    <w:rsid w:val="005155CA"/>
    <w:rsid w:val="00516F61"/>
    <w:rsid w:val="00521940"/>
    <w:rsid w:val="00522762"/>
    <w:rsid w:val="00522C5D"/>
    <w:rsid w:val="00523689"/>
    <w:rsid w:val="00523B2F"/>
    <w:rsid w:val="00523E12"/>
    <w:rsid w:val="005252EA"/>
    <w:rsid w:val="005273C7"/>
    <w:rsid w:val="00527676"/>
    <w:rsid w:val="005337FD"/>
    <w:rsid w:val="00536262"/>
    <w:rsid w:val="00536A61"/>
    <w:rsid w:val="0053780A"/>
    <w:rsid w:val="005405AD"/>
    <w:rsid w:val="00540C79"/>
    <w:rsid w:val="005410A6"/>
    <w:rsid w:val="00542714"/>
    <w:rsid w:val="00542C2D"/>
    <w:rsid w:val="00544399"/>
    <w:rsid w:val="00544B4D"/>
    <w:rsid w:val="00545BF6"/>
    <w:rsid w:val="005460B1"/>
    <w:rsid w:val="00546134"/>
    <w:rsid w:val="00546F0E"/>
    <w:rsid w:val="0055053C"/>
    <w:rsid w:val="00551707"/>
    <w:rsid w:val="00552339"/>
    <w:rsid w:val="0055310F"/>
    <w:rsid w:val="00553385"/>
    <w:rsid w:val="00553786"/>
    <w:rsid w:val="00554DA9"/>
    <w:rsid w:val="00557E7A"/>
    <w:rsid w:val="00560DC7"/>
    <w:rsid w:val="005629CF"/>
    <w:rsid w:val="00563823"/>
    <w:rsid w:val="00563BCA"/>
    <w:rsid w:val="00571CB4"/>
    <w:rsid w:val="00572079"/>
    <w:rsid w:val="00573165"/>
    <w:rsid w:val="00574B7D"/>
    <w:rsid w:val="00575C27"/>
    <w:rsid w:val="00577332"/>
    <w:rsid w:val="00580466"/>
    <w:rsid w:val="00580FAE"/>
    <w:rsid w:val="0058115D"/>
    <w:rsid w:val="00581517"/>
    <w:rsid w:val="00581689"/>
    <w:rsid w:val="0058195D"/>
    <w:rsid w:val="005822E1"/>
    <w:rsid w:val="00587D8A"/>
    <w:rsid w:val="005920B2"/>
    <w:rsid w:val="005953D6"/>
    <w:rsid w:val="00595939"/>
    <w:rsid w:val="0059634D"/>
    <w:rsid w:val="00597F5C"/>
    <w:rsid w:val="005A17FF"/>
    <w:rsid w:val="005A341A"/>
    <w:rsid w:val="005A48F3"/>
    <w:rsid w:val="005A6C6D"/>
    <w:rsid w:val="005B0A8C"/>
    <w:rsid w:val="005B2282"/>
    <w:rsid w:val="005B25C1"/>
    <w:rsid w:val="005B3436"/>
    <w:rsid w:val="005B39C8"/>
    <w:rsid w:val="005B4D01"/>
    <w:rsid w:val="005B50D1"/>
    <w:rsid w:val="005B5ABE"/>
    <w:rsid w:val="005B6D09"/>
    <w:rsid w:val="005B6D38"/>
    <w:rsid w:val="005B7788"/>
    <w:rsid w:val="005B7CE4"/>
    <w:rsid w:val="005C018B"/>
    <w:rsid w:val="005C0E51"/>
    <w:rsid w:val="005C1389"/>
    <w:rsid w:val="005C2A03"/>
    <w:rsid w:val="005C2D32"/>
    <w:rsid w:val="005C33BD"/>
    <w:rsid w:val="005C4DFA"/>
    <w:rsid w:val="005C53AB"/>
    <w:rsid w:val="005D1316"/>
    <w:rsid w:val="005D182B"/>
    <w:rsid w:val="005D1E48"/>
    <w:rsid w:val="005D4081"/>
    <w:rsid w:val="005D559F"/>
    <w:rsid w:val="005E171F"/>
    <w:rsid w:val="005E1BCD"/>
    <w:rsid w:val="005E3D7B"/>
    <w:rsid w:val="005E5881"/>
    <w:rsid w:val="005E64CB"/>
    <w:rsid w:val="005F1064"/>
    <w:rsid w:val="005F1C19"/>
    <w:rsid w:val="005F69C0"/>
    <w:rsid w:val="005F7457"/>
    <w:rsid w:val="0060157D"/>
    <w:rsid w:val="006017A8"/>
    <w:rsid w:val="00601A02"/>
    <w:rsid w:val="00602ADA"/>
    <w:rsid w:val="006037AE"/>
    <w:rsid w:val="006047B0"/>
    <w:rsid w:val="00605934"/>
    <w:rsid w:val="00606526"/>
    <w:rsid w:val="0060661D"/>
    <w:rsid w:val="00610AFA"/>
    <w:rsid w:val="00610D31"/>
    <w:rsid w:val="006114A7"/>
    <w:rsid w:val="006116F0"/>
    <w:rsid w:val="00614E39"/>
    <w:rsid w:val="006152F2"/>
    <w:rsid w:val="00616CA5"/>
    <w:rsid w:val="0061749B"/>
    <w:rsid w:val="0062045E"/>
    <w:rsid w:val="00620B62"/>
    <w:rsid w:val="0062353E"/>
    <w:rsid w:val="0062795E"/>
    <w:rsid w:val="00630E80"/>
    <w:rsid w:val="0063294B"/>
    <w:rsid w:val="00632D4B"/>
    <w:rsid w:val="00633BC0"/>
    <w:rsid w:val="00635398"/>
    <w:rsid w:val="00636B74"/>
    <w:rsid w:val="00641EC2"/>
    <w:rsid w:val="00643881"/>
    <w:rsid w:val="00643C99"/>
    <w:rsid w:val="00644246"/>
    <w:rsid w:val="00645AB8"/>
    <w:rsid w:val="00645B4F"/>
    <w:rsid w:val="00646251"/>
    <w:rsid w:val="006466B5"/>
    <w:rsid w:val="00646D18"/>
    <w:rsid w:val="006472F5"/>
    <w:rsid w:val="006476FA"/>
    <w:rsid w:val="0065003C"/>
    <w:rsid w:val="006511B7"/>
    <w:rsid w:val="00652141"/>
    <w:rsid w:val="006523DC"/>
    <w:rsid w:val="00653C97"/>
    <w:rsid w:val="0065424E"/>
    <w:rsid w:val="00654849"/>
    <w:rsid w:val="00656320"/>
    <w:rsid w:val="0065677E"/>
    <w:rsid w:val="006568EA"/>
    <w:rsid w:val="006601E2"/>
    <w:rsid w:val="0066054A"/>
    <w:rsid w:val="006661A9"/>
    <w:rsid w:val="00666DF0"/>
    <w:rsid w:val="006707FB"/>
    <w:rsid w:val="00671AA7"/>
    <w:rsid w:val="00671F1C"/>
    <w:rsid w:val="006732EC"/>
    <w:rsid w:val="00674832"/>
    <w:rsid w:val="006752DE"/>
    <w:rsid w:val="00675799"/>
    <w:rsid w:val="00677371"/>
    <w:rsid w:val="0068025A"/>
    <w:rsid w:val="00681C6C"/>
    <w:rsid w:val="00681D57"/>
    <w:rsid w:val="00682A51"/>
    <w:rsid w:val="00682B0E"/>
    <w:rsid w:val="00686D09"/>
    <w:rsid w:val="0069061E"/>
    <w:rsid w:val="00692C99"/>
    <w:rsid w:val="006933ED"/>
    <w:rsid w:val="00696B35"/>
    <w:rsid w:val="0069741E"/>
    <w:rsid w:val="00697894"/>
    <w:rsid w:val="006A0B42"/>
    <w:rsid w:val="006A1054"/>
    <w:rsid w:val="006A20D3"/>
    <w:rsid w:val="006A24AE"/>
    <w:rsid w:val="006A391A"/>
    <w:rsid w:val="006A4535"/>
    <w:rsid w:val="006A478A"/>
    <w:rsid w:val="006A55AF"/>
    <w:rsid w:val="006A69D1"/>
    <w:rsid w:val="006A750A"/>
    <w:rsid w:val="006A79D6"/>
    <w:rsid w:val="006A7B34"/>
    <w:rsid w:val="006A7D6C"/>
    <w:rsid w:val="006B0104"/>
    <w:rsid w:val="006B18FE"/>
    <w:rsid w:val="006B4BB9"/>
    <w:rsid w:val="006B52F4"/>
    <w:rsid w:val="006B5BCE"/>
    <w:rsid w:val="006B628B"/>
    <w:rsid w:val="006B6A87"/>
    <w:rsid w:val="006B6D48"/>
    <w:rsid w:val="006B6EAF"/>
    <w:rsid w:val="006B77E0"/>
    <w:rsid w:val="006C15F2"/>
    <w:rsid w:val="006C199C"/>
    <w:rsid w:val="006C246D"/>
    <w:rsid w:val="006C313E"/>
    <w:rsid w:val="006C359B"/>
    <w:rsid w:val="006C4D9F"/>
    <w:rsid w:val="006C7876"/>
    <w:rsid w:val="006D00F9"/>
    <w:rsid w:val="006D05E9"/>
    <w:rsid w:val="006D3B26"/>
    <w:rsid w:val="006D4684"/>
    <w:rsid w:val="006D598F"/>
    <w:rsid w:val="006D6434"/>
    <w:rsid w:val="006E0871"/>
    <w:rsid w:val="006E0E17"/>
    <w:rsid w:val="006E2173"/>
    <w:rsid w:val="006E2F0A"/>
    <w:rsid w:val="006E3248"/>
    <w:rsid w:val="006E48BA"/>
    <w:rsid w:val="006E4AA9"/>
    <w:rsid w:val="006E558B"/>
    <w:rsid w:val="006E5EBD"/>
    <w:rsid w:val="006E665F"/>
    <w:rsid w:val="006E7AC7"/>
    <w:rsid w:val="006F1E22"/>
    <w:rsid w:val="006F2CB2"/>
    <w:rsid w:val="006F3A7E"/>
    <w:rsid w:val="006F4A80"/>
    <w:rsid w:val="006F5042"/>
    <w:rsid w:val="006F6825"/>
    <w:rsid w:val="006F72C4"/>
    <w:rsid w:val="00700188"/>
    <w:rsid w:val="007012FD"/>
    <w:rsid w:val="00701561"/>
    <w:rsid w:val="00701701"/>
    <w:rsid w:val="00704062"/>
    <w:rsid w:val="00704F24"/>
    <w:rsid w:val="0070538C"/>
    <w:rsid w:val="007067E7"/>
    <w:rsid w:val="007077A9"/>
    <w:rsid w:val="007079E1"/>
    <w:rsid w:val="00712FEA"/>
    <w:rsid w:val="007145BE"/>
    <w:rsid w:val="007163A0"/>
    <w:rsid w:val="00716D47"/>
    <w:rsid w:val="00717203"/>
    <w:rsid w:val="007234FB"/>
    <w:rsid w:val="0072480F"/>
    <w:rsid w:val="007257D8"/>
    <w:rsid w:val="007258EB"/>
    <w:rsid w:val="0072716A"/>
    <w:rsid w:val="007302DB"/>
    <w:rsid w:val="007309D3"/>
    <w:rsid w:val="007313A6"/>
    <w:rsid w:val="00737B03"/>
    <w:rsid w:val="0074062A"/>
    <w:rsid w:val="00740B8A"/>
    <w:rsid w:val="00742F8F"/>
    <w:rsid w:val="00745A77"/>
    <w:rsid w:val="007465F1"/>
    <w:rsid w:val="00750AF0"/>
    <w:rsid w:val="007514E2"/>
    <w:rsid w:val="0075417B"/>
    <w:rsid w:val="0075499E"/>
    <w:rsid w:val="007549B5"/>
    <w:rsid w:val="00754FA9"/>
    <w:rsid w:val="007550CC"/>
    <w:rsid w:val="00755B8A"/>
    <w:rsid w:val="00755C63"/>
    <w:rsid w:val="007602F6"/>
    <w:rsid w:val="007602FE"/>
    <w:rsid w:val="00760E3E"/>
    <w:rsid w:val="0076166C"/>
    <w:rsid w:val="0076376C"/>
    <w:rsid w:val="00763F4F"/>
    <w:rsid w:val="00764841"/>
    <w:rsid w:val="0076498A"/>
    <w:rsid w:val="00764A10"/>
    <w:rsid w:val="00766AF7"/>
    <w:rsid w:val="00766BB7"/>
    <w:rsid w:val="0077033D"/>
    <w:rsid w:val="00773A6C"/>
    <w:rsid w:val="00773B57"/>
    <w:rsid w:val="00773DB5"/>
    <w:rsid w:val="007748C6"/>
    <w:rsid w:val="00776F98"/>
    <w:rsid w:val="00777BC2"/>
    <w:rsid w:val="007806C3"/>
    <w:rsid w:val="00781DA3"/>
    <w:rsid w:val="0078398F"/>
    <w:rsid w:val="00783B03"/>
    <w:rsid w:val="00785476"/>
    <w:rsid w:val="00785F92"/>
    <w:rsid w:val="00786E60"/>
    <w:rsid w:val="00791AB6"/>
    <w:rsid w:val="007926F2"/>
    <w:rsid w:val="00792B40"/>
    <w:rsid w:val="007945E4"/>
    <w:rsid w:val="00794990"/>
    <w:rsid w:val="00794F0D"/>
    <w:rsid w:val="007952DE"/>
    <w:rsid w:val="0079573F"/>
    <w:rsid w:val="0079746C"/>
    <w:rsid w:val="007A0FB2"/>
    <w:rsid w:val="007A3637"/>
    <w:rsid w:val="007A3ED0"/>
    <w:rsid w:val="007A4E1A"/>
    <w:rsid w:val="007A5A70"/>
    <w:rsid w:val="007A6828"/>
    <w:rsid w:val="007A6A61"/>
    <w:rsid w:val="007A7604"/>
    <w:rsid w:val="007A7A43"/>
    <w:rsid w:val="007A7BB0"/>
    <w:rsid w:val="007B17B1"/>
    <w:rsid w:val="007B31D8"/>
    <w:rsid w:val="007B37C3"/>
    <w:rsid w:val="007B42C1"/>
    <w:rsid w:val="007B4487"/>
    <w:rsid w:val="007B4C5F"/>
    <w:rsid w:val="007B68AF"/>
    <w:rsid w:val="007C069D"/>
    <w:rsid w:val="007C1203"/>
    <w:rsid w:val="007C173D"/>
    <w:rsid w:val="007C28A5"/>
    <w:rsid w:val="007C44CC"/>
    <w:rsid w:val="007C6697"/>
    <w:rsid w:val="007C6C11"/>
    <w:rsid w:val="007C727E"/>
    <w:rsid w:val="007C75DF"/>
    <w:rsid w:val="007D0CA3"/>
    <w:rsid w:val="007D0D7A"/>
    <w:rsid w:val="007D242C"/>
    <w:rsid w:val="007D2D53"/>
    <w:rsid w:val="007D2E3C"/>
    <w:rsid w:val="007D30FF"/>
    <w:rsid w:val="007D350B"/>
    <w:rsid w:val="007D6A93"/>
    <w:rsid w:val="007D774F"/>
    <w:rsid w:val="007E0F1F"/>
    <w:rsid w:val="007E2814"/>
    <w:rsid w:val="007E3362"/>
    <w:rsid w:val="007E3F01"/>
    <w:rsid w:val="007E5397"/>
    <w:rsid w:val="007E5924"/>
    <w:rsid w:val="007E68D3"/>
    <w:rsid w:val="007E7662"/>
    <w:rsid w:val="007F11DB"/>
    <w:rsid w:val="007F36C6"/>
    <w:rsid w:val="007F5326"/>
    <w:rsid w:val="007F55B4"/>
    <w:rsid w:val="007F57FA"/>
    <w:rsid w:val="00800FE9"/>
    <w:rsid w:val="00801FEA"/>
    <w:rsid w:val="008031ED"/>
    <w:rsid w:val="0080457E"/>
    <w:rsid w:val="00804FAB"/>
    <w:rsid w:val="00806D48"/>
    <w:rsid w:val="008101C1"/>
    <w:rsid w:val="00811328"/>
    <w:rsid w:val="0081194D"/>
    <w:rsid w:val="00812168"/>
    <w:rsid w:val="00812B9B"/>
    <w:rsid w:val="0081464F"/>
    <w:rsid w:val="00820305"/>
    <w:rsid w:val="00820B58"/>
    <w:rsid w:val="00822A94"/>
    <w:rsid w:val="00823379"/>
    <w:rsid w:val="0082450C"/>
    <w:rsid w:val="00824AD0"/>
    <w:rsid w:val="00825855"/>
    <w:rsid w:val="00825922"/>
    <w:rsid w:val="008279A0"/>
    <w:rsid w:val="0083058D"/>
    <w:rsid w:val="008337B3"/>
    <w:rsid w:val="00834358"/>
    <w:rsid w:val="00835C5F"/>
    <w:rsid w:val="00836817"/>
    <w:rsid w:val="00840E39"/>
    <w:rsid w:val="00841E40"/>
    <w:rsid w:val="00842777"/>
    <w:rsid w:val="00842B4F"/>
    <w:rsid w:val="00844D80"/>
    <w:rsid w:val="0084525E"/>
    <w:rsid w:val="00845BCA"/>
    <w:rsid w:val="00846FEA"/>
    <w:rsid w:val="0085026A"/>
    <w:rsid w:val="00850760"/>
    <w:rsid w:val="00850A6D"/>
    <w:rsid w:val="008517D7"/>
    <w:rsid w:val="008525A4"/>
    <w:rsid w:val="00852620"/>
    <w:rsid w:val="0085368F"/>
    <w:rsid w:val="0085371D"/>
    <w:rsid w:val="00853756"/>
    <w:rsid w:val="008557A4"/>
    <w:rsid w:val="00855FCF"/>
    <w:rsid w:val="00856CEB"/>
    <w:rsid w:val="00857B68"/>
    <w:rsid w:val="00860A55"/>
    <w:rsid w:val="00861700"/>
    <w:rsid w:val="00862619"/>
    <w:rsid w:val="00863BC3"/>
    <w:rsid w:val="00864736"/>
    <w:rsid w:val="008659B3"/>
    <w:rsid w:val="00865E1D"/>
    <w:rsid w:val="0086677C"/>
    <w:rsid w:val="0086752E"/>
    <w:rsid w:val="00867C40"/>
    <w:rsid w:val="008708B7"/>
    <w:rsid w:val="008716A8"/>
    <w:rsid w:val="00871AF1"/>
    <w:rsid w:val="00872210"/>
    <w:rsid w:val="008729FF"/>
    <w:rsid w:val="00872A57"/>
    <w:rsid w:val="00872F97"/>
    <w:rsid w:val="008765A3"/>
    <w:rsid w:val="00877032"/>
    <w:rsid w:val="0087789A"/>
    <w:rsid w:val="00877DBD"/>
    <w:rsid w:val="00880BBA"/>
    <w:rsid w:val="00880C81"/>
    <w:rsid w:val="00881C64"/>
    <w:rsid w:val="00882E90"/>
    <w:rsid w:val="008840F5"/>
    <w:rsid w:val="00886AC0"/>
    <w:rsid w:val="00887DA1"/>
    <w:rsid w:val="0089193E"/>
    <w:rsid w:val="008930BC"/>
    <w:rsid w:val="008935C8"/>
    <w:rsid w:val="0089472D"/>
    <w:rsid w:val="00895155"/>
    <w:rsid w:val="0089527F"/>
    <w:rsid w:val="00895DC6"/>
    <w:rsid w:val="00896361"/>
    <w:rsid w:val="0089641D"/>
    <w:rsid w:val="00896A24"/>
    <w:rsid w:val="008A015F"/>
    <w:rsid w:val="008A13A4"/>
    <w:rsid w:val="008A1BBF"/>
    <w:rsid w:val="008A1E53"/>
    <w:rsid w:val="008A2396"/>
    <w:rsid w:val="008A295E"/>
    <w:rsid w:val="008A3EED"/>
    <w:rsid w:val="008A46CB"/>
    <w:rsid w:val="008A5129"/>
    <w:rsid w:val="008A545A"/>
    <w:rsid w:val="008A75A2"/>
    <w:rsid w:val="008A7EFE"/>
    <w:rsid w:val="008B0347"/>
    <w:rsid w:val="008B0B26"/>
    <w:rsid w:val="008B3BCA"/>
    <w:rsid w:val="008B3BF5"/>
    <w:rsid w:val="008B778F"/>
    <w:rsid w:val="008B7D97"/>
    <w:rsid w:val="008C0060"/>
    <w:rsid w:val="008C0393"/>
    <w:rsid w:val="008C060B"/>
    <w:rsid w:val="008C1505"/>
    <w:rsid w:val="008C21D8"/>
    <w:rsid w:val="008C2D6A"/>
    <w:rsid w:val="008C34C5"/>
    <w:rsid w:val="008C4D1A"/>
    <w:rsid w:val="008C5421"/>
    <w:rsid w:val="008D08FA"/>
    <w:rsid w:val="008D14D5"/>
    <w:rsid w:val="008D1CEA"/>
    <w:rsid w:val="008D1FDC"/>
    <w:rsid w:val="008D2222"/>
    <w:rsid w:val="008D22C5"/>
    <w:rsid w:val="008D31D1"/>
    <w:rsid w:val="008D454C"/>
    <w:rsid w:val="008D5B36"/>
    <w:rsid w:val="008D5EDE"/>
    <w:rsid w:val="008E0AA0"/>
    <w:rsid w:val="008E20DD"/>
    <w:rsid w:val="008E2C85"/>
    <w:rsid w:val="008E3614"/>
    <w:rsid w:val="008E3804"/>
    <w:rsid w:val="008E39C9"/>
    <w:rsid w:val="008E407A"/>
    <w:rsid w:val="008E52F4"/>
    <w:rsid w:val="008E550A"/>
    <w:rsid w:val="008F083F"/>
    <w:rsid w:val="008F3A1E"/>
    <w:rsid w:val="008F6496"/>
    <w:rsid w:val="008F72EA"/>
    <w:rsid w:val="009010D5"/>
    <w:rsid w:val="009014F7"/>
    <w:rsid w:val="00903557"/>
    <w:rsid w:val="00903E2F"/>
    <w:rsid w:val="0090406A"/>
    <w:rsid w:val="0090462F"/>
    <w:rsid w:val="009047D8"/>
    <w:rsid w:val="0090737C"/>
    <w:rsid w:val="009127B3"/>
    <w:rsid w:val="00912A36"/>
    <w:rsid w:val="00913662"/>
    <w:rsid w:val="00913829"/>
    <w:rsid w:val="00914299"/>
    <w:rsid w:val="00914BFF"/>
    <w:rsid w:val="009222DA"/>
    <w:rsid w:val="00922728"/>
    <w:rsid w:val="00923041"/>
    <w:rsid w:val="00923361"/>
    <w:rsid w:val="0092485C"/>
    <w:rsid w:val="009249F3"/>
    <w:rsid w:val="00924A95"/>
    <w:rsid w:val="009274C7"/>
    <w:rsid w:val="009279F2"/>
    <w:rsid w:val="00927F2B"/>
    <w:rsid w:val="00930DF5"/>
    <w:rsid w:val="00931CF1"/>
    <w:rsid w:val="0093206D"/>
    <w:rsid w:val="0093347F"/>
    <w:rsid w:val="00941954"/>
    <w:rsid w:val="00942862"/>
    <w:rsid w:val="00942F04"/>
    <w:rsid w:val="00944F7C"/>
    <w:rsid w:val="00947D5B"/>
    <w:rsid w:val="00950198"/>
    <w:rsid w:val="00950BCA"/>
    <w:rsid w:val="00950C8E"/>
    <w:rsid w:val="0095224B"/>
    <w:rsid w:val="0095314B"/>
    <w:rsid w:val="0095340C"/>
    <w:rsid w:val="009549CB"/>
    <w:rsid w:val="00955983"/>
    <w:rsid w:val="0095704E"/>
    <w:rsid w:val="0095766F"/>
    <w:rsid w:val="00957912"/>
    <w:rsid w:val="00961BBC"/>
    <w:rsid w:val="00961EDC"/>
    <w:rsid w:val="0096234C"/>
    <w:rsid w:val="00967C5F"/>
    <w:rsid w:val="009700BD"/>
    <w:rsid w:val="00971D69"/>
    <w:rsid w:val="009731D1"/>
    <w:rsid w:val="00973E2D"/>
    <w:rsid w:val="009744E8"/>
    <w:rsid w:val="0097482D"/>
    <w:rsid w:val="00975EB9"/>
    <w:rsid w:val="0097777E"/>
    <w:rsid w:val="00980A05"/>
    <w:rsid w:val="0098272B"/>
    <w:rsid w:val="00982A18"/>
    <w:rsid w:val="00986756"/>
    <w:rsid w:val="00986D94"/>
    <w:rsid w:val="00987025"/>
    <w:rsid w:val="00987BA7"/>
    <w:rsid w:val="009923AE"/>
    <w:rsid w:val="009933ED"/>
    <w:rsid w:val="0099679A"/>
    <w:rsid w:val="00996A0D"/>
    <w:rsid w:val="00997612"/>
    <w:rsid w:val="009A23CE"/>
    <w:rsid w:val="009A265B"/>
    <w:rsid w:val="009A2AA0"/>
    <w:rsid w:val="009A358C"/>
    <w:rsid w:val="009A3CA2"/>
    <w:rsid w:val="009A4352"/>
    <w:rsid w:val="009A4D02"/>
    <w:rsid w:val="009A5598"/>
    <w:rsid w:val="009A58B6"/>
    <w:rsid w:val="009A5F4E"/>
    <w:rsid w:val="009A67AB"/>
    <w:rsid w:val="009A684D"/>
    <w:rsid w:val="009A7044"/>
    <w:rsid w:val="009A77B4"/>
    <w:rsid w:val="009B07D7"/>
    <w:rsid w:val="009B0E10"/>
    <w:rsid w:val="009B151C"/>
    <w:rsid w:val="009B3D09"/>
    <w:rsid w:val="009B553C"/>
    <w:rsid w:val="009B5F49"/>
    <w:rsid w:val="009C1754"/>
    <w:rsid w:val="009C2BF5"/>
    <w:rsid w:val="009C3361"/>
    <w:rsid w:val="009C359A"/>
    <w:rsid w:val="009C382E"/>
    <w:rsid w:val="009C4436"/>
    <w:rsid w:val="009C4743"/>
    <w:rsid w:val="009C504A"/>
    <w:rsid w:val="009C59E8"/>
    <w:rsid w:val="009C5E7B"/>
    <w:rsid w:val="009C70E7"/>
    <w:rsid w:val="009D0229"/>
    <w:rsid w:val="009D0300"/>
    <w:rsid w:val="009D0F05"/>
    <w:rsid w:val="009D0F1C"/>
    <w:rsid w:val="009D2FBB"/>
    <w:rsid w:val="009D505C"/>
    <w:rsid w:val="009D6EA7"/>
    <w:rsid w:val="009D77D4"/>
    <w:rsid w:val="009D7D8D"/>
    <w:rsid w:val="009E0DD0"/>
    <w:rsid w:val="009E41E7"/>
    <w:rsid w:val="009E4794"/>
    <w:rsid w:val="009E6331"/>
    <w:rsid w:val="009F5B56"/>
    <w:rsid w:val="009F65B0"/>
    <w:rsid w:val="009F6AD5"/>
    <w:rsid w:val="00A015A1"/>
    <w:rsid w:val="00A017BE"/>
    <w:rsid w:val="00A0207D"/>
    <w:rsid w:val="00A0731F"/>
    <w:rsid w:val="00A10AEE"/>
    <w:rsid w:val="00A11007"/>
    <w:rsid w:val="00A13084"/>
    <w:rsid w:val="00A14BA1"/>
    <w:rsid w:val="00A1586F"/>
    <w:rsid w:val="00A16B4D"/>
    <w:rsid w:val="00A16BA3"/>
    <w:rsid w:val="00A2364C"/>
    <w:rsid w:val="00A2515A"/>
    <w:rsid w:val="00A25BDB"/>
    <w:rsid w:val="00A2660A"/>
    <w:rsid w:val="00A270FB"/>
    <w:rsid w:val="00A314D7"/>
    <w:rsid w:val="00A31707"/>
    <w:rsid w:val="00A31904"/>
    <w:rsid w:val="00A346F0"/>
    <w:rsid w:val="00A347F3"/>
    <w:rsid w:val="00A35F6E"/>
    <w:rsid w:val="00A36CF8"/>
    <w:rsid w:val="00A376FB"/>
    <w:rsid w:val="00A37830"/>
    <w:rsid w:val="00A37929"/>
    <w:rsid w:val="00A40588"/>
    <w:rsid w:val="00A411AC"/>
    <w:rsid w:val="00A4318E"/>
    <w:rsid w:val="00A4359A"/>
    <w:rsid w:val="00A43A04"/>
    <w:rsid w:val="00A52C7A"/>
    <w:rsid w:val="00A53D7D"/>
    <w:rsid w:val="00A5440E"/>
    <w:rsid w:val="00A55C90"/>
    <w:rsid w:val="00A56B91"/>
    <w:rsid w:val="00A57B73"/>
    <w:rsid w:val="00A60358"/>
    <w:rsid w:val="00A63CCA"/>
    <w:rsid w:val="00A67C61"/>
    <w:rsid w:val="00A70126"/>
    <w:rsid w:val="00A72044"/>
    <w:rsid w:val="00A73D37"/>
    <w:rsid w:val="00A77B35"/>
    <w:rsid w:val="00A8504B"/>
    <w:rsid w:val="00A85B0F"/>
    <w:rsid w:val="00A85C0B"/>
    <w:rsid w:val="00A86211"/>
    <w:rsid w:val="00A90167"/>
    <w:rsid w:val="00A90F3A"/>
    <w:rsid w:val="00A93226"/>
    <w:rsid w:val="00A950CF"/>
    <w:rsid w:val="00A9552A"/>
    <w:rsid w:val="00A9553E"/>
    <w:rsid w:val="00A96FB2"/>
    <w:rsid w:val="00A97E7C"/>
    <w:rsid w:val="00AA3429"/>
    <w:rsid w:val="00AA4677"/>
    <w:rsid w:val="00AA7349"/>
    <w:rsid w:val="00AB3203"/>
    <w:rsid w:val="00AB4CC4"/>
    <w:rsid w:val="00AB652E"/>
    <w:rsid w:val="00AB689E"/>
    <w:rsid w:val="00AB6AB6"/>
    <w:rsid w:val="00AC09FB"/>
    <w:rsid w:val="00AC2EDD"/>
    <w:rsid w:val="00AC3DE5"/>
    <w:rsid w:val="00AC4893"/>
    <w:rsid w:val="00AC7FBE"/>
    <w:rsid w:val="00AD0891"/>
    <w:rsid w:val="00AD1C1F"/>
    <w:rsid w:val="00AD1D24"/>
    <w:rsid w:val="00AD24BB"/>
    <w:rsid w:val="00AD2A14"/>
    <w:rsid w:val="00AD375F"/>
    <w:rsid w:val="00AD4843"/>
    <w:rsid w:val="00AD4C15"/>
    <w:rsid w:val="00AD5B45"/>
    <w:rsid w:val="00AD73D3"/>
    <w:rsid w:val="00AE04AB"/>
    <w:rsid w:val="00AE0773"/>
    <w:rsid w:val="00AE1F7E"/>
    <w:rsid w:val="00AE467A"/>
    <w:rsid w:val="00AE4C59"/>
    <w:rsid w:val="00AE6042"/>
    <w:rsid w:val="00AE682E"/>
    <w:rsid w:val="00AF026C"/>
    <w:rsid w:val="00AF0AD0"/>
    <w:rsid w:val="00AF1A7C"/>
    <w:rsid w:val="00AF2577"/>
    <w:rsid w:val="00AF4E3A"/>
    <w:rsid w:val="00AF6E96"/>
    <w:rsid w:val="00AF778D"/>
    <w:rsid w:val="00AF789D"/>
    <w:rsid w:val="00B000AC"/>
    <w:rsid w:val="00B0073F"/>
    <w:rsid w:val="00B01ED6"/>
    <w:rsid w:val="00B02545"/>
    <w:rsid w:val="00B03371"/>
    <w:rsid w:val="00B050E5"/>
    <w:rsid w:val="00B051F9"/>
    <w:rsid w:val="00B0600E"/>
    <w:rsid w:val="00B069B3"/>
    <w:rsid w:val="00B07731"/>
    <w:rsid w:val="00B07A11"/>
    <w:rsid w:val="00B11EA6"/>
    <w:rsid w:val="00B1340C"/>
    <w:rsid w:val="00B13DA6"/>
    <w:rsid w:val="00B143A6"/>
    <w:rsid w:val="00B14873"/>
    <w:rsid w:val="00B178C4"/>
    <w:rsid w:val="00B17AAF"/>
    <w:rsid w:val="00B17D0F"/>
    <w:rsid w:val="00B20506"/>
    <w:rsid w:val="00B207A5"/>
    <w:rsid w:val="00B207C7"/>
    <w:rsid w:val="00B23506"/>
    <w:rsid w:val="00B24738"/>
    <w:rsid w:val="00B27546"/>
    <w:rsid w:val="00B27A06"/>
    <w:rsid w:val="00B3011E"/>
    <w:rsid w:val="00B3048B"/>
    <w:rsid w:val="00B31D10"/>
    <w:rsid w:val="00B3381C"/>
    <w:rsid w:val="00B34565"/>
    <w:rsid w:val="00B35B82"/>
    <w:rsid w:val="00B360D3"/>
    <w:rsid w:val="00B36D3B"/>
    <w:rsid w:val="00B36DE5"/>
    <w:rsid w:val="00B36EED"/>
    <w:rsid w:val="00B403AF"/>
    <w:rsid w:val="00B41426"/>
    <w:rsid w:val="00B427FB"/>
    <w:rsid w:val="00B4280E"/>
    <w:rsid w:val="00B43A62"/>
    <w:rsid w:val="00B45F90"/>
    <w:rsid w:val="00B4794A"/>
    <w:rsid w:val="00B47A75"/>
    <w:rsid w:val="00B51886"/>
    <w:rsid w:val="00B53DD4"/>
    <w:rsid w:val="00B5423F"/>
    <w:rsid w:val="00B56E34"/>
    <w:rsid w:val="00B6044C"/>
    <w:rsid w:val="00B62792"/>
    <w:rsid w:val="00B63EC2"/>
    <w:rsid w:val="00B65366"/>
    <w:rsid w:val="00B66442"/>
    <w:rsid w:val="00B667DA"/>
    <w:rsid w:val="00B67F64"/>
    <w:rsid w:val="00B71B33"/>
    <w:rsid w:val="00B72AC3"/>
    <w:rsid w:val="00B749F0"/>
    <w:rsid w:val="00B74A2C"/>
    <w:rsid w:val="00B759E0"/>
    <w:rsid w:val="00B81835"/>
    <w:rsid w:val="00B821AF"/>
    <w:rsid w:val="00B823DB"/>
    <w:rsid w:val="00B82CE9"/>
    <w:rsid w:val="00B8326A"/>
    <w:rsid w:val="00B86F29"/>
    <w:rsid w:val="00B87F2C"/>
    <w:rsid w:val="00B91380"/>
    <w:rsid w:val="00B9453B"/>
    <w:rsid w:val="00B96AE1"/>
    <w:rsid w:val="00B96BC2"/>
    <w:rsid w:val="00B97A0A"/>
    <w:rsid w:val="00BA0C41"/>
    <w:rsid w:val="00BA1357"/>
    <w:rsid w:val="00BA15C7"/>
    <w:rsid w:val="00BA44F1"/>
    <w:rsid w:val="00BA723D"/>
    <w:rsid w:val="00BA743E"/>
    <w:rsid w:val="00BA7859"/>
    <w:rsid w:val="00BB2BDD"/>
    <w:rsid w:val="00BB4263"/>
    <w:rsid w:val="00BB4A78"/>
    <w:rsid w:val="00BB5E38"/>
    <w:rsid w:val="00BB6F14"/>
    <w:rsid w:val="00BB7E44"/>
    <w:rsid w:val="00BC1204"/>
    <w:rsid w:val="00BC26C0"/>
    <w:rsid w:val="00BC3262"/>
    <w:rsid w:val="00BC3494"/>
    <w:rsid w:val="00BC6E54"/>
    <w:rsid w:val="00BC7C7C"/>
    <w:rsid w:val="00BD02F2"/>
    <w:rsid w:val="00BD0A27"/>
    <w:rsid w:val="00BD0F3F"/>
    <w:rsid w:val="00BD11D3"/>
    <w:rsid w:val="00BD1DC4"/>
    <w:rsid w:val="00BD43CF"/>
    <w:rsid w:val="00BD5A37"/>
    <w:rsid w:val="00BD64AA"/>
    <w:rsid w:val="00BD6593"/>
    <w:rsid w:val="00BD6758"/>
    <w:rsid w:val="00BD7838"/>
    <w:rsid w:val="00BE30EC"/>
    <w:rsid w:val="00BE4201"/>
    <w:rsid w:val="00BF01CE"/>
    <w:rsid w:val="00BF1D2D"/>
    <w:rsid w:val="00BF2767"/>
    <w:rsid w:val="00BF450D"/>
    <w:rsid w:val="00BF7470"/>
    <w:rsid w:val="00BF7B2F"/>
    <w:rsid w:val="00BF7B31"/>
    <w:rsid w:val="00C00208"/>
    <w:rsid w:val="00C00330"/>
    <w:rsid w:val="00C00FC7"/>
    <w:rsid w:val="00C01012"/>
    <w:rsid w:val="00C03884"/>
    <w:rsid w:val="00C05A67"/>
    <w:rsid w:val="00C06CA8"/>
    <w:rsid w:val="00C10D7D"/>
    <w:rsid w:val="00C11ADD"/>
    <w:rsid w:val="00C12463"/>
    <w:rsid w:val="00C129F1"/>
    <w:rsid w:val="00C138E6"/>
    <w:rsid w:val="00C14600"/>
    <w:rsid w:val="00C15988"/>
    <w:rsid w:val="00C2000B"/>
    <w:rsid w:val="00C20690"/>
    <w:rsid w:val="00C20D68"/>
    <w:rsid w:val="00C21148"/>
    <w:rsid w:val="00C218BB"/>
    <w:rsid w:val="00C22E62"/>
    <w:rsid w:val="00C244BE"/>
    <w:rsid w:val="00C24F6A"/>
    <w:rsid w:val="00C252C0"/>
    <w:rsid w:val="00C2585F"/>
    <w:rsid w:val="00C26FE8"/>
    <w:rsid w:val="00C27689"/>
    <w:rsid w:val="00C31444"/>
    <w:rsid w:val="00C31A69"/>
    <w:rsid w:val="00C32618"/>
    <w:rsid w:val="00C32E1A"/>
    <w:rsid w:val="00C3404F"/>
    <w:rsid w:val="00C34482"/>
    <w:rsid w:val="00C35511"/>
    <w:rsid w:val="00C35949"/>
    <w:rsid w:val="00C35EDA"/>
    <w:rsid w:val="00C35F41"/>
    <w:rsid w:val="00C36642"/>
    <w:rsid w:val="00C40273"/>
    <w:rsid w:val="00C43B98"/>
    <w:rsid w:val="00C469D0"/>
    <w:rsid w:val="00C46F32"/>
    <w:rsid w:val="00C47BB8"/>
    <w:rsid w:val="00C50118"/>
    <w:rsid w:val="00C51F5B"/>
    <w:rsid w:val="00C538CC"/>
    <w:rsid w:val="00C53B6B"/>
    <w:rsid w:val="00C54D4F"/>
    <w:rsid w:val="00C55CAB"/>
    <w:rsid w:val="00C578BE"/>
    <w:rsid w:val="00C579CC"/>
    <w:rsid w:val="00C57C98"/>
    <w:rsid w:val="00C60DBC"/>
    <w:rsid w:val="00C613F3"/>
    <w:rsid w:val="00C61AC7"/>
    <w:rsid w:val="00C63001"/>
    <w:rsid w:val="00C6330A"/>
    <w:rsid w:val="00C6351A"/>
    <w:rsid w:val="00C64B17"/>
    <w:rsid w:val="00C66572"/>
    <w:rsid w:val="00C70149"/>
    <w:rsid w:val="00C7017F"/>
    <w:rsid w:val="00C705C0"/>
    <w:rsid w:val="00C74004"/>
    <w:rsid w:val="00C74C0A"/>
    <w:rsid w:val="00C75F96"/>
    <w:rsid w:val="00C77254"/>
    <w:rsid w:val="00C807A8"/>
    <w:rsid w:val="00C8270F"/>
    <w:rsid w:val="00C82D07"/>
    <w:rsid w:val="00C83A46"/>
    <w:rsid w:val="00C85459"/>
    <w:rsid w:val="00C85C00"/>
    <w:rsid w:val="00C86D4E"/>
    <w:rsid w:val="00C90428"/>
    <w:rsid w:val="00C90C41"/>
    <w:rsid w:val="00C91922"/>
    <w:rsid w:val="00C91A75"/>
    <w:rsid w:val="00C92112"/>
    <w:rsid w:val="00C92E90"/>
    <w:rsid w:val="00C944E2"/>
    <w:rsid w:val="00C94FA5"/>
    <w:rsid w:val="00C95575"/>
    <w:rsid w:val="00C95B68"/>
    <w:rsid w:val="00C96731"/>
    <w:rsid w:val="00C96CBA"/>
    <w:rsid w:val="00C96DE0"/>
    <w:rsid w:val="00C9771C"/>
    <w:rsid w:val="00C97C55"/>
    <w:rsid w:val="00C97D8A"/>
    <w:rsid w:val="00CA23F6"/>
    <w:rsid w:val="00CA30D4"/>
    <w:rsid w:val="00CA412B"/>
    <w:rsid w:val="00CA48AE"/>
    <w:rsid w:val="00CA5C49"/>
    <w:rsid w:val="00CA5F06"/>
    <w:rsid w:val="00CA676F"/>
    <w:rsid w:val="00CA6A2E"/>
    <w:rsid w:val="00CA781C"/>
    <w:rsid w:val="00CA7EA5"/>
    <w:rsid w:val="00CB08E8"/>
    <w:rsid w:val="00CB0C0B"/>
    <w:rsid w:val="00CB1025"/>
    <w:rsid w:val="00CB15E7"/>
    <w:rsid w:val="00CB2A58"/>
    <w:rsid w:val="00CB5578"/>
    <w:rsid w:val="00CB66AE"/>
    <w:rsid w:val="00CC02AA"/>
    <w:rsid w:val="00CC1A39"/>
    <w:rsid w:val="00CC238B"/>
    <w:rsid w:val="00CC2D64"/>
    <w:rsid w:val="00CC465B"/>
    <w:rsid w:val="00CD0E8F"/>
    <w:rsid w:val="00CD1B1A"/>
    <w:rsid w:val="00CD3B8F"/>
    <w:rsid w:val="00CD59F5"/>
    <w:rsid w:val="00CD6189"/>
    <w:rsid w:val="00CD6260"/>
    <w:rsid w:val="00CD6A93"/>
    <w:rsid w:val="00CE0668"/>
    <w:rsid w:val="00CE0C56"/>
    <w:rsid w:val="00CE19A4"/>
    <w:rsid w:val="00CE26BB"/>
    <w:rsid w:val="00CE4B01"/>
    <w:rsid w:val="00CE4C09"/>
    <w:rsid w:val="00CE614E"/>
    <w:rsid w:val="00CF06EE"/>
    <w:rsid w:val="00CF2805"/>
    <w:rsid w:val="00CF2A4B"/>
    <w:rsid w:val="00CF33D2"/>
    <w:rsid w:val="00CF3749"/>
    <w:rsid w:val="00CF544E"/>
    <w:rsid w:val="00CF6498"/>
    <w:rsid w:val="00CF753B"/>
    <w:rsid w:val="00CF7A7C"/>
    <w:rsid w:val="00CF7DFB"/>
    <w:rsid w:val="00D00A4C"/>
    <w:rsid w:val="00D0184B"/>
    <w:rsid w:val="00D03C85"/>
    <w:rsid w:val="00D04EB9"/>
    <w:rsid w:val="00D06E2E"/>
    <w:rsid w:val="00D13A7C"/>
    <w:rsid w:val="00D14DC9"/>
    <w:rsid w:val="00D14FC8"/>
    <w:rsid w:val="00D1502C"/>
    <w:rsid w:val="00D15AA6"/>
    <w:rsid w:val="00D169B3"/>
    <w:rsid w:val="00D17E1E"/>
    <w:rsid w:val="00D20553"/>
    <w:rsid w:val="00D20D39"/>
    <w:rsid w:val="00D210AE"/>
    <w:rsid w:val="00D22742"/>
    <w:rsid w:val="00D2313B"/>
    <w:rsid w:val="00D23DA6"/>
    <w:rsid w:val="00D244C7"/>
    <w:rsid w:val="00D24881"/>
    <w:rsid w:val="00D24A28"/>
    <w:rsid w:val="00D251E2"/>
    <w:rsid w:val="00D25F67"/>
    <w:rsid w:val="00D26401"/>
    <w:rsid w:val="00D26F6B"/>
    <w:rsid w:val="00D3020E"/>
    <w:rsid w:val="00D30237"/>
    <w:rsid w:val="00D31845"/>
    <w:rsid w:val="00D358EF"/>
    <w:rsid w:val="00D36396"/>
    <w:rsid w:val="00D40C2B"/>
    <w:rsid w:val="00D40EFC"/>
    <w:rsid w:val="00D41BEE"/>
    <w:rsid w:val="00D43F34"/>
    <w:rsid w:val="00D442F0"/>
    <w:rsid w:val="00D448A1"/>
    <w:rsid w:val="00D45C75"/>
    <w:rsid w:val="00D4742C"/>
    <w:rsid w:val="00D50B04"/>
    <w:rsid w:val="00D5453B"/>
    <w:rsid w:val="00D548ED"/>
    <w:rsid w:val="00D55D9A"/>
    <w:rsid w:val="00D5774C"/>
    <w:rsid w:val="00D602EB"/>
    <w:rsid w:val="00D638CA"/>
    <w:rsid w:val="00D64EE2"/>
    <w:rsid w:val="00D6551C"/>
    <w:rsid w:val="00D656DC"/>
    <w:rsid w:val="00D65EF7"/>
    <w:rsid w:val="00D660F9"/>
    <w:rsid w:val="00D67847"/>
    <w:rsid w:val="00D67FEE"/>
    <w:rsid w:val="00D71A36"/>
    <w:rsid w:val="00D72BB9"/>
    <w:rsid w:val="00D76349"/>
    <w:rsid w:val="00D81077"/>
    <w:rsid w:val="00D82D9B"/>
    <w:rsid w:val="00D83438"/>
    <w:rsid w:val="00D848CD"/>
    <w:rsid w:val="00D856FF"/>
    <w:rsid w:val="00D85ED5"/>
    <w:rsid w:val="00D91BC8"/>
    <w:rsid w:val="00D937A8"/>
    <w:rsid w:val="00D94591"/>
    <w:rsid w:val="00D94D12"/>
    <w:rsid w:val="00D9509C"/>
    <w:rsid w:val="00D97A01"/>
    <w:rsid w:val="00DA0986"/>
    <w:rsid w:val="00DA116F"/>
    <w:rsid w:val="00DA24C4"/>
    <w:rsid w:val="00DA2BF7"/>
    <w:rsid w:val="00DA33E9"/>
    <w:rsid w:val="00DA36CA"/>
    <w:rsid w:val="00DA3B16"/>
    <w:rsid w:val="00DA5702"/>
    <w:rsid w:val="00DA7302"/>
    <w:rsid w:val="00DA7CCF"/>
    <w:rsid w:val="00DB0430"/>
    <w:rsid w:val="00DB1093"/>
    <w:rsid w:val="00DB2DB7"/>
    <w:rsid w:val="00DB40B5"/>
    <w:rsid w:val="00DB5273"/>
    <w:rsid w:val="00DB52CC"/>
    <w:rsid w:val="00DB67AE"/>
    <w:rsid w:val="00DB7776"/>
    <w:rsid w:val="00DC0139"/>
    <w:rsid w:val="00DC1199"/>
    <w:rsid w:val="00DC2EBC"/>
    <w:rsid w:val="00DC3CDD"/>
    <w:rsid w:val="00DC40B1"/>
    <w:rsid w:val="00DC5138"/>
    <w:rsid w:val="00DC5C3D"/>
    <w:rsid w:val="00DD35C4"/>
    <w:rsid w:val="00DD5CA4"/>
    <w:rsid w:val="00DD6416"/>
    <w:rsid w:val="00DD68DF"/>
    <w:rsid w:val="00DE1A3F"/>
    <w:rsid w:val="00DE1EBA"/>
    <w:rsid w:val="00DE2EED"/>
    <w:rsid w:val="00DE3222"/>
    <w:rsid w:val="00DE3A6A"/>
    <w:rsid w:val="00DE520C"/>
    <w:rsid w:val="00DE557E"/>
    <w:rsid w:val="00DE56E9"/>
    <w:rsid w:val="00DE7B28"/>
    <w:rsid w:val="00DF0E51"/>
    <w:rsid w:val="00DF31A2"/>
    <w:rsid w:val="00DF31D4"/>
    <w:rsid w:val="00DF5A8D"/>
    <w:rsid w:val="00DF5E84"/>
    <w:rsid w:val="00E034DD"/>
    <w:rsid w:val="00E04B0C"/>
    <w:rsid w:val="00E05118"/>
    <w:rsid w:val="00E05C3A"/>
    <w:rsid w:val="00E06853"/>
    <w:rsid w:val="00E06BE2"/>
    <w:rsid w:val="00E06F37"/>
    <w:rsid w:val="00E0701E"/>
    <w:rsid w:val="00E07C41"/>
    <w:rsid w:val="00E13A82"/>
    <w:rsid w:val="00E13DB9"/>
    <w:rsid w:val="00E14B38"/>
    <w:rsid w:val="00E15492"/>
    <w:rsid w:val="00E16A6D"/>
    <w:rsid w:val="00E16F71"/>
    <w:rsid w:val="00E17B50"/>
    <w:rsid w:val="00E22722"/>
    <w:rsid w:val="00E22BFC"/>
    <w:rsid w:val="00E2335C"/>
    <w:rsid w:val="00E236F0"/>
    <w:rsid w:val="00E2413E"/>
    <w:rsid w:val="00E24BAC"/>
    <w:rsid w:val="00E25287"/>
    <w:rsid w:val="00E2562A"/>
    <w:rsid w:val="00E25A8E"/>
    <w:rsid w:val="00E261C7"/>
    <w:rsid w:val="00E270A9"/>
    <w:rsid w:val="00E33405"/>
    <w:rsid w:val="00E34940"/>
    <w:rsid w:val="00E3718F"/>
    <w:rsid w:val="00E378EE"/>
    <w:rsid w:val="00E37D05"/>
    <w:rsid w:val="00E42797"/>
    <w:rsid w:val="00E445C4"/>
    <w:rsid w:val="00E45396"/>
    <w:rsid w:val="00E45B3A"/>
    <w:rsid w:val="00E46BB6"/>
    <w:rsid w:val="00E50562"/>
    <w:rsid w:val="00E50AE7"/>
    <w:rsid w:val="00E5116C"/>
    <w:rsid w:val="00E51D4D"/>
    <w:rsid w:val="00E5244C"/>
    <w:rsid w:val="00E53070"/>
    <w:rsid w:val="00E5431C"/>
    <w:rsid w:val="00E54BE3"/>
    <w:rsid w:val="00E56B5B"/>
    <w:rsid w:val="00E56C20"/>
    <w:rsid w:val="00E56E02"/>
    <w:rsid w:val="00E6098F"/>
    <w:rsid w:val="00E60E68"/>
    <w:rsid w:val="00E70735"/>
    <w:rsid w:val="00E71CAB"/>
    <w:rsid w:val="00E73098"/>
    <w:rsid w:val="00E7609F"/>
    <w:rsid w:val="00E76844"/>
    <w:rsid w:val="00E76922"/>
    <w:rsid w:val="00E77EDE"/>
    <w:rsid w:val="00E818CF"/>
    <w:rsid w:val="00E820CF"/>
    <w:rsid w:val="00E83748"/>
    <w:rsid w:val="00E83B20"/>
    <w:rsid w:val="00E85411"/>
    <w:rsid w:val="00E874D3"/>
    <w:rsid w:val="00E87547"/>
    <w:rsid w:val="00E9013D"/>
    <w:rsid w:val="00E90362"/>
    <w:rsid w:val="00E903B0"/>
    <w:rsid w:val="00E921A7"/>
    <w:rsid w:val="00E9392A"/>
    <w:rsid w:val="00E95FFC"/>
    <w:rsid w:val="00EA01FA"/>
    <w:rsid w:val="00EA0E42"/>
    <w:rsid w:val="00EA1808"/>
    <w:rsid w:val="00EA1F76"/>
    <w:rsid w:val="00EA5967"/>
    <w:rsid w:val="00EA7ABF"/>
    <w:rsid w:val="00EA7C4C"/>
    <w:rsid w:val="00EA7E97"/>
    <w:rsid w:val="00EA7F68"/>
    <w:rsid w:val="00EB02BC"/>
    <w:rsid w:val="00EB1FD4"/>
    <w:rsid w:val="00EB4EC0"/>
    <w:rsid w:val="00EB5190"/>
    <w:rsid w:val="00EB67DE"/>
    <w:rsid w:val="00EB67EC"/>
    <w:rsid w:val="00EB6847"/>
    <w:rsid w:val="00EB77D4"/>
    <w:rsid w:val="00EC1A58"/>
    <w:rsid w:val="00EC3411"/>
    <w:rsid w:val="00EC66BD"/>
    <w:rsid w:val="00EC6748"/>
    <w:rsid w:val="00EC6911"/>
    <w:rsid w:val="00EC6C7D"/>
    <w:rsid w:val="00ED069F"/>
    <w:rsid w:val="00ED1A29"/>
    <w:rsid w:val="00ED4184"/>
    <w:rsid w:val="00ED5457"/>
    <w:rsid w:val="00EE02D9"/>
    <w:rsid w:val="00EE12EA"/>
    <w:rsid w:val="00EE269B"/>
    <w:rsid w:val="00EE4B55"/>
    <w:rsid w:val="00EE4F1C"/>
    <w:rsid w:val="00EE55DB"/>
    <w:rsid w:val="00EE7207"/>
    <w:rsid w:val="00EE78F0"/>
    <w:rsid w:val="00EE7A94"/>
    <w:rsid w:val="00EF117B"/>
    <w:rsid w:val="00EF1AD9"/>
    <w:rsid w:val="00EF288F"/>
    <w:rsid w:val="00EF2A9D"/>
    <w:rsid w:val="00EF2DAF"/>
    <w:rsid w:val="00EF3973"/>
    <w:rsid w:val="00EF45C8"/>
    <w:rsid w:val="00EF49EA"/>
    <w:rsid w:val="00EF4A2A"/>
    <w:rsid w:val="00EF4BDF"/>
    <w:rsid w:val="00EF4BFB"/>
    <w:rsid w:val="00EF4BFF"/>
    <w:rsid w:val="00EF5024"/>
    <w:rsid w:val="00EF66E0"/>
    <w:rsid w:val="00F0114A"/>
    <w:rsid w:val="00F02576"/>
    <w:rsid w:val="00F03C3E"/>
    <w:rsid w:val="00F051CA"/>
    <w:rsid w:val="00F07CF4"/>
    <w:rsid w:val="00F10637"/>
    <w:rsid w:val="00F11ADA"/>
    <w:rsid w:val="00F13AA3"/>
    <w:rsid w:val="00F13E18"/>
    <w:rsid w:val="00F15F51"/>
    <w:rsid w:val="00F164A7"/>
    <w:rsid w:val="00F17898"/>
    <w:rsid w:val="00F17CA3"/>
    <w:rsid w:val="00F20527"/>
    <w:rsid w:val="00F21F33"/>
    <w:rsid w:val="00F2286C"/>
    <w:rsid w:val="00F25350"/>
    <w:rsid w:val="00F255FF"/>
    <w:rsid w:val="00F262B9"/>
    <w:rsid w:val="00F2655A"/>
    <w:rsid w:val="00F26FB0"/>
    <w:rsid w:val="00F27560"/>
    <w:rsid w:val="00F3050F"/>
    <w:rsid w:val="00F31DF5"/>
    <w:rsid w:val="00F320BA"/>
    <w:rsid w:val="00F324DA"/>
    <w:rsid w:val="00F32ADD"/>
    <w:rsid w:val="00F33B5A"/>
    <w:rsid w:val="00F35410"/>
    <w:rsid w:val="00F35B20"/>
    <w:rsid w:val="00F35C8E"/>
    <w:rsid w:val="00F35D4B"/>
    <w:rsid w:val="00F36795"/>
    <w:rsid w:val="00F370F7"/>
    <w:rsid w:val="00F37385"/>
    <w:rsid w:val="00F37AA6"/>
    <w:rsid w:val="00F40464"/>
    <w:rsid w:val="00F40A16"/>
    <w:rsid w:val="00F40C3C"/>
    <w:rsid w:val="00F42298"/>
    <w:rsid w:val="00F4254D"/>
    <w:rsid w:val="00F43B11"/>
    <w:rsid w:val="00F463AC"/>
    <w:rsid w:val="00F46861"/>
    <w:rsid w:val="00F50759"/>
    <w:rsid w:val="00F518E4"/>
    <w:rsid w:val="00F539D0"/>
    <w:rsid w:val="00F56C14"/>
    <w:rsid w:val="00F6146A"/>
    <w:rsid w:val="00F614CC"/>
    <w:rsid w:val="00F6208A"/>
    <w:rsid w:val="00F66F30"/>
    <w:rsid w:val="00F67931"/>
    <w:rsid w:val="00F67ED3"/>
    <w:rsid w:val="00F705B5"/>
    <w:rsid w:val="00F71156"/>
    <w:rsid w:val="00F71C49"/>
    <w:rsid w:val="00F726BD"/>
    <w:rsid w:val="00F75218"/>
    <w:rsid w:val="00F7612D"/>
    <w:rsid w:val="00F8121E"/>
    <w:rsid w:val="00F81FE4"/>
    <w:rsid w:val="00F82E75"/>
    <w:rsid w:val="00F832A6"/>
    <w:rsid w:val="00F8487D"/>
    <w:rsid w:val="00F859BF"/>
    <w:rsid w:val="00F87ABD"/>
    <w:rsid w:val="00F87FCD"/>
    <w:rsid w:val="00F87FF7"/>
    <w:rsid w:val="00F9083B"/>
    <w:rsid w:val="00F95028"/>
    <w:rsid w:val="00F97863"/>
    <w:rsid w:val="00FA5DCE"/>
    <w:rsid w:val="00FB11D0"/>
    <w:rsid w:val="00FB2B03"/>
    <w:rsid w:val="00FB2C29"/>
    <w:rsid w:val="00FB331B"/>
    <w:rsid w:val="00FB4188"/>
    <w:rsid w:val="00FB644E"/>
    <w:rsid w:val="00FB6618"/>
    <w:rsid w:val="00FB6E52"/>
    <w:rsid w:val="00FB795F"/>
    <w:rsid w:val="00FC025D"/>
    <w:rsid w:val="00FC174E"/>
    <w:rsid w:val="00FC2F9E"/>
    <w:rsid w:val="00FC3BE7"/>
    <w:rsid w:val="00FC5379"/>
    <w:rsid w:val="00FC5598"/>
    <w:rsid w:val="00FC5F86"/>
    <w:rsid w:val="00FC6F5B"/>
    <w:rsid w:val="00FC7AFD"/>
    <w:rsid w:val="00FC7F99"/>
    <w:rsid w:val="00FD23BA"/>
    <w:rsid w:val="00FD3058"/>
    <w:rsid w:val="00FD36CB"/>
    <w:rsid w:val="00FD4C1A"/>
    <w:rsid w:val="00FD5E9B"/>
    <w:rsid w:val="00FD7339"/>
    <w:rsid w:val="00FD748E"/>
    <w:rsid w:val="00FE1395"/>
    <w:rsid w:val="00FE23E1"/>
    <w:rsid w:val="00FE66CB"/>
    <w:rsid w:val="00FE7570"/>
    <w:rsid w:val="00FF019B"/>
    <w:rsid w:val="00FF11D7"/>
    <w:rsid w:val="00FF1701"/>
    <w:rsid w:val="00FF1875"/>
    <w:rsid w:val="00FF3ED1"/>
    <w:rsid w:val="00FF551D"/>
    <w:rsid w:val="00FF62B3"/>
    <w:rsid w:val="00FF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5FD78"/>
  <w15:chartTrackingRefBased/>
  <w15:docId w15:val="{71055E35-E60C-4383-841D-C3B007C2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68"/>
    <w:rPr>
      <w:sz w:val="24"/>
    </w:rPr>
  </w:style>
  <w:style w:type="paragraph" w:styleId="Heading1">
    <w:name w:val="heading 1"/>
    <w:basedOn w:val="Normal"/>
    <w:link w:val="Heading1Char"/>
    <w:autoRedefine/>
    <w:qFormat/>
    <w:rsid w:val="005920B2"/>
    <w:pPr>
      <w:shd w:val="clear" w:color="auto" w:fill="FFFFFF"/>
      <w:spacing w:after="0" w:line="240" w:lineRule="auto"/>
      <w:outlineLvl w:val="0"/>
    </w:pPr>
    <w:rPr>
      <w:rFonts w:eastAsia="Times New Roman" w:cs="Helvetica"/>
      <w:color w:val="000000"/>
      <w:kern w:val="36"/>
      <w:szCs w:val="24"/>
    </w:rPr>
  </w:style>
  <w:style w:type="paragraph" w:styleId="Heading2">
    <w:name w:val="heading 2"/>
    <w:basedOn w:val="Normal"/>
    <w:link w:val="Heading2Char"/>
    <w:autoRedefine/>
    <w:qFormat/>
    <w:rsid w:val="00696B35"/>
    <w:pPr>
      <w:keepNext/>
      <w:shd w:val="clear" w:color="auto" w:fill="FFFFFF"/>
      <w:tabs>
        <w:tab w:val="num" w:pos="2196"/>
      </w:tabs>
      <w:spacing w:after="0" w:line="240" w:lineRule="auto"/>
      <w:ind w:right="-90"/>
      <w:outlineLvl w:val="1"/>
    </w:pPr>
    <w:rPr>
      <w:rFonts w:eastAsia="Times New Roman" w:cstheme="minorHAnsi"/>
      <w:b/>
      <w:szCs w:val="24"/>
      <w:lang w:val="en-GB"/>
    </w:rPr>
  </w:style>
  <w:style w:type="paragraph" w:styleId="Heading3">
    <w:name w:val="heading 3"/>
    <w:basedOn w:val="Normal"/>
    <w:link w:val="Heading3Char"/>
    <w:autoRedefine/>
    <w:qFormat/>
    <w:rsid w:val="00C57C98"/>
    <w:pPr>
      <w:keepNext/>
      <w:tabs>
        <w:tab w:val="left" w:pos="0"/>
        <w:tab w:val="left" w:pos="630"/>
      </w:tabs>
      <w:spacing w:before="240" w:after="240" w:line="240" w:lineRule="auto"/>
      <w:outlineLvl w:val="2"/>
    </w:pPr>
    <w:rPr>
      <w:rFonts w:eastAsia="Times New Roman" w:cs="Times New Roman"/>
      <w:b/>
      <w:bCs/>
      <w:color w:val="222A35" w:themeColor="text2" w:themeShade="80"/>
      <w:szCs w:val="24"/>
      <w:bdr w:val="none" w:sz="0" w:space="0" w:color="auto" w:frame="1"/>
    </w:rPr>
  </w:style>
  <w:style w:type="paragraph" w:styleId="Heading4">
    <w:name w:val="heading 4"/>
    <w:basedOn w:val="Normal"/>
    <w:link w:val="Heading4Char"/>
    <w:autoRedefine/>
    <w:qFormat/>
    <w:rsid w:val="001D3801"/>
    <w:pPr>
      <w:spacing w:before="100" w:beforeAutospacing="1" w:after="100" w:afterAutospacing="1" w:line="240" w:lineRule="auto"/>
      <w:outlineLvl w:val="3"/>
    </w:pPr>
    <w:rPr>
      <w:rFonts w:ascii="Calibri" w:eastAsia="Times New Roman" w:hAnsi="Calibri" w:cs="Calibri"/>
      <w:b/>
      <w:bCs/>
      <w:szCs w:val="24"/>
    </w:rPr>
  </w:style>
  <w:style w:type="paragraph" w:styleId="Heading5">
    <w:name w:val="heading 5"/>
    <w:basedOn w:val="Normal"/>
    <w:next w:val="Normal"/>
    <w:link w:val="Heading5Char"/>
    <w:autoRedefine/>
    <w:unhideWhenUsed/>
    <w:qFormat/>
    <w:rsid w:val="008F083F"/>
    <w:pPr>
      <w:keepNext/>
      <w:keepLines/>
      <w:spacing w:before="40" w:after="0"/>
      <w:outlineLvl w:val="4"/>
    </w:pPr>
    <w:rPr>
      <w:rFonts w:eastAsia="Times New Roman" w:cstheme="majorBidi"/>
      <w:bCs/>
      <w:color w:val="002060"/>
      <w:szCs w:val="24"/>
    </w:rPr>
  </w:style>
  <w:style w:type="paragraph" w:styleId="Heading6">
    <w:name w:val="heading 6"/>
    <w:basedOn w:val="Normal"/>
    <w:next w:val="Normal"/>
    <w:link w:val="Heading6Char"/>
    <w:qFormat/>
    <w:rsid w:val="00BC26C0"/>
    <w:pPr>
      <w:spacing w:before="240" w:after="60" w:line="240" w:lineRule="auto"/>
      <w:outlineLvl w:val="5"/>
    </w:pPr>
    <w:rPr>
      <w:rFonts w:ascii="Calibri" w:eastAsia="Times New Roman" w:hAnsi="Calibri" w:cs="Arial"/>
      <w:b/>
      <w:bCs/>
      <w:color w:val="000000"/>
      <w:sz w:val="22"/>
    </w:rPr>
  </w:style>
  <w:style w:type="paragraph" w:styleId="Heading7">
    <w:name w:val="heading 7"/>
    <w:basedOn w:val="Normal"/>
    <w:next w:val="Normal"/>
    <w:link w:val="Heading7Char"/>
    <w:qFormat/>
    <w:rsid w:val="00BC26C0"/>
    <w:pPr>
      <w:spacing w:before="240" w:after="60" w:line="240" w:lineRule="auto"/>
      <w:outlineLvl w:val="6"/>
    </w:pPr>
    <w:rPr>
      <w:rFonts w:ascii="Calibri" w:eastAsia="Times New Roman" w:hAnsi="Calibri" w:cs="Arial"/>
      <w:color w:val="000000"/>
      <w:szCs w:val="24"/>
    </w:rPr>
  </w:style>
  <w:style w:type="paragraph" w:styleId="Heading8">
    <w:name w:val="heading 8"/>
    <w:basedOn w:val="Normal"/>
    <w:next w:val="Normal"/>
    <w:link w:val="Heading8Char"/>
    <w:qFormat/>
    <w:rsid w:val="00BC26C0"/>
    <w:pPr>
      <w:spacing w:before="240" w:after="60" w:line="240" w:lineRule="auto"/>
      <w:outlineLvl w:val="7"/>
    </w:pPr>
    <w:rPr>
      <w:rFonts w:ascii="Calibri" w:eastAsia="Times New Roman" w:hAnsi="Calibri" w:cs="Arial"/>
      <w:i/>
      <w:iCs/>
      <w:color w:val="000000"/>
      <w:szCs w:val="24"/>
    </w:rPr>
  </w:style>
  <w:style w:type="paragraph" w:styleId="Heading9">
    <w:name w:val="heading 9"/>
    <w:basedOn w:val="Normal"/>
    <w:next w:val="Normal"/>
    <w:link w:val="Heading9Char"/>
    <w:qFormat/>
    <w:rsid w:val="00BC26C0"/>
    <w:pPr>
      <w:spacing w:before="240" w:after="60" w:line="240" w:lineRule="auto"/>
      <w:outlineLvl w:val="8"/>
    </w:pPr>
    <w:rPr>
      <w:rFonts w:ascii="Arial" w:eastAsia="Times New Roman" w:hAnsi="Arial" w:cs="Arial"/>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0B2"/>
    <w:rPr>
      <w:rFonts w:eastAsia="Times New Roman" w:cs="Helvetica"/>
      <w:color w:val="000000"/>
      <w:kern w:val="36"/>
      <w:sz w:val="24"/>
      <w:szCs w:val="24"/>
      <w:shd w:val="clear" w:color="auto" w:fill="FFFFFF"/>
    </w:rPr>
  </w:style>
  <w:style w:type="character" w:customStyle="1" w:styleId="Heading2Char">
    <w:name w:val="Heading 2 Char"/>
    <w:basedOn w:val="DefaultParagraphFont"/>
    <w:link w:val="Heading2"/>
    <w:rsid w:val="00696B35"/>
    <w:rPr>
      <w:rFonts w:eastAsia="Times New Roman" w:cstheme="minorHAnsi"/>
      <w:b/>
      <w:sz w:val="24"/>
      <w:szCs w:val="24"/>
      <w:shd w:val="clear" w:color="auto" w:fill="FFFFFF"/>
      <w:lang w:val="en-GB"/>
    </w:rPr>
  </w:style>
  <w:style w:type="character" w:customStyle="1" w:styleId="Heading3Char">
    <w:name w:val="Heading 3 Char"/>
    <w:basedOn w:val="DefaultParagraphFont"/>
    <w:link w:val="Heading3"/>
    <w:rsid w:val="00C57C98"/>
    <w:rPr>
      <w:rFonts w:eastAsia="Times New Roman" w:cs="Times New Roman"/>
      <w:b/>
      <w:bCs/>
      <w:color w:val="222A35" w:themeColor="text2" w:themeShade="80"/>
      <w:sz w:val="24"/>
      <w:szCs w:val="24"/>
      <w:bdr w:val="none" w:sz="0" w:space="0" w:color="auto" w:frame="1"/>
    </w:rPr>
  </w:style>
  <w:style w:type="character" w:customStyle="1" w:styleId="Heading4Char">
    <w:name w:val="Heading 4 Char"/>
    <w:basedOn w:val="DefaultParagraphFont"/>
    <w:link w:val="Heading4"/>
    <w:rsid w:val="001D3801"/>
    <w:rPr>
      <w:rFonts w:ascii="Calibri" w:eastAsia="Times New Roman" w:hAnsi="Calibri" w:cs="Calibri"/>
      <w:b/>
      <w:bCs/>
      <w:sz w:val="24"/>
      <w:szCs w:val="24"/>
    </w:rPr>
  </w:style>
  <w:style w:type="character" w:customStyle="1" w:styleId="Heading5Char">
    <w:name w:val="Heading 5 Char"/>
    <w:basedOn w:val="DefaultParagraphFont"/>
    <w:link w:val="Heading5"/>
    <w:rsid w:val="008F083F"/>
    <w:rPr>
      <w:rFonts w:eastAsia="Times New Roman" w:cstheme="majorBidi"/>
      <w:bCs/>
      <w:color w:val="002060"/>
      <w:sz w:val="24"/>
      <w:szCs w:val="24"/>
    </w:rPr>
  </w:style>
  <w:style w:type="paragraph" w:styleId="NormalWeb">
    <w:name w:val="Normal (Web)"/>
    <w:basedOn w:val="Normal"/>
    <w:uiPriority w:val="99"/>
    <w:unhideWhenUsed/>
    <w:rsid w:val="003E7C9E"/>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3E7C9E"/>
    <w:rPr>
      <w:b/>
      <w:bCs/>
    </w:rPr>
  </w:style>
  <w:style w:type="character" w:styleId="Emphasis">
    <w:name w:val="Emphasis"/>
    <w:basedOn w:val="DefaultParagraphFont"/>
    <w:uiPriority w:val="20"/>
    <w:qFormat/>
    <w:rsid w:val="003E7C9E"/>
    <w:rPr>
      <w:i/>
      <w:iCs/>
    </w:rPr>
  </w:style>
  <w:style w:type="character" w:styleId="Hyperlink">
    <w:name w:val="Hyperlink"/>
    <w:basedOn w:val="DefaultParagraphFont"/>
    <w:uiPriority w:val="99"/>
    <w:unhideWhenUsed/>
    <w:rsid w:val="003E7C9E"/>
    <w:rPr>
      <w:color w:val="0000FF"/>
      <w:u w:val="single"/>
    </w:rPr>
  </w:style>
  <w:style w:type="character" w:styleId="FollowedHyperlink">
    <w:name w:val="FollowedHyperlink"/>
    <w:basedOn w:val="DefaultParagraphFont"/>
    <w:unhideWhenUsed/>
    <w:rsid w:val="003E7C9E"/>
    <w:rPr>
      <w:color w:val="800080"/>
      <w:u w:val="single"/>
    </w:rPr>
  </w:style>
  <w:style w:type="character" w:customStyle="1" w:styleId="apple-converted-space">
    <w:name w:val="apple-converted-space"/>
    <w:basedOn w:val="DefaultParagraphFont"/>
    <w:rsid w:val="003E7C9E"/>
  </w:style>
  <w:style w:type="character" w:styleId="CommentReference">
    <w:name w:val="annotation reference"/>
    <w:basedOn w:val="DefaultParagraphFont"/>
    <w:uiPriority w:val="99"/>
    <w:unhideWhenUsed/>
    <w:rsid w:val="00764A10"/>
    <w:rPr>
      <w:sz w:val="16"/>
      <w:szCs w:val="16"/>
    </w:rPr>
  </w:style>
  <w:style w:type="paragraph" w:styleId="CommentText">
    <w:name w:val="annotation text"/>
    <w:basedOn w:val="Normal"/>
    <w:link w:val="CommentTextChar"/>
    <w:uiPriority w:val="99"/>
    <w:unhideWhenUsed/>
    <w:rsid w:val="00764A10"/>
    <w:pPr>
      <w:spacing w:line="240" w:lineRule="auto"/>
    </w:pPr>
    <w:rPr>
      <w:sz w:val="20"/>
      <w:szCs w:val="20"/>
    </w:rPr>
  </w:style>
  <w:style w:type="character" w:customStyle="1" w:styleId="CommentTextChar">
    <w:name w:val="Comment Text Char"/>
    <w:basedOn w:val="DefaultParagraphFont"/>
    <w:link w:val="CommentText"/>
    <w:uiPriority w:val="99"/>
    <w:rsid w:val="00764A10"/>
    <w:rPr>
      <w:sz w:val="20"/>
      <w:szCs w:val="20"/>
    </w:rPr>
  </w:style>
  <w:style w:type="paragraph" w:styleId="CommentSubject">
    <w:name w:val="annotation subject"/>
    <w:basedOn w:val="CommentText"/>
    <w:next w:val="CommentText"/>
    <w:link w:val="CommentSubjectChar"/>
    <w:semiHidden/>
    <w:unhideWhenUsed/>
    <w:rsid w:val="00764A10"/>
    <w:rPr>
      <w:b/>
      <w:bCs/>
    </w:rPr>
  </w:style>
  <w:style w:type="character" w:customStyle="1" w:styleId="CommentSubjectChar">
    <w:name w:val="Comment Subject Char"/>
    <w:basedOn w:val="CommentTextChar"/>
    <w:link w:val="CommentSubject"/>
    <w:semiHidden/>
    <w:rsid w:val="00764A10"/>
    <w:rPr>
      <w:b/>
      <w:bCs/>
      <w:sz w:val="20"/>
      <w:szCs w:val="20"/>
    </w:rPr>
  </w:style>
  <w:style w:type="paragraph" w:styleId="BalloonText">
    <w:name w:val="Balloon Text"/>
    <w:basedOn w:val="Normal"/>
    <w:link w:val="BalloonTextChar"/>
    <w:uiPriority w:val="99"/>
    <w:semiHidden/>
    <w:unhideWhenUsed/>
    <w:rsid w:val="00764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A10"/>
    <w:rPr>
      <w:rFonts w:ascii="Segoe UI" w:hAnsi="Segoe UI" w:cs="Segoe UI"/>
      <w:sz w:val="18"/>
      <w:szCs w:val="18"/>
    </w:rPr>
  </w:style>
  <w:style w:type="paragraph" w:styleId="ListParagraph">
    <w:name w:val="List Paragraph"/>
    <w:basedOn w:val="Normal"/>
    <w:uiPriority w:val="34"/>
    <w:qFormat/>
    <w:rsid w:val="0082450C"/>
    <w:pPr>
      <w:ind w:left="720"/>
      <w:contextualSpacing/>
    </w:pPr>
  </w:style>
  <w:style w:type="paragraph" w:styleId="Header">
    <w:name w:val="header"/>
    <w:basedOn w:val="Normal"/>
    <w:link w:val="HeaderChar"/>
    <w:unhideWhenUsed/>
    <w:rsid w:val="00214A1E"/>
    <w:pPr>
      <w:tabs>
        <w:tab w:val="center" w:pos="4680"/>
        <w:tab w:val="right" w:pos="9360"/>
      </w:tabs>
      <w:spacing w:after="0" w:line="240" w:lineRule="auto"/>
    </w:pPr>
  </w:style>
  <w:style w:type="character" w:customStyle="1" w:styleId="HeaderChar">
    <w:name w:val="Header Char"/>
    <w:basedOn w:val="DefaultParagraphFont"/>
    <w:link w:val="Header"/>
    <w:rsid w:val="00214A1E"/>
    <w:rPr>
      <w:sz w:val="24"/>
    </w:rPr>
  </w:style>
  <w:style w:type="paragraph" w:styleId="Footer">
    <w:name w:val="footer"/>
    <w:basedOn w:val="Normal"/>
    <w:link w:val="FooterChar"/>
    <w:uiPriority w:val="99"/>
    <w:unhideWhenUsed/>
    <w:rsid w:val="00214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A1E"/>
    <w:rPr>
      <w:sz w:val="24"/>
    </w:rPr>
  </w:style>
  <w:style w:type="paragraph" w:styleId="TOCHeading">
    <w:name w:val="TOC Heading"/>
    <w:basedOn w:val="Heading1"/>
    <w:next w:val="Normal"/>
    <w:uiPriority w:val="39"/>
    <w:unhideWhenUsed/>
    <w:qFormat/>
    <w:rsid w:val="00AD1D24"/>
    <w:pPr>
      <w:keepNext/>
      <w:keepLines/>
      <w:spacing w:before="240" w:line="259" w:lineRule="auto"/>
      <w:outlineLvl w:val="9"/>
    </w:pPr>
    <w:rPr>
      <w:rFonts w:asciiTheme="majorHAnsi" w:eastAsiaTheme="majorEastAsia" w:hAnsiTheme="majorHAnsi" w:cstheme="majorBidi"/>
      <w:b/>
      <w:bCs/>
      <w:color w:val="2E74B5" w:themeColor="accent1" w:themeShade="BF"/>
      <w:kern w:val="0"/>
      <w:sz w:val="32"/>
      <w:szCs w:val="32"/>
    </w:rPr>
  </w:style>
  <w:style w:type="paragraph" w:styleId="TOC1">
    <w:name w:val="toc 1"/>
    <w:basedOn w:val="Normal"/>
    <w:next w:val="Normal"/>
    <w:autoRedefine/>
    <w:uiPriority w:val="39"/>
    <w:unhideWhenUsed/>
    <w:rsid w:val="002C7F41"/>
    <w:pPr>
      <w:tabs>
        <w:tab w:val="right" w:leader="dot" w:pos="10070"/>
      </w:tabs>
      <w:spacing w:after="100"/>
      <w:ind w:left="270"/>
    </w:pPr>
  </w:style>
  <w:style w:type="paragraph" w:styleId="TOC2">
    <w:name w:val="toc 2"/>
    <w:basedOn w:val="Normal"/>
    <w:next w:val="Normal"/>
    <w:autoRedefine/>
    <w:uiPriority w:val="39"/>
    <w:unhideWhenUsed/>
    <w:rsid w:val="00AD1D24"/>
    <w:pPr>
      <w:spacing w:after="100"/>
      <w:ind w:left="240"/>
    </w:pPr>
  </w:style>
  <w:style w:type="paragraph" w:styleId="TOC3">
    <w:name w:val="toc 3"/>
    <w:basedOn w:val="Normal"/>
    <w:next w:val="Normal"/>
    <w:autoRedefine/>
    <w:uiPriority w:val="39"/>
    <w:unhideWhenUsed/>
    <w:rsid w:val="00AD1D24"/>
    <w:pPr>
      <w:spacing w:after="100"/>
      <w:ind w:left="480"/>
    </w:pPr>
  </w:style>
  <w:style w:type="paragraph" w:styleId="TOC4">
    <w:name w:val="toc 4"/>
    <w:basedOn w:val="Normal"/>
    <w:next w:val="Normal"/>
    <w:autoRedefine/>
    <w:uiPriority w:val="39"/>
    <w:unhideWhenUsed/>
    <w:rsid w:val="00E95FFC"/>
    <w:pPr>
      <w:spacing w:after="100"/>
      <w:ind w:left="660"/>
    </w:pPr>
    <w:rPr>
      <w:rFonts w:eastAsiaTheme="minorEastAsia"/>
      <w:sz w:val="22"/>
    </w:rPr>
  </w:style>
  <w:style w:type="paragraph" w:styleId="TOC5">
    <w:name w:val="toc 5"/>
    <w:basedOn w:val="Normal"/>
    <w:next w:val="Normal"/>
    <w:autoRedefine/>
    <w:uiPriority w:val="39"/>
    <w:unhideWhenUsed/>
    <w:rsid w:val="00E95FFC"/>
    <w:pPr>
      <w:spacing w:after="100"/>
      <w:ind w:left="880"/>
    </w:pPr>
    <w:rPr>
      <w:rFonts w:eastAsiaTheme="minorEastAsia"/>
      <w:sz w:val="22"/>
    </w:rPr>
  </w:style>
  <w:style w:type="paragraph" w:styleId="TOC6">
    <w:name w:val="toc 6"/>
    <w:basedOn w:val="Normal"/>
    <w:next w:val="Normal"/>
    <w:autoRedefine/>
    <w:uiPriority w:val="39"/>
    <w:unhideWhenUsed/>
    <w:rsid w:val="00E95FFC"/>
    <w:pPr>
      <w:spacing w:after="100"/>
      <w:ind w:left="1100"/>
    </w:pPr>
    <w:rPr>
      <w:rFonts w:eastAsiaTheme="minorEastAsia"/>
      <w:sz w:val="22"/>
    </w:rPr>
  </w:style>
  <w:style w:type="paragraph" w:styleId="TOC7">
    <w:name w:val="toc 7"/>
    <w:basedOn w:val="Normal"/>
    <w:next w:val="Normal"/>
    <w:autoRedefine/>
    <w:uiPriority w:val="39"/>
    <w:unhideWhenUsed/>
    <w:rsid w:val="00E95FFC"/>
    <w:pPr>
      <w:spacing w:after="100"/>
      <w:ind w:left="1320"/>
    </w:pPr>
    <w:rPr>
      <w:rFonts w:eastAsiaTheme="minorEastAsia"/>
      <w:sz w:val="22"/>
    </w:rPr>
  </w:style>
  <w:style w:type="paragraph" w:styleId="TOC8">
    <w:name w:val="toc 8"/>
    <w:basedOn w:val="Normal"/>
    <w:next w:val="Normal"/>
    <w:autoRedefine/>
    <w:uiPriority w:val="39"/>
    <w:unhideWhenUsed/>
    <w:rsid w:val="00E95FFC"/>
    <w:pPr>
      <w:spacing w:after="100"/>
      <w:ind w:left="1540"/>
    </w:pPr>
    <w:rPr>
      <w:rFonts w:eastAsiaTheme="minorEastAsia"/>
      <w:sz w:val="22"/>
    </w:rPr>
  </w:style>
  <w:style w:type="paragraph" w:styleId="TOC9">
    <w:name w:val="toc 9"/>
    <w:basedOn w:val="Normal"/>
    <w:next w:val="Normal"/>
    <w:autoRedefine/>
    <w:uiPriority w:val="39"/>
    <w:unhideWhenUsed/>
    <w:rsid w:val="00E95FFC"/>
    <w:pPr>
      <w:spacing w:after="100"/>
      <w:ind w:left="1760"/>
    </w:pPr>
    <w:rPr>
      <w:rFonts w:eastAsiaTheme="minorEastAsia"/>
      <w:sz w:val="22"/>
    </w:rPr>
  </w:style>
  <w:style w:type="paragraph" w:customStyle="1" w:styleId="Bullet1">
    <w:name w:val="Bullet 1"/>
    <w:basedOn w:val="Normal"/>
    <w:link w:val="Bullet1Char"/>
    <w:uiPriority w:val="99"/>
    <w:qFormat/>
    <w:rsid w:val="003446CE"/>
    <w:pPr>
      <w:numPr>
        <w:numId w:val="125"/>
      </w:numPr>
      <w:tabs>
        <w:tab w:val="clear" w:pos="2880"/>
        <w:tab w:val="num" w:pos="407"/>
        <w:tab w:val="num" w:pos="673"/>
      </w:tabs>
      <w:spacing w:after="0" w:line="240" w:lineRule="auto"/>
      <w:ind w:left="407"/>
    </w:pPr>
    <w:rPr>
      <w:rFonts w:ascii="Times New Roman" w:eastAsia="Times New Roman" w:hAnsi="Times New Roman" w:cs="Times New Roman"/>
      <w:szCs w:val="20"/>
    </w:rPr>
  </w:style>
  <w:style w:type="character" w:customStyle="1" w:styleId="Bullet1Char">
    <w:name w:val="Bullet 1 Char"/>
    <w:link w:val="Bullet1"/>
    <w:uiPriority w:val="99"/>
    <w:rsid w:val="003446CE"/>
    <w:rPr>
      <w:rFonts w:ascii="Times New Roman" w:eastAsia="Times New Roman" w:hAnsi="Times New Roman" w:cs="Times New Roman"/>
      <w:sz w:val="24"/>
      <w:szCs w:val="20"/>
    </w:rPr>
  </w:style>
  <w:style w:type="paragraph" w:customStyle="1" w:styleId="Observation">
    <w:name w:val="Observation"/>
    <w:basedOn w:val="Normal"/>
    <w:qFormat/>
    <w:rsid w:val="003446CE"/>
    <w:pPr>
      <w:spacing w:before="60" w:after="60" w:line="240" w:lineRule="auto"/>
      <w:ind w:left="144"/>
    </w:pPr>
    <w:rPr>
      <w:rFonts w:ascii="Times New Roman" w:eastAsia="Times New Roman" w:hAnsi="Times New Roman" w:cs="Times New Roman"/>
      <w:szCs w:val="20"/>
    </w:rPr>
  </w:style>
  <w:style w:type="paragraph" w:customStyle="1" w:styleId="Bullet2">
    <w:name w:val="Bullet 2"/>
    <w:basedOn w:val="Bullet1"/>
    <w:link w:val="Bullet2Char"/>
    <w:uiPriority w:val="99"/>
    <w:qFormat/>
    <w:rsid w:val="003446CE"/>
    <w:pPr>
      <w:numPr>
        <w:ilvl w:val="1"/>
      </w:numPr>
      <w:tabs>
        <w:tab w:val="num" w:pos="673"/>
        <w:tab w:val="num" w:pos="1080"/>
      </w:tabs>
      <w:ind w:left="1080" w:hanging="360"/>
    </w:pPr>
  </w:style>
  <w:style w:type="paragraph" w:customStyle="1" w:styleId="Bullet3">
    <w:name w:val="Bullet 3"/>
    <w:basedOn w:val="Bullet1"/>
    <w:uiPriority w:val="99"/>
    <w:rsid w:val="003446CE"/>
    <w:pPr>
      <w:numPr>
        <w:ilvl w:val="2"/>
      </w:numPr>
      <w:tabs>
        <w:tab w:val="num" w:pos="673"/>
        <w:tab w:val="num" w:pos="1800"/>
      </w:tabs>
      <w:ind w:left="1800" w:hanging="360"/>
    </w:pPr>
  </w:style>
  <w:style w:type="paragraph" w:customStyle="1" w:styleId="Bullet4">
    <w:name w:val="Bullet 4"/>
    <w:basedOn w:val="Bullet1"/>
    <w:uiPriority w:val="99"/>
    <w:rsid w:val="003446CE"/>
    <w:pPr>
      <w:numPr>
        <w:ilvl w:val="3"/>
      </w:numPr>
      <w:tabs>
        <w:tab w:val="num" w:pos="673"/>
        <w:tab w:val="num" w:pos="2520"/>
      </w:tabs>
      <w:ind w:left="2520" w:hanging="360"/>
    </w:pPr>
  </w:style>
  <w:style w:type="paragraph" w:customStyle="1" w:styleId="Default">
    <w:name w:val="Default"/>
    <w:rsid w:val="00D36396"/>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rsid w:val="008659B3"/>
    <w:pPr>
      <w:spacing w:after="0" w:line="240" w:lineRule="auto"/>
    </w:pPr>
    <w:rPr>
      <w:sz w:val="24"/>
    </w:rPr>
  </w:style>
  <w:style w:type="paragraph" w:styleId="BodyText">
    <w:name w:val="Body Text"/>
    <w:aliases w:val=" Char Char Char Char, Char Char Char, Char Char,Char Char Char Char,Char Char Char,Char Char"/>
    <w:basedOn w:val="Normal"/>
    <w:link w:val="BodyTextChar"/>
    <w:qFormat/>
    <w:rsid w:val="00EE4B55"/>
    <w:pPr>
      <w:widowControl w:val="0"/>
      <w:spacing w:after="0" w:line="240" w:lineRule="auto"/>
    </w:pPr>
    <w:rPr>
      <w:rFonts w:ascii="Times New Roman" w:eastAsia="Times New Roman" w:hAnsi="Times New Roman" w:cs="Times New Roman"/>
      <w:szCs w:val="24"/>
    </w:rPr>
  </w:style>
  <w:style w:type="character" w:customStyle="1" w:styleId="BodyTextChar">
    <w:name w:val="Body Text Char"/>
    <w:aliases w:val=" Char Char Char Char Char1, Char Char Char Char1, Char Char Char1,Char Char Char Char Char,Char Char Char Char1,Char Char Char1"/>
    <w:basedOn w:val="DefaultParagraphFont"/>
    <w:link w:val="BodyText"/>
    <w:rsid w:val="00EE4B5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E4B55"/>
    <w:pPr>
      <w:widowControl w:val="0"/>
      <w:spacing w:after="0" w:line="240" w:lineRule="auto"/>
    </w:pPr>
    <w:rPr>
      <w:rFonts w:ascii="Arial Narrow" w:eastAsia="Arial Narrow" w:hAnsi="Arial Narrow" w:cs="Arial Narrow"/>
      <w:sz w:val="22"/>
    </w:rPr>
  </w:style>
  <w:style w:type="paragraph" w:styleId="NoSpacing">
    <w:name w:val="No Spacing"/>
    <w:uiPriority w:val="1"/>
    <w:qFormat/>
    <w:rsid w:val="00EA5967"/>
    <w:pPr>
      <w:spacing w:after="0" w:line="240" w:lineRule="auto"/>
    </w:pPr>
    <w:rPr>
      <w:rFonts w:ascii="Calibri" w:eastAsia="Times New Roman" w:hAnsi="Calibri" w:cs="Arial"/>
      <w:color w:val="000000"/>
      <w:sz w:val="24"/>
      <w:szCs w:val="24"/>
    </w:rPr>
  </w:style>
  <w:style w:type="paragraph" w:styleId="ListNumber">
    <w:name w:val="List Number"/>
    <w:basedOn w:val="BodyText"/>
    <w:qFormat/>
    <w:rsid w:val="005B50D1"/>
    <w:pPr>
      <w:widowControl/>
      <w:numPr>
        <w:numId w:val="145"/>
      </w:numPr>
      <w:spacing w:after="120"/>
    </w:pPr>
    <w:rPr>
      <w:rFonts w:ascii="Arial" w:hAnsi="Arial" w:cs="Arial"/>
      <w:color w:val="000000"/>
    </w:rPr>
  </w:style>
  <w:style w:type="character" w:customStyle="1" w:styleId="li-content">
    <w:name w:val="li-content"/>
    <w:rsid w:val="005B6D38"/>
    <w:rPr>
      <w:color w:val="000000"/>
    </w:rPr>
  </w:style>
  <w:style w:type="character" w:customStyle="1" w:styleId="Heading6Char">
    <w:name w:val="Heading 6 Char"/>
    <w:basedOn w:val="DefaultParagraphFont"/>
    <w:link w:val="Heading6"/>
    <w:rsid w:val="00BC26C0"/>
    <w:rPr>
      <w:rFonts w:ascii="Calibri" w:eastAsia="Times New Roman" w:hAnsi="Calibri" w:cs="Arial"/>
      <w:b/>
      <w:bCs/>
      <w:color w:val="000000"/>
    </w:rPr>
  </w:style>
  <w:style w:type="character" w:customStyle="1" w:styleId="Heading7Char">
    <w:name w:val="Heading 7 Char"/>
    <w:basedOn w:val="DefaultParagraphFont"/>
    <w:link w:val="Heading7"/>
    <w:rsid w:val="00BC26C0"/>
    <w:rPr>
      <w:rFonts w:ascii="Calibri" w:eastAsia="Times New Roman" w:hAnsi="Calibri" w:cs="Arial"/>
      <w:color w:val="000000"/>
      <w:sz w:val="24"/>
      <w:szCs w:val="24"/>
    </w:rPr>
  </w:style>
  <w:style w:type="character" w:customStyle="1" w:styleId="Heading8Char">
    <w:name w:val="Heading 8 Char"/>
    <w:basedOn w:val="DefaultParagraphFont"/>
    <w:link w:val="Heading8"/>
    <w:rsid w:val="00BC26C0"/>
    <w:rPr>
      <w:rFonts w:ascii="Calibri" w:eastAsia="Times New Roman" w:hAnsi="Calibri" w:cs="Arial"/>
      <w:i/>
      <w:iCs/>
      <w:color w:val="000000"/>
      <w:sz w:val="24"/>
      <w:szCs w:val="24"/>
    </w:rPr>
  </w:style>
  <w:style w:type="character" w:customStyle="1" w:styleId="Heading9Char">
    <w:name w:val="Heading 9 Char"/>
    <w:basedOn w:val="DefaultParagraphFont"/>
    <w:link w:val="Heading9"/>
    <w:rsid w:val="00BC26C0"/>
    <w:rPr>
      <w:rFonts w:ascii="Arial" w:eastAsia="Times New Roman" w:hAnsi="Arial" w:cs="Arial"/>
      <w:color w:val="000000"/>
    </w:rPr>
  </w:style>
  <w:style w:type="paragraph" w:customStyle="1" w:styleId="section1">
    <w:name w:val="section1"/>
    <w:basedOn w:val="Normal"/>
    <w:link w:val="section1Char"/>
    <w:rsid w:val="00BC26C0"/>
    <w:pPr>
      <w:spacing w:before="100" w:beforeAutospacing="1" w:after="100" w:afterAutospacing="1" w:line="240" w:lineRule="auto"/>
    </w:pPr>
    <w:rPr>
      <w:rFonts w:ascii="Calibri" w:eastAsia="Times New Roman" w:hAnsi="Calibri" w:cs="Arial"/>
      <w:color w:val="000000"/>
      <w:szCs w:val="24"/>
    </w:rPr>
  </w:style>
  <w:style w:type="character" w:customStyle="1" w:styleId="section1Char">
    <w:name w:val="section1 Char"/>
    <w:link w:val="section1"/>
    <w:locked/>
    <w:rsid w:val="00BC26C0"/>
    <w:rPr>
      <w:rFonts w:ascii="Calibri" w:eastAsia="Times New Roman" w:hAnsi="Calibri" w:cs="Arial"/>
      <w:color w:val="000000"/>
      <w:sz w:val="24"/>
      <w:szCs w:val="24"/>
    </w:rPr>
  </w:style>
  <w:style w:type="paragraph" w:customStyle="1" w:styleId="StyleHeading114pt">
    <w:name w:val="Style Heading 1 + 14 pt"/>
    <w:basedOn w:val="Heading1"/>
    <w:next w:val="BodyText"/>
    <w:rsid w:val="00BC26C0"/>
    <w:pPr>
      <w:keepNext/>
      <w:tabs>
        <w:tab w:val="num" w:pos="972"/>
      </w:tabs>
      <w:spacing w:before="240" w:after="240"/>
    </w:pPr>
    <w:rPr>
      <w:rFonts w:ascii="Calibri" w:eastAsia="HG Mincho Light J" w:hAnsi="Calibri" w:cs="Calibri"/>
      <w:kern w:val="32"/>
      <w:sz w:val="28"/>
      <w:szCs w:val="28"/>
    </w:rPr>
  </w:style>
  <w:style w:type="paragraph" w:customStyle="1" w:styleId="StyleHeading212ptNotItalic">
    <w:name w:val="Style Heading 2 + 12 pt Not Italic"/>
    <w:basedOn w:val="Heading2"/>
    <w:next w:val="BodyText"/>
    <w:rsid w:val="00BC26C0"/>
    <w:pPr>
      <w:numPr>
        <w:ilvl w:val="1"/>
      </w:numPr>
      <w:tabs>
        <w:tab w:val="num" w:pos="720"/>
        <w:tab w:val="num" w:pos="2196"/>
      </w:tabs>
      <w:ind w:left="720" w:hanging="720"/>
    </w:pPr>
    <w:rPr>
      <w:rFonts w:ascii="Calibri" w:eastAsia="HG Mincho Light J" w:hAnsi="Calibri" w:cs="Calibri"/>
      <w:b w:val="0"/>
      <w:bCs/>
      <w:color w:val="000000"/>
      <w:kern w:val="32"/>
      <w:lang w:val="en-US"/>
    </w:rPr>
  </w:style>
  <w:style w:type="character" w:styleId="PageNumber">
    <w:name w:val="page number"/>
    <w:basedOn w:val="DefaultParagraphFont"/>
    <w:rsid w:val="00BC26C0"/>
  </w:style>
  <w:style w:type="character" w:customStyle="1" w:styleId="new1">
    <w:name w:val="new1"/>
    <w:rsid w:val="00BC26C0"/>
    <w:rPr>
      <w:rFonts w:ascii="Arial" w:hAnsi="Arial" w:cs="Arial" w:hint="default"/>
      <w:b/>
      <w:bCs/>
      <w:strike w:val="0"/>
      <w:dstrike w:val="0"/>
      <w:color w:val="FF0000"/>
      <w:sz w:val="15"/>
      <w:szCs w:val="15"/>
      <w:u w:val="none"/>
      <w:effect w:val="none"/>
    </w:rPr>
  </w:style>
  <w:style w:type="paragraph" w:customStyle="1" w:styleId="SOPnumber">
    <w:name w:val="SOP number"/>
    <w:rsid w:val="00BC26C0"/>
    <w:pPr>
      <w:numPr>
        <w:ilvl w:val="1"/>
        <w:numId w:val="156"/>
      </w:numPr>
      <w:tabs>
        <w:tab w:val="clear" w:pos="1440"/>
        <w:tab w:val="num" w:pos="360"/>
      </w:tabs>
      <w:spacing w:after="0" w:line="240" w:lineRule="auto"/>
      <w:ind w:left="360"/>
    </w:pPr>
    <w:rPr>
      <w:rFonts w:ascii="Arial" w:eastAsia="Times New Roman" w:hAnsi="Arial" w:cs="Arial"/>
      <w:color w:val="000000"/>
      <w:sz w:val="24"/>
      <w:szCs w:val="24"/>
    </w:rPr>
  </w:style>
  <w:style w:type="paragraph" w:styleId="BodyText2">
    <w:name w:val="Body Text 2"/>
    <w:basedOn w:val="Normal"/>
    <w:link w:val="BodyText2Char"/>
    <w:rsid w:val="00BC26C0"/>
    <w:pPr>
      <w:spacing w:after="120" w:line="480" w:lineRule="auto"/>
    </w:pPr>
    <w:rPr>
      <w:rFonts w:ascii="Calibri" w:eastAsia="Times New Roman" w:hAnsi="Calibri" w:cs="Arial"/>
      <w:color w:val="000000"/>
      <w:sz w:val="20"/>
      <w:szCs w:val="20"/>
    </w:rPr>
  </w:style>
  <w:style w:type="character" w:customStyle="1" w:styleId="BodyText2Char">
    <w:name w:val="Body Text 2 Char"/>
    <w:basedOn w:val="DefaultParagraphFont"/>
    <w:link w:val="BodyText2"/>
    <w:rsid w:val="00BC26C0"/>
    <w:rPr>
      <w:rFonts w:ascii="Calibri" w:eastAsia="Times New Roman" w:hAnsi="Calibri" w:cs="Arial"/>
      <w:color w:val="000000"/>
      <w:sz w:val="20"/>
      <w:szCs w:val="20"/>
    </w:rPr>
  </w:style>
  <w:style w:type="paragraph" w:customStyle="1" w:styleId="Style2">
    <w:name w:val="Style2"/>
    <w:basedOn w:val="Heading3"/>
    <w:rsid w:val="00BC26C0"/>
    <w:pPr>
      <w:numPr>
        <w:numId w:val="157"/>
      </w:numPr>
      <w:spacing w:before="0" w:after="0"/>
    </w:pPr>
    <w:rPr>
      <w:rFonts w:ascii="Calibri" w:eastAsia="HG Mincho Light J" w:hAnsi="Calibri" w:cs="Calibri"/>
      <w:iCs/>
      <w:color w:val="000000"/>
      <w:kern w:val="32"/>
      <w:szCs w:val="20"/>
      <w:bdr w:val="none" w:sz="0" w:space="0" w:color="auto"/>
      <w14:textFill>
        <w14:solidFill>
          <w14:srgbClr w14:val="000000">
            <w14:lumMod w14:val="50000"/>
          </w14:srgbClr>
        </w14:solidFill>
      </w14:textFill>
    </w:rPr>
  </w:style>
  <w:style w:type="paragraph" w:customStyle="1" w:styleId="CM3">
    <w:name w:val="CM3"/>
    <w:basedOn w:val="Normal"/>
    <w:rsid w:val="00BC26C0"/>
    <w:pPr>
      <w:widowControl w:val="0"/>
      <w:autoSpaceDE w:val="0"/>
      <w:autoSpaceDN w:val="0"/>
      <w:adjustRightInd w:val="0"/>
      <w:spacing w:after="120" w:line="271" w:lineRule="atLeast"/>
    </w:pPr>
    <w:rPr>
      <w:rFonts w:ascii="Arial" w:eastAsia="Times New Roman" w:hAnsi="Arial" w:cs="Arial"/>
      <w:color w:val="000000"/>
      <w:szCs w:val="24"/>
    </w:rPr>
  </w:style>
  <w:style w:type="paragraph" w:styleId="BodyTextIndent">
    <w:name w:val="Body Text Indent"/>
    <w:basedOn w:val="Normal"/>
    <w:link w:val="BodyTextIndentChar"/>
    <w:rsid w:val="00BC26C0"/>
    <w:pPr>
      <w:spacing w:after="120" w:line="240" w:lineRule="auto"/>
      <w:ind w:left="360"/>
    </w:pPr>
    <w:rPr>
      <w:rFonts w:ascii="Calibri" w:eastAsia="Times New Roman" w:hAnsi="Calibri" w:cs="Arial"/>
      <w:color w:val="000000"/>
      <w:szCs w:val="24"/>
    </w:rPr>
  </w:style>
  <w:style w:type="character" w:customStyle="1" w:styleId="BodyTextIndentChar">
    <w:name w:val="Body Text Indent Char"/>
    <w:basedOn w:val="DefaultParagraphFont"/>
    <w:link w:val="BodyTextIndent"/>
    <w:rsid w:val="00BC26C0"/>
    <w:rPr>
      <w:rFonts w:ascii="Calibri" w:eastAsia="Times New Roman" w:hAnsi="Calibri" w:cs="Arial"/>
      <w:color w:val="000000"/>
      <w:sz w:val="24"/>
      <w:szCs w:val="24"/>
    </w:rPr>
  </w:style>
  <w:style w:type="paragraph" w:customStyle="1" w:styleId="StyleHeading312pt1">
    <w:name w:val="Style Heading 3 + 12 pt1"/>
    <w:basedOn w:val="Heading3"/>
    <w:rsid w:val="00BC26C0"/>
    <w:pPr>
      <w:tabs>
        <w:tab w:val="num" w:pos="864"/>
        <w:tab w:val="num" w:pos="2520"/>
      </w:tabs>
      <w:spacing w:after="120"/>
      <w:ind w:left="720" w:hanging="180"/>
    </w:pPr>
    <w:rPr>
      <w:rFonts w:ascii="Calibri" w:eastAsia="HG Mincho Light J" w:hAnsi="Calibri" w:cs="Calibri"/>
      <w:color w:val="000000"/>
      <w:szCs w:val="26"/>
      <w:bdr w:val="none" w:sz="0" w:space="0" w:color="auto"/>
      <w14:textFill>
        <w14:solidFill>
          <w14:srgbClr w14:val="000000">
            <w14:lumMod w14:val="50000"/>
          </w14:srgbClr>
        </w14:solidFill>
      </w14:textFill>
    </w:rPr>
  </w:style>
  <w:style w:type="paragraph" w:customStyle="1" w:styleId="Body">
    <w:name w:val="Body"/>
    <w:basedOn w:val="Normal"/>
    <w:rsid w:val="00BC26C0"/>
    <w:pPr>
      <w:keepLines/>
      <w:tabs>
        <w:tab w:val="left" w:pos="5400"/>
      </w:tabs>
      <w:spacing w:before="240" w:after="60" w:line="240" w:lineRule="auto"/>
      <w:ind w:left="720"/>
      <w:outlineLvl w:val="1"/>
    </w:pPr>
    <w:rPr>
      <w:rFonts w:ascii="Arial" w:eastAsia="Times New Roman" w:hAnsi="Arial" w:cs="Arial"/>
      <w:color w:val="000000"/>
      <w:sz w:val="22"/>
      <w:szCs w:val="20"/>
    </w:rPr>
  </w:style>
  <w:style w:type="character" w:customStyle="1" w:styleId="bodytext1">
    <w:name w:val="bodytext1"/>
    <w:rsid w:val="00BC26C0"/>
    <w:rPr>
      <w:rFonts w:ascii="Georgia" w:hAnsi="Georgia" w:hint="default"/>
      <w:sz w:val="22"/>
      <w:szCs w:val="22"/>
    </w:rPr>
  </w:style>
  <w:style w:type="paragraph" w:styleId="FootnoteText">
    <w:name w:val="footnote text"/>
    <w:basedOn w:val="Normal"/>
    <w:link w:val="FootnoteTextChar"/>
    <w:uiPriority w:val="99"/>
    <w:semiHidden/>
    <w:rsid w:val="00BC26C0"/>
    <w:pPr>
      <w:spacing w:after="120" w:line="240" w:lineRule="auto"/>
    </w:pPr>
    <w:rPr>
      <w:rFonts w:ascii="Calibri" w:eastAsia="Times New Roman" w:hAnsi="Calibri" w:cs="Arial"/>
      <w:color w:val="000000"/>
      <w:sz w:val="20"/>
      <w:szCs w:val="20"/>
    </w:rPr>
  </w:style>
  <w:style w:type="character" w:customStyle="1" w:styleId="FootnoteTextChar">
    <w:name w:val="Footnote Text Char"/>
    <w:basedOn w:val="DefaultParagraphFont"/>
    <w:link w:val="FootnoteText"/>
    <w:uiPriority w:val="99"/>
    <w:semiHidden/>
    <w:rsid w:val="00BC26C0"/>
    <w:rPr>
      <w:rFonts w:ascii="Calibri" w:eastAsia="Times New Roman" w:hAnsi="Calibri" w:cs="Arial"/>
      <w:color w:val="000000"/>
      <w:sz w:val="20"/>
      <w:szCs w:val="20"/>
    </w:rPr>
  </w:style>
  <w:style w:type="character" w:styleId="FootnoteReference">
    <w:name w:val="footnote reference"/>
    <w:semiHidden/>
    <w:rsid w:val="00BC26C0"/>
    <w:rPr>
      <w:vertAlign w:val="superscript"/>
    </w:rPr>
  </w:style>
  <w:style w:type="paragraph" w:styleId="BodyTextIndent2">
    <w:name w:val="Body Text Indent 2"/>
    <w:basedOn w:val="Normal"/>
    <w:link w:val="BodyTextIndent2Char"/>
    <w:rsid w:val="00BC26C0"/>
    <w:pPr>
      <w:spacing w:after="120" w:line="480" w:lineRule="auto"/>
      <w:ind w:left="360"/>
    </w:pPr>
    <w:rPr>
      <w:rFonts w:ascii="Calibri" w:eastAsia="Times New Roman" w:hAnsi="Calibri" w:cs="Arial"/>
      <w:color w:val="000000"/>
      <w:szCs w:val="24"/>
    </w:rPr>
  </w:style>
  <w:style w:type="character" w:customStyle="1" w:styleId="BodyTextIndent2Char">
    <w:name w:val="Body Text Indent 2 Char"/>
    <w:basedOn w:val="DefaultParagraphFont"/>
    <w:link w:val="BodyTextIndent2"/>
    <w:rsid w:val="00BC26C0"/>
    <w:rPr>
      <w:rFonts w:ascii="Calibri" w:eastAsia="Times New Roman" w:hAnsi="Calibri" w:cs="Arial"/>
      <w:color w:val="000000"/>
      <w:sz w:val="24"/>
      <w:szCs w:val="24"/>
    </w:rPr>
  </w:style>
  <w:style w:type="paragraph" w:customStyle="1" w:styleId="Level3">
    <w:name w:val="Level 3"/>
    <w:basedOn w:val="Normal"/>
    <w:rsid w:val="00BC26C0"/>
    <w:pPr>
      <w:numPr>
        <w:ilvl w:val="2"/>
        <w:numId w:val="158"/>
      </w:numPr>
      <w:tabs>
        <w:tab w:val="left" w:pos="432"/>
      </w:tabs>
      <w:spacing w:after="20" w:line="240" w:lineRule="auto"/>
    </w:pPr>
    <w:rPr>
      <w:rFonts w:ascii="Calibri" w:eastAsia="Times New Roman" w:hAnsi="Calibri" w:cs="Arial"/>
      <w:color w:val="000000"/>
      <w:sz w:val="20"/>
      <w:szCs w:val="20"/>
    </w:rPr>
  </w:style>
  <w:style w:type="paragraph" w:customStyle="1" w:styleId="Level4">
    <w:name w:val="Level 4"/>
    <w:basedOn w:val="Normal"/>
    <w:rsid w:val="00BC26C0"/>
    <w:pPr>
      <w:numPr>
        <w:numId w:val="158"/>
      </w:numPr>
      <w:tabs>
        <w:tab w:val="left" w:pos="612"/>
      </w:tabs>
      <w:spacing w:after="20" w:line="240" w:lineRule="auto"/>
      <w:ind w:left="612" w:hanging="180"/>
    </w:pPr>
    <w:rPr>
      <w:rFonts w:ascii="Calibri" w:eastAsia="Times New Roman" w:hAnsi="Calibri" w:cs="Arial"/>
      <w:color w:val="000000"/>
      <w:sz w:val="20"/>
      <w:szCs w:val="20"/>
    </w:rPr>
  </w:style>
  <w:style w:type="paragraph" w:customStyle="1" w:styleId="Level1">
    <w:name w:val="Level 1"/>
    <w:basedOn w:val="Normal"/>
    <w:next w:val="Normal"/>
    <w:rsid w:val="00BC26C0"/>
    <w:pPr>
      <w:tabs>
        <w:tab w:val="left" w:pos="1440"/>
      </w:tabs>
      <w:spacing w:after="60" w:line="240" w:lineRule="auto"/>
    </w:pPr>
    <w:rPr>
      <w:rFonts w:ascii="Calibri" w:eastAsia="Times New Roman" w:hAnsi="Calibri" w:cs="Arial"/>
      <w:b/>
      <w:bCs/>
      <w:color w:val="000000"/>
      <w:sz w:val="20"/>
      <w:szCs w:val="20"/>
    </w:rPr>
  </w:style>
  <w:style w:type="paragraph" w:customStyle="1" w:styleId="StyleHeading312pt2">
    <w:name w:val="Style Heading 3 + 12 pt2"/>
    <w:basedOn w:val="Heading3"/>
    <w:link w:val="StyleHeading312pt2Char"/>
    <w:rsid w:val="00BC26C0"/>
    <w:pPr>
      <w:tabs>
        <w:tab w:val="left" w:pos="576"/>
        <w:tab w:val="num" w:pos="2520"/>
      </w:tabs>
      <w:spacing w:after="120"/>
      <w:ind w:left="720" w:hanging="180"/>
    </w:pPr>
    <w:rPr>
      <w:rFonts w:ascii="Calibri" w:hAnsi="Calibri" w:cs="Calibri"/>
      <w:color w:val="000000"/>
      <w:szCs w:val="26"/>
      <w:bdr w:val="none" w:sz="0" w:space="0" w:color="auto"/>
      <w14:textFill>
        <w14:solidFill>
          <w14:srgbClr w14:val="000000">
            <w14:lumMod w14:val="50000"/>
          </w14:srgbClr>
        </w14:solidFill>
      </w14:textFill>
    </w:rPr>
  </w:style>
  <w:style w:type="character" w:customStyle="1" w:styleId="StyleHeading312pt2Char">
    <w:name w:val="Style Heading 3 + 12 pt2 Char"/>
    <w:link w:val="StyleHeading312pt2"/>
    <w:rsid w:val="00BC26C0"/>
    <w:rPr>
      <w:rFonts w:ascii="Calibri" w:eastAsia="Times New Roman" w:hAnsi="Calibri" w:cs="Calibri"/>
      <w:b/>
      <w:bCs/>
      <w:color w:val="000000"/>
      <w:sz w:val="24"/>
      <w:szCs w:val="26"/>
    </w:rPr>
  </w:style>
  <w:style w:type="paragraph" w:customStyle="1" w:styleId="CM22">
    <w:name w:val="CM22"/>
    <w:basedOn w:val="Default"/>
    <w:next w:val="Default"/>
    <w:rsid w:val="00BC26C0"/>
    <w:pPr>
      <w:widowControl w:val="0"/>
      <w:spacing w:line="240" w:lineRule="atLeast"/>
    </w:pPr>
    <w:rPr>
      <w:rFonts w:ascii="Times New Roman" w:hAnsi="Times New Roman" w:cs="Times New Roman"/>
      <w:color w:val="auto"/>
    </w:rPr>
  </w:style>
  <w:style w:type="table" w:styleId="TableGrid">
    <w:name w:val="Table Grid"/>
    <w:basedOn w:val="TableNormal"/>
    <w:rsid w:val="00BC26C0"/>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BC26C0"/>
    <w:pPr>
      <w:spacing w:before="100" w:beforeAutospacing="1" w:after="100" w:afterAutospacing="1" w:line="240" w:lineRule="auto"/>
    </w:pPr>
    <w:rPr>
      <w:rFonts w:ascii="Georgia" w:eastAsia="Arial Unicode MS" w:hAnsi="Georgia" w:cs="Arial Unicode MS"/>
      <w:b/>
      <w:bCs/>
      <w:color w:val="003366"/>
      <w:sz w:val="22"/>
    </w:rPr>
  </w:style>
  <w:style w:type="character" w:customStyle="1" w:styleId="bodybold1">
    <w:name w:val="bodybold1"/>
    <w:rsid w:val="00BC26C0"/>
    <w:rPr>
      <w:rFonts w:ascii="Georgia" w:hAnsi="Georgia" w:hint="default"/>
      <w:b/>
      <w:bCs/>
      <w:sz w:val="20"/>
      <w:szCs w:val="20"/>
    </w:rPr>
  </w:style>
  <w:style w:type="paragraph" w:customStyle="1" w:styleId="textcopybold">
    <w:name w:val="textcopybold"/>
    <w:basedOn w:val="Normal"/>
    <w:rsid w:val="00BC26C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Normal-bullit1">
    <w:name w:val="Normal - bullit 1"/>
    <w:basedOn w:val="Normal"/>
    <w:link w:val="Normal-bullit1CharChar"/>
    <w:rsid w:val="00BC26C0"/>
    <w:pPr>
      <w:numPr>
        <w:numId w:val="155"/>
      </w:numPr>
      <w:spacing w:after="120" w:line="240" w:lineRule="auto"/>
      <w:contextualSpacing/>
    </w:pPr>
    <w:rPr>
      <w:rFonts w:ascii="Arial" w:eastAsia="Times New Roman" w:hAnsi="Arial" w:cs="Arial"/>
      <w:color w:val="000000"/>
      <w:sz w:val="22"/>
    </w:rPr>
  </w:style>
  <w:style w:type="character" w:customStyle="1" w:styleId="Normal-bullit1CharChar">
    <w:name w:val="Normal - bullit 1 Char Char"/>
    <w:link w:val="Normal-bullit1"/>
    <w:rsid w:val="00BC26C0"/>
    <w:rPr>
      <w:rFonts w:ascii="Arial" w:eastAsia="Times New Roman" w:hAnsi="Arial" w:cs="Arial"/>
      <w:color w:val="000000"/>
    </w:rPr>
  </w:style>
  <w:style w:type="paragraph" w:customStyle="1" w:styleId="normal-bullit2">
    <w:name w:val="normal - bullit 2"/>
    <w:basedOn w:val="Normal"/>
    <w:link w:val="normal-bullit2CharChar1"/>
    <w:rsid w:val="00BC26C0"/>
    <w:pPr>
      <w:numPr>
        <w:numId w:val="160"/>
      </w:numPr>
      <w:spacing w:after="120" w:line="240" w:lineRule="auto"/>
      <w:contextualSpacing/>
    </w:pPr>
    <w:rPr>
      <w:rFonts w:ascii="Arial" w:eastAsia="Times New Roman" w:hAnsi="Arial" w:cs="Arial"/>
      <w:color w:val="000000"/>
      <w:sz w:val="20"/>
      <w:szCs w:val="20"/>
    </w:rPr>
  </w:style>
  <w:style w:type="character" w:customStyle="1" w:styleId="normal-bullit2CharChar1">
    <w:name w:val="normal - bullit 2 Char Char1"/>
    <w:link w:val="normal-bullit2"/>
    <w:rsid w:val="00BC26C0"/>
    <w:rPr>
      <w:rFonts w:ascii="Arial" w:eastAsia="Times New Roman" w:hAnsi="Arial" w:cs="Arial"/>
      <w:color w:val="000000"/>
      <w:sz w:val="20"/>
      <w:szCs w:val="20"/>
    </w:rPr>
  </w:style>
  <w:style w:type="paragraph" w:customStyle="1" w:styleId="normal-bullit3">
    <w:name w:val="normal - bullit 3"/>
    <w:basedOn w:val="normal-bullit2"/>
    <w:link w:val="normal-bullit3Char"/>
    <w:rsid w:val="00BC26C0"/>
    <w:pPr>
      <w:numPr>
        <w:ilvl w:val="2"/>
        <w:numId w:val="159"/>
      </w:numPr>
      <w:tabs>
        <w:tab w:val="clear" w:pos="2160"/>
        <w:tab w:val="num" w:pos="1440"/>
      </w:tabs>
      <w:ind w:left="1440" w:hanging="288"/>
    </w:pPr>
    <w:rPr>
      <w:sz w:val="18"/>
      <w:szCs w:val="18"/>
    </w:rPr>
  </w:style>
  <w:style w:type="character" w:customStyle="1" w:styleId="normal-bullit3Char">
    <w:name w:val="normal - bullit 3 Char"/>
    <w:link w:val="normal-bullit3"/>
    <w:rsid w:val="00BC26C0"/>
    <w:rPr>
      <w:rFonts w:ascii="Arial" w:eastAsia="Times New Roman" w:hAnsi="Arial" w:cs="Arial"/>
      <w:color w:val="000000"/>
      <w:sz w:val="18"/>
      <w:szCs w:val="18"/>
    </w:rPr>
  </w:style>
  <w:style w:type="paragraph" w:customStyle="1" w:styleId="normal-note">
    <w:name w:val="normal - note"/>
    <w:basedOn w:val="Normal"/>
    <w:rsid w:val="00BC26C0"/>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after="120" w:line="240" w:lineRule="auto"/>
      <w:ind w:left="432"/>
    </w:pPr>
    <w:rPr>
      <w:rFonts w:ascii="Arial" w:eastAsia="Times New Roman" w:hAnsi="Arial" w:cs="Arial"/>
      <w:i/>
      <w:iCs/>
      <w:color w:val="000000"/>
      <w:sz w:val="22"/>
      <w:szCs w:val="20"/>
    </w:rPr>
  </w:style>
  <w:style w:type="character" w:styleId="HTMLCode">
    <w:name w:val="HTML Code"/>
    <w:rsid w:val="00BC26C0"/>
    <w:rPr>
      <w:rFonts w:ascii="Courier New" w:eastAsia="Times New Roman" w:hAnsi="Courier New" w:cs="Courier New" w:hint="default"/>
      <w:sz w:val="20"/>
      <w:szCs w:val="20"/>
    </w:rPr>
  </w:style>
  <w:style w:type="paragraph" w:styleId="List2">
    <w:name w:val="List 2"/>
    <w:basedOn w:val="Normal"/>
    <w:rsid w:val="00BC26C0"/>
    <w:pPr>
      <w:spacing w:after="120" w:line="240" w:lineRule="auto"/>
      <w:ind w:left="720" w:hanging="360"/>
    </w:pPr>
    <w:rPr>
      <w:rFonts w:ascii="Calibri" w:eastAsia="Times New Roman" w:hAnsi="Calibri" w:cs="Arial"/>
      <w:color w:val="000000"/>
      <w:szCs w:val="24"/>
    </w:rPr>
  </w:style>
  <w:style w:type="character" w:customStyle="1" w:styleId="BodyTextChar1">
    <w:name w:val="Body Text Char1"/>
    <w:aliases w:val=" Char Char Char Char Char"/>
    <w:rsid w:val="00BC26C0"/>
    <w:rPr>
      <w:rFonts w:ascii="Arial" w:hAnsi="Arial"/>
      <w:sz w:val="24"/>
      <w:szCs w:val="24"/>
      <w:lang w:val="en-US" w:eastAsia="en-US" w:bidi="ar-SA"/>
    </w:rPr>
  </w:style>
  <w:style w:type="paragraph" w:customStyle="1" w:styleId="ColorfulList-Accent11">
    <w:name w:val="Colorful List - Accent 11"/>
    <w:basedOn w:val="Normal"/>
    <w:uiPriority w:val="34"/>
    <w:qFormat/>
    <w:rsid w:val="00BC26C0"/>
    <w:pPr>
      <w:spacing w:after="120" w:line="240" w:lineRule="auto"/>
      <w:ind w:left="720"/>
    </w:pPr>
    <w:rPr>
      <w:rFonts w:ascii="Calibri" w:eastAsia="Times New Roman" w:hAnsi="Calibri" w:cs="Arial"/>
      <w:color w:val="000000"/>
      <w:szCs w:val="24"/>
    </w:rPr>
  </w:style>
  <w:style w:type="paragraph" w:styleId="Caption">
    <w:name w:val="caption"/>
    <w:basedOn w:val="Normal"/>
    <w:qFormat/>
    <w:rsid w:val="00BC26C0"/>
    <w:pPr>
      <w:spacing w:after="120" w:line="240" w:lineRule="auto"/>
    </w:pPr>
    <w:rPr>
      <w:rFonts w:ascii="Calibri" w:eastAsia="Times New Roman" w:hAnsi="Calibri" w:cs="Arial"/>
      <w:b/>
      <w:bCs/>
      <w:color w:val="000000"/>
      <w:sz w:val="20"/>
      <w:szCs w:val="20"/>
    </w:rPr>
  </w:style>
  <w:style w:type="character" w:customStyle="1" w:styleId="il">
    <w:name w:val="il"/>
    <w:basedOn w:val="DefaultParagraphFont"/>
    <w:rsid w:val="00BC26C0"/>
  </w:style>
  <w:style w:type="paragraph" w:styleId="PlainText">
    <w:name w:val="Plain Text"/>
    <w:basedOn w:val="Normal"/>
    <w:link w:val="PlainTextChar"/>
    <w:uiPriority w:val="99"/>
    <w:unhideWhenUsed/>
    <w:rsid w:val="00BC26C0"/>
    <w:pPr>
      <w:spacing w:after="120" w:line="240" w:lineRule="auto"/>
    </w:pPr>
    <w:rPr>
      <w:rFonts w:ascii="Consolas" w:eastAsia="Calibri" w:hAnsi="Consolas" w:cs="Arial"/>
      <w:color w:val="000000"/>
      <w:sz w:val="21"/>
      <w:szCs w:val="21"/>
    </w:rPr>
  </w:style>
  <w:style w:type="character" w:customStyle="1" w:styleId="PlainTextChar">
    <w:name w:val="Plain Text Char"/>
    <w:basedOn w:val="DefaultParagraphFont"/>
    <w:link w:val="PlainText"/>
    <w:uiPriority w:val="99"/>
    <w:rsid w:val="00BC26C0"/>
    <w:rPr>
      <w:rFonts w:ascii="Consolas" w:eastAsia="Calibri" w:hAnsi="Consolas" w:cs="Arial"/>
      <w:color w:val="000000"/>
      <w:sz w:val="21"/>
      <w:szCs w:val="21"/>
    </w:rPr>
  </w:style>
  <w:style w:type="paragraph" w:customStyle="1" w:styleId="ColorfulShading-Accent11">
    <w:name w:val="Colorful Shading - Accent 11"/>
    <w:hidden/>
    <w:uiPriority w:val="99"/>
    <w:semiHidden/>
    <w:rsid w:val="00BC26C0"/>
    <w:pPr>
      <w:spacing w:after="0" w:line="240" w:lineRule="auto"/>
    </w:pPr>
    <w:rPr>
      <w:rFonts w:ascii="Calibri" w:eastAsia="Times New Roman" w:hAnsi="Calibri" w:cs="Arial"/>
      <w:color w:val="000000"/>
      <w:sz w:val="24"/>
      <w:szCs w:val="24"/>
    </w:rPr>
  </w:style>
  <w:style w:type="character" w:customStyle="1" w:styleId="apple-style-span">
    <w:name w:val="apple-style-span"/>
    <w:rsid w:val="00BC26C0"/>
  </w:style>
  <w:style w:type="character" w:customStyle="1" w:styleId="footnotenumber">
    <w:name w:val="footnote_number"/>
    <w:rsid w:val="00BC26C0"/>
  </w:style>
  <w:style w:type="paragraph" w:customStyle="1" w:styleId="MediumList2-Accent21">
    <w:name w:val="Medium List 2 - Accent 21"/>
    <w:hidden/>
    <w:uiPriority w:val="99"/>
    <w:semiHidden/>
    <w:rsid w:val="00BC26C0"/>
    <w:pPr>
      <w:spacing w:after="0" w:line="240" w:lineRule="auto"/>
    </w:pPr>
    <w:rPr>
      <w:rFonts w:ascii="Calibri" w:eastAsia="Times New Roman" w:hAnsi="Calibri" w:cs="Arial"/>
      <w:color w:val="000000"/>
      <w:sz w:val="24"/>
      <w:szCs w:val="24"/>
    </w:rPr>
  </w:style>
  <w:style w:type="numbering" w:styleId="1ai">
    <w:name w:val="Outline List 1"/>
    <w:basedOn w:val="NoList"/>
    <w:rsid w:val="00BC26C0"/>
    <w:pPr>
      <w:numPr>
        <w:numId w:val="161"/>
      </w:numPr>
    </w:pPr>
  </w:style>
  <w:style w:type="paragraph" w:customStyle="1" w:styleId="CM1">
    <w:name w:val="CM1"/>
    <w:basedOn w:val="Normal"/>
    <w:next w:val="Normal"/>
    <w:rsid w:val="00BC26C0"/>
    <w:pPr>
      <w:widowControl w:val="0"/>
      <w:autoSpaceDE w:val="0"/>
      <w:autoSpaceDN w:val="0"/>
      <w:adjustRightInd w:val="0"/>
      <w:spacing w:after="120" w:line="253" w:lineRule="atLeast"/>
    </w:pPr>
    <w:rPr>
      <w:rFonts w:ascii="Calibri" w:eastAsia="Times New Roman" w:hAnsi="Calibri" w:cs="Arial"/>
      <w:color w:val="000000"/>
      <w:szCs w:val="24"/>
    </w:rPr>
  </w:style>
  <w:style w:type="paragraph" w:customStyle="1" w:styleId="MediumGrid1-Accent21">
    <w:name w:val="Medium Grid 1 - Accent 21"/>
    <w:basedOn w:val="Normal"/>
    <w:uiPriority w:val="34"/>
    <w:rsid w:val="00BC26C0"/>
    <w:pPr>
      <w:spacing w:after="200" w:line="240" w:lineRule="auto"/>
      <w:ind w:left="720"/>
      <w:contextualSpacing/>
    </w:pPr>
    <w:rPr>
      <w:rFonts w:ascii="Cambria" w:eastAsia="Cambria" w:hAnsi="Cambria" w:cs="Arial"/>
      <w:color w:val="000000"/>
      <w:szCs w:val="24"/>
    </w:rPr>
  </w:style>
  <w:style w:type="paragraph" w:customStyle="1" w:styleId="cm5">
    <w:name w:val="cm5"/>
    <w:basedOn w:val="Normal"/>
    <w:rsid w:val="00BC26C0"/>
    <w:pPr>
      <w:spacing w:before="100" w:beforeAutospacing="1" w:after="100" w:afterAutospacing="1" w:line="240" w:lineRule="auto"/>
    </w:pPr>
    <w:rPr>
      <w:rFonts w:ascii="Calibri" w:eastAsia="Times New Roman" w:hAnsi="Calibri" w:cs="Arial"/>
      <w:color w:val="000000"/>
      <w:szCs w:val="24"/>
    </w:rPr>
  </w:style>
  <w:style w:type="paragraph" w:customStyle="1" w:styleId="default0">
    <w:name w:val="default"/>
    <w:basedOn w:val="Normal"/>
    <w:rsid w:val="00BC26C0"/>
    <w:pPr>
      <w:spacing w:before="100" w:beforeAutospacing="1" w:after="100" w:afterAutospacing="1" w:line="240" w:lineRule="auto"/>
    </w:pPr>
    <w:rPr>
      <w:rFonts w:ascii="Calibri" w:eastAsia="Times New Roman" w:hAnsi="Calibri" w:cs="Arial"/>
      <w:color w:val="000000"/>
      <w:szCs w:val="24"/>
    </w:rPr>
  </w:style>
  <w:style w:type="paragraph" w:customStyle="1" w:styleId="ColorfulList-Accent12">
    <w:name w:val="Colorful List - Accent 12"/>
    <w:basedOn w:val="Normal"/>
    <w:uiPriority w:val="34"/>
    <w:qFormat/>
    <w:rsid w:val="00BC26C0"/>
    <w:pPr>
      <w:spacing w:after="120" w:line="240" w:lineRule="auto"/>
      <w:ind w:left="720"/>
      <w:contextualSpacing/>
    </w:pPr>
    <w:rPr>
      <w:rFonts w:ascii="Calibri" w:eastAsia="Times New Roman" w:hAnsi="Calibri" w:cs="Arial"/>
      <w:color w:val="000000"/>
      <w:sz w:val="20"/>
      <w:szCs w:val="20"/>
      <w:lang w:eastAsia="ja-JP"/>
    </w:rPr>
  </w:style>
  <w:style w:type="paragraph" w:customStyle="1" w:styleId="SOPLevel1">
    <w:name w:val="SOP Level 1"/>
    <w:basedOn w:val="Normal"/>
    <w:rsid w:val="00BC26C0"/>
    <w:pPr>
      <w:numPr>
        <w:numId w:val="162"/>
      </w:numPr>
      <w:spacing w:before="40" w:after="40" w:line="240" w:lineRule="auto"/>
    </w:pPr>
    <w:rPr>
      <w:rFonts w:ascii="Arial" w:eastAsia="Times New Roman" w:hAnsi="Arial" w:cs="Tahoma"/>
      <w:b/>
      <w:color w:val="000000"/>
      <w:sz w:val="20"/>
      <w:szCs w:val="24"/>
    </w:rPr>
  </w:style>
  <w:style w:type="paragraph" w:customStyle="1" w:styleId="SOPLevel2">
    <w:name w:val="SOP Level 2"/>
    <w:basedOn w:val="SOPLevel1"/>
    <w:rsid w:val="00BC26C0"/>
    <w:pPr>
      <w:numPr>
        <w:ilvl w:val="1"/>
      </w:numPr>
      <w:spacing w:before="20" w:after="20"/>
      <w:ind w:left="936" w:hanging="576"/>
    </w:pPr>
    <w:rPr>
      <w:b w:val="0"/>
    </w:rPr>
  </w:style>
  <w:style w:type="paragraph" w:customStyle="1" w:styleId="SOPLevel3">
    <w:name w:val="SOP Level 3"/>
    <w:basedOn w:val="SOPLevel2"/>
    <w:rsid w:val="00BC26C0"/>
    <w:pPr>
      <w:numPr>
        <w:ilvl w:val="2"/>
      </w:numPr>
      <w:ind w:left="1728" w:hanging="792"/>
    </w:pPr>
  </w:style>
  <w:style w:type="paragraph" w:customStyle="1" w:styleId="SOPLevel4">
    <w:name w:val="SOP Level 4"/>
    <w:basedOn w:val="SOPLevel3"/>
    <w:rsid w:val="00BC26C0"/>
    <w:pPr>
      <w:numPr>
        <w:ilvl w:val="3"/>
      </w:numPr>
      <w:tabs>
        <w:tab w:val="clear" w:pos="2898"/>
        <w:tab w:val="num" w:pos="2700"/>
      </w:tabs>
      <w:ind w:left="2736" w:hanging="1008"/>
    </w:pPr>
  </w:style>
  <w:style w:type="paragraph" w:customStyle="1" w:styleId="SOPLevel5">
    <w:name w:val="SOP Level 5"/>
    <w:basedOn w:val="SOPLevel4"/>
    <w:rsid w:val="00BC26C0"/>
    <w:pPr>
      <w:numPr>
        <w:ilvl w:val="4"/>
      </w:numPr>
      <w:ind w:left="3960" w:hanging="1224"/>
    </w:pPr>
  </w:style>
  <w:style w:type="paragraph" w:customStyle="1" w:styleId="SOPLevel6">
    <w:name w:val="SOP Level 6"/>
    <w:basedOn w:val="SOPLevel5"/>
    <w:rsid w:val="00BC26C0"/>
    <w:pPr>
      <w:numPr>
        <w:ilvl w:val="5"/>
      </w:numPr>
      <w:ind w:left="5400" w:hanging="1440"/>
    </w:pPr>
  </w:style>
  <w:style w:type="paragraph" w:customStyle="1" w:styleId="ColorfulShading-Accent12">
    <w:name w:val="Colorful Shading - Accent 12"/>
    <w:hidden/>
    <w:uiPriority w:val="71"/>
    <w:rsid w:val="00BC26C0"/>
    <w:pPr>
      <w:spacing w:after="0" w:line="240" w:lineRule="auto"/>
    </w:pPr>
    <w:rPr>
      <w:rFonts w:ascii="Calibri" w:eastAsia="Times New Roman" w:hAnsi="Calibri" w:cs="Arial"/>
      <w:color w:val="000000"/>
      <w:sz w:val="24"/>
      <w:szCs w:val="24"/>
    </w:rPr>
  </w:style>
  <w:style w:type="paragraph" w:customStyle="1" w:styleId="ColorfulList-Accent13">
    <w:name w:val="Colorful List - Accent 13"/>
    <w:basedOn w:val="Normal"/>
    <w:uiPriority w:val="34"/>
    <w:qFormat/>
    <w:rsid w:val="00BC26C0"/>
    <w:pPr>
      <w:spacing w:after="120" w:line="240" w:lineRule="auto"/>
      <w:ind w:left="720"/>
      <w:contextualSpacing/>
    </w:pPr>
    <w:rPr>
      <w:rFonts w:ascii="Calibri" w:eastAsia="Times New Roman" w:hAnsi="Calibri" w:cs="Arial"/>
      <w:color w:val="000000"/>
      <w:szCs w:val="24"/>
    </w:rPr>
  </w:style>
  <w:style w:type="character" w:customStyle="1" w:styleId="spelle">
    <w:name w:val="spelle"/>
    <w:basedOn w:val="DefaultParagraphFont"/>
    <w:rsid w:val="00BC26C0"/>
  </w:style>
  <w:style w:type="paragraph" w:styleId="Title">
    <w:name w:val="Title"/>
    <w:basedOn w:val="Normal"/>
    <w:link w:val="TitleChar"/>
    <w:qFormat/>
    <w:rsid w:val="00BC26C0"/>
    <w:pPr>
      <w:spacing w:after="120" w:line="240" w:lineRule="auto"/>
      <w:jc w:val="center"/>
    </w:pPr>
    <w:rPr>
      <w:rFonts w:ascii="Calibri" w:eastAsia="Times New Roman" w:hAnsi="Calibri" w:cs="Arial"/>
      <w:b/>
      <w:color w:val="000000"/>
      <w:szCs w:val="20"/>
      <w:lang w:val="x-none" w:eastAsia="x-none"/>
    </w:rPr>
  </w:style>
  <w:style w:type="character" w:customStyle="1" w:styleId="TitleChar">
    <w:name w:val="Title Char"/>
    <w:basedOn w:val="DefaultParagraphFont"/>
    <w:link w:val="Title"/>
    <w:rsid w:val="00BC26C0"/>
    <w:rPr>
      <w:rFonts w:ascii="Calibri" w:eastAsia="Times New Roman" w:hAnsi="Calibri" w:cs="Arial"/>
      <w:b/>
      <w:color w:val="000000"/>
      <w:sz w:val="24"/>
      <w:szCs w:val="20"/>
      <w:lang w:val="x-none" w:eastAsia="x-none"/>
    </w:rPr>
  </w:style>
  <w:style w:type="character" w:customStyle="1" w:styleId="Mention1">
    <w:name w:val="Mention1"/>
    <w:uiPriority w:val="99"/>
    <w:semiHidden/>
    <w:unhideWhenUsed/>
    <w:rsid w:val="00BC26C0"/>
    <w:rPr>
      <w:color w:val="2B579A"/>
      <w:shd w:val="clear" w:color="auto" w:fill="E6E6E6"/>
    </w:rPr>
  </w:style>
  <w:style w:type="character" w:customStyle="1" w:styleId="et03">
    <w:name w:val="et03"/>
    <w:rsid w:val="00BC26C0"/>
  </w:style>
  <w:style w:type="character" w:customStyle="1" w:styleId="enumxml">
    <w:name w:val="enumxml"/>
    <w:rsid w:val="00BC26C0"/>
  </w:style>
  <w:style w:type="character" w:customStyle="1" w:styleId="UnresolvedMention1">
    <w:name w:val="Unresolved Mention1"/>
    <w:basedOn w:val="DefaultParagraphFont"/>
    <w:uiPriority w:val="99"/>
    <w:semiHidden/>
    <w:unhideWhenUsed/>
    <w:rsid w:val="00BC26C0"/>
    <w:rPr>
      <w:color w:val="808080"/>
      <w:shd w:val="clear" w:color="auto" w:fill="E6E6E6"/>
    </w:rPr>
  </w:style>
  <w:style w:type="character" w:customStyle="1" w:styleId="Mention2">
    <w:name w:val="Mention2"/>
    <w:uiPriority w:val="99"/>
    <w:semiHidden/>
    <w:unhideWhenUsed/>
    <w:rsid w:val="00BC26C0"/>
    <w:rPr>
      <w:color w:val="2B579A"/>
      <w:shd w:val="clear" w:color="auto" w:fill="E6E6E6"/>
    </w:rPr>
  </w:style>
  <w:style w:type="character" w:customStyle="1" w:styleId="stylebolditallic">
    <w:name w:val="stylebolditallic"/>
    <w:rsid w:val="00BC26C0"/>
  </w:style>
  <w:style w:type="paragraph" w:customStyle="1" w:styleId="pdoubleindent">
    <w:name w:val="p_doubleindent"/>
    <w:basedOn w:val="Normal"/>
    <w:rsid w:val="00BC26C0"/>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2">
    <w:name w:val="Unresolved Mention2"/>
    <w:basedOn w:val="DefaultParagraphFont"/>
    <w:uiPriority w:val="99"/>
    <w:semiHidden/>
    <w:unhideWhenUsed/>
    <w:rsid w:val="00BC26C0"/>
    <w:rPr>
      <w:color w:val="808080"/>
      <w:shd w:val="clear" w:color="auto" w:fill="E6E6E6"/>
    </w:rPr>
  </w:style>
  <w:style w:type="paragraph" w:customStyle="1" w:styleId="psection-1">
    <w:name w:val="psection-1"/>
    <w:basedOn w:val="Normal"/>
    <w:rsid w:val="00BC26C0"/>
    <w:pPr>
      <w:spacing w:before="100" w:beforeAutospacing="1" w:after="100" w:afterAutospacing="1" w:line="240" w:lineRule="auto"/>
    </w:pPr>
    <w:rPr>
      <w:rFonts w:ascii="Times New Roman" w:eastAsia="Times New Roman" w:hAnsi="Times New Roman" w:cs="Times New Roman"/>
      <w:szCs w:val="24"/>
    </w:rPr>
  </w:style>
  <w:style w:type="paragraph" w:customStyle="1" w:styleId="psection-2">
    <w:name w:val="psection-2"/>
    <w:basedOn w:val="Normal"/>
    <w:rsid w:val="00BC26C0"/>
    <w:pPr>
      <w:spacing w:before="100" w:beforeAutospacing="1" w:after="100" w:afterAutospacing="1" w:line="240" w:lineRule="auto"/>
    </w:pPr>
    <w:rPr>
      <w:rFonts w:ascii="Times New Roman" w:eastAsia="Times New Roman" w:hAnsi="Times New Roman" w:cs="Times New Roman"/>
      <w:szCs w:val="24"/>
    </w:rPr>
  </w:style>
  <w:style w:type="paragraph" w:customStyle="1" w:styleId="m2452569680189273632msolistparagraph">
    <w:name w:val="m_2452569680189273632msolistparagraph"/>
    <w:basedOn w:val="Normal"/>
    <w:rsid w:val="00B6044C"/>
    <w:pPr>
      <w:spacing w:before="100" w:beforeAutospacing="1" w:after="100" w:afterAutospacing="1" w:line="240" w:lineRule="auto"/>
    </w:pPr>
    <w:rPr>
      <w:rFonts w:ascii="Times New Roman" w:eastAsia="Times New Roman" w:hAnsi="Times New Roman" w:cs="Times New Roman"/>
      <w:szCs w:val="24"/>
    </w:rPr>
  </w:style>
  <w:style w:type="character" w:styleId="SubtleReference">
    <w:name w:val="Subtle Reference"/>
    <w:basedOn w:val="DefaultParagraphFont"/>
    <w:uiPriority w:val="31"/>
    <w:qFormat/>
    <w:rsid w:val="0010633D"/>
    <w:rPr>
      <w:smallCaps/>
      <w:color w:val="5A5A5A" w:themeColor="text1" w:themeTint="A5"/>
    </w:rPr>
  </w:style>
  <w:style w:type="character" w:styleId="IntenseReference">
    <w:name w:val="Intense Reference"/>
    <w:basedOn w:val="DefaultParagraphFont"/>
    <w:uiPriority w:val="32"/>
    <w:qFormat/>
    <w:rsid w:val="0010633D"/>
    <w:rPr>
      <w:b/>
      <w:bCs/>
      <w:smallCaps/>
      <w:color w:val="5B9BD5" w:themeColor="accent1"/>
      <w:spacing w:val="5"/>
    </w:rPr>
  </w:style>
  <w:style w:type="paragraph" w:styleId="Quote">
    <w:name w:val="Quote"/>
    <w:basedOn w:val="Normal"/>
    <w:next w:val="Normal"/>
    <w:link w:val="QuoteChar"/>
    <w:uiPriority w:val="29"/>
    <w:qFormat/>
    <w:rsid w:val="0010633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0633D"/>
    <w:rPr>
      <w:i/>
      <w:iCs/>
      <w:color w:val="404040" w:themeColor="text1" w:themeTint="BF"/>
      <w:sz w:val="24"/>
    </w:rPr>
  </w:style>
  <w:style w:type="paragraph" w:customStyle="1" w:styleId="Bullet1DoDDeptofDefense">
    <w:name w:val="Bullet 1 + DoD (Dept of Defense)"/>
    <w:basedOn w:val="Bullet1"/>
    <w:rsid w:val="006F4A80"/>
    <w:pPr>
      <w:numPr>
        <w:numId w:val="1"/>
      </w:numPr>
      <w:tabs>
        <w:tab w:val="clear" w:pos="2880"/>
        <w:tab w:val="num" w:pos="407"/>
        <w:tab w:val="num" w:pos="673"/>
      </w:tabs>
      <w:ind w:left="407"/>
    </w:pPr>
    <w:rPr>
      <w:rFonts w:ascii="Futura PT Book" w:hAnsi="Futura PT Book"/>
      <w:color w:val="00B0F0"/>
      <w:sz w:val="22"/>
    </w:rPr>
  </w:style>
  <w:style w:type="paragraph" w:customStyle="1" w:styleId="Bullet2DoDDeptofDefense">
    <w:name w:val="Bullet 2 + DoD (Dept of Defense)"/>
    <w:basedOn w:val="Bullet2"/>
    <w:rsid w:val="006F4A80"/>
    <w:pPr>
      <w:numPr>
        <w:numId w:val="1"/>
      </w:numPr>
      <w:tabs>
        <w:tab w:val="clear" w:pos="1080"/>
        <w:tab w:val="num" w:pos="2880"/>
      </w:tabs>
    </w:pPr>
    <w:rPr>
      <w:rFonts w:ascii="Futura PT Book" w:hAnsi="Futura PT Book"/>
      <w:color w:val="00B0F0"/>
      <w:sz w:val="22"/>
    </w:rPr>
  </w:style>
  <w:style w:type="paragraph" w:customStyle="1" w:styleId="ObservationDoDDeptofDefense">
    <w:name w:val="Observation + DoD (Dept of Defense)"/>
    <w:basedOn w:val="Normal"/>
    <w:rsid w:val="00FD36CB"/>
    <w:pPr>
      <w:spacing w:before="60" w:after="60" w:line="240" w:lineRule="auto"/>
      <w:ind w:left="144"/>
    </w:pPr>
    <w:rPr>
      <w:rFonts w:ascii="Futura PT Book" w:eastAsia="Times New Roman" w:hAnsi="Futura PT Book" w:cs="Times New Roman"/>
      <w:color w:val="00B0F0"/>
      <w:sz w:val="22"/>
      <w:szCs w:val="20"/>
    </w:rPr>
  </w:style>
  <w:style w:type="paragraph" w:customStyle="1" w:styleId="ObservationDoJDepartofJustice">
    <w:name w:val="Observation + DoJ (Depart of Justice)"/>
    <w:basedOn w:val="Normal"/>
    <w:rsid w:val="003C7D81"/>
    <w:pPr>
      <w:spacing w:before="120" w:after="60" w:line="240" w:lineRule="auto"/>
      <w:ind w:left="144"/>
    </w:pPr>
    <w:rPr>
      <w:rFonts w:ascii="Futura PT Book" w:eastAsia="Times New Roman" w:hAnsi="Futura PT Book" w:cs="Times New Roman"/>
      <w:color w:val="984806"/>
      <w:sz w:val="22"/>
      <w:szCs w:val="20"/>
    </w:rPr>
  </w:style>
  <w:style w:type="paragraph" w:customStyle="1" w:styleId="Bullet1DoJDeptofJustice">
    <w:name w:val="Bullet 1 + DoJ (Dept of Justice)"/>
    <w:basedOn w:val="Bullet1"/>
    <w:rsid w:val="003C7D81"/>
    <w:pPr>
      <w:numPr>
        <w:numId w:val="0"/>
      </w:numPr>
      <w:tabs>
        <w:tab w:val="clear" w:pos="2880"/>
        <w:tab w:val="num" w:pos="360"/>
        <w:tab w:val="num" w:pos="407"/>
        <w:tab w:val="num" w:pos="673"/>
      </w:tabs>
      <w:ind w:left="407" w:hanging="360"/>
    </w:pPr>
    <w:rPr>
      <w:rFonts w:ascii="Futura PT Book" w:hAnsi="Futura PT Book"/>
      <w:color w:val="984806"/>
      <w:sz w:val="22"/>
    </w:rPr>
  </w:style>
  <w:style w:type="paragraph" w:customStyle="1" w:styleId="Bullet2DoJDeptofJustice">
    <w:name w:val="Bullet 2 + DoJ (Dept of Justice)"/>
    <w:basedOn w:val="Bullet2"/>
    <w:rsid w:val="003C7D81"/>
    <w:pPr>
      <w:numPr>
        <w:ilvl w:val="0"/>
        <w:numId w:val="0"/>
      </w:numPr>
      <w:tabs>
        <w:tab w:val="clear" w:pos="2880"/>
        <w:tab w:val="num" w:pos="673"/>
      </w:tabs>
      <w:ind w:left="1080" w:hanging="360"/>
    </w:pPr>
    <w:rPr>
      <w:rFonts w:ascii="Futura PT Book" w:hAnsi="Futura PT Book"/>
      <w:color w:val="984806"/>
      <w:sz w:val="22"/>
    </w:rPr>
  </w:style>
  <w:style w:type="paragraph" w:customStyle="1" w:styleId="Bullet3DoJDeptofJustice">
    <w:name w:val="Bullet 3 + DoJ (Dept of Justice)"/>
    <w:basedOn w:val="Bullet3"/>
    <w:rsid w:val="00316141"/>
    <w:pPr>
      <w:numPr>
        <w:numId w:val="1"/>
      </w:numPr>
      <w:tabs>
        <w:tab w:val="clear" w:pos="1800"/>
        <w:tab w:val="num" w:pos="673"/>
        <w:tab w:val="num" w:pos="1321"/>
      </w:tabs>
    </w:pPr>
    <w:rPr>
      <w:rFonts w:ascii="Futura PT Book" w:hAnsi="Futura PT Book"/>
      <w:color w:val="984806"/>
      <w:sz w:val="22"/>
    </w:rPr>
  </w:style>
  <w:style w:type="paragraph" w:customStyle="1" w:styleId="Bullet1ICH-GCPE6">
    <w:name w:val="Bullet 1 + ICH-GCP (E6)"/>
    <w:basedOn w:val="Bullet1"/>
    <w:rsid w:val="007309D3"/>
    <w:pPr>
      <w:numPr>
        <w:numId w:val="0"/>
      </w:numPr>
      <w:tabs>
        <w:tab w:val="clear" w:pos="2880"/>
        <w:tab w:val="num" w:pos="360"/>
        <w:tab w:val="num" w:pos="407"/>
        <w:tab w:val="num" w:pos="673"/>
      </w:tabs>
      <w:ind w:left="407" w:hanging="360"/>
    </w:pPr>
    <w:rPr>
      <w:rFonts w:ascii="Futura PT Book" w:hAnsi="Futura PT Book"/>
      <w:color w:val="C00000"/>
      <w:sz w:val="22"/>
    </w:rPr>
  </w:style>
  <w:style w:type="paragraph" w:customStyle="1" w:styleId="Bullet1FDA">
    <w:name w:val="Bullet 1 + FDA"/>
    <w:basedOn w:val="Bullet1"/>
    <w:rsid w:val="00F255FF"/>
    <w:pPr>
      <w:numPr>
        <w:numId w:val="0"/>
      </w:numPr>
      <w:tabs>
        <w:tab w:val="clear" w:pos="2880"/>
        <w:tab w:val="num" w:pos="360"/>
        <w:tab w:val="num" w:pos="407"/>
        <w:tab w:val="num" w:pos="673"/>
      </w:tabs>
      <w:ind w:left="407" w:hanging="360"/>
    </w:pPr>
    <w:rPr>
      <w:rFonts w:ascii="Futura PT Book" w:hAnsi="Futura PT Book"/>
      <w:color w:val="808080"/>
      <w:sz w:val="22"/>
    </w:rPr>
  </w:style>
  <w:style w:type="paragraph" w:customStyle="1" w:styleId="Bullet2FDA">
    <w:name w:val="Bullet 2 + FDA"/>
    <w:basedOn w:val="Normal"/>
    <w:rsid w:val="00F255FF"/>
    <w:pPr>
      <w:tabs>
        <w:tab w:val="num" w:pos="1080"/>
      </w:tabs>
      <w:spacing w:after="0" w:line="240" w:lineRule="auto"/>
      <w:ind w:left="1080" w:hanging="360"/>
    </w:pPr>
    <w:rPr>
      <w:rFonts w:ascii="Futura PT Book" w:eastAsia="Times New Roman" w:hAnsi="Futura PT Book" w:cs="Times New Roman"/>
      <w:color w:val="808080"/>
      <w:sz w:val="22"/>
      <w:szCs w:val="20"/>
    </w:rPr>
  </w:style>
  <w:style w:type="character" w:customStyle="1" w:styleId="Bullet2Char">
    <w:name w:val="Bullet 2 Char"/>
    <w:link w:val="Bullet2"/>
    <w:uiPriority w:val="99"/>
    <w:rsid w:val="00FF3ED1"/>
    <w:rPr>
      <w:rFonts w:ascii="Times New Roman" w:eastAsia="Times New Roman" w:hAnsi="Times New Roman" w:cs="Times New Roman"/>
      <w:sz w:val="24"/>
      <w:szCs w:val="20"/>
    </w:rPr>
  </w:style>
  <w:style w:type="paragraph" w:customStyle="1" w:styleId="Bullet2DHHS">
    <w:name w:val="Bullet 2 + DHHS"/>
    <w:basedOn w:val="Bullet2"/>
    <w:rsid w:val="00B20506"/>
    <w:pPr>
      <w:numPr>
        <w:ilvl w:val="0"/>
        <w:numId w:val="0"/>
      </w:numPr>
      <w:tabs>
        <w:tab w:val="clear" w:pos="2880"/>
      </w:tabs>
      <w:ind w:left="1080" w:hanging="360"/>
    </w:pPr>
    <w:rPr>
      <w:rFonts w:ascii="Futura PT Book" w:hAnsi="Futura PT Book"/>
      <w:color w:val="0000FF"/>
      <w:sz w:val="22"/>
    </w:rPr>
  </w:style>
  <w:style w:type="paragraph" w:customStyle="1" w:styleId="Bullet3DHHS">
    <w:name w:val="Bullet 3 + DHHS"/>
    <w:basedOn w:val="Bullet3"/>
    <w:rsid w:val="00B20506"/>
    <w:pPr>
      <w:numPr>
        <w:ilvl w:val="0"/>
        <w:numId w:val="0"/>
      </w:numPr>
      <w:tabs>
        <w:tab w:val="clear" w:pos="1800"/>
        <w:tab w:val="clear" w:pos="2880"/>
        <w:tab w:val="num" w:pos="1321"/>
      </w:tabs>
      <w:ind w:left="1800" w:hanging="360"/>
    </w:pPr>
    <w:rPr>
      <w:rFonts w:ascii="Futura PT Book" w:hAnsi="Futura PT Book"/>
      <w:color w:val="0000FF"/>
      <w:sz w:val="22"/>
    </w:rPr>
  </w:style>
  <w:style w:type="paragraph" w:customStyle="1" w:styleId="Bullet1DHHS">
    <w:name w:val="Bullet 1 + DHHS"/>
    <w:basedOn w:val="Bullet1"/>
    <w:rsid w:val="00B20506"/>
    <w:pPr>
      <w:numPr>
        <w:numId w:val="0"/>
      </w:numPr>
      <w:tabs>
        <w:tab w:val="clear" w:pos="2880"/>
        <w:tab w:val="num" w:pos="360"/>
        <w:tab w:val="left" w:pos="403"/>
        <w:tab w:val="num" w:pos="673"/>
      </w:tabs>
      <w:ind w:left="403" w:hanging="360"/>
    </w:pPr>
    <w:rPr>
      <w:rFonts w:ascii="Futura PT Book" w:hAnsi="Futura PT Book"/>
      <w:color w:val="0000FF"/>
      <w:sz w:val="22"/>
    </w:rPr>
  </w:style>
  <w:style w:type="character" w:styleId="UnresolvedMention">
    <w:name w:val="Unresolved Mention"/>
    <w:basedOn w:val="DefaultParagraphFont"/>
    <w:uiPriority w:val="99"/>
    <w:semiHidden/>
    <w:unhideWhenUsed/>
    <w:rsid w:val="00FD5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5169">
      <w:bodyDiv w:val="1"/>
      <w:marLeft w:val="0"/>
      <w:marRight w:val="0"/>
      <w:marTop w:val="0"/>
      <w:marBottom w:val="0"/>
      <w:divBdr>
        <w:top w:val="none" w:sz="0" w:space="0" w:color="auto"/>
        <w:left w:val="none" w:sz="0" w:space="0" w:color="auto"/>
        <w:bottom w:val="none" w:sz="0" w:space="0" w:color="auto"/>
        <w:right w:val="none" w:sz="0" w:space="0" w:color="auto"/>
      </w:divBdr>
      <w:divsChild>
        <w:div w:id="70781152">
          <w:marLeft w:val="0"/>
          <w:marRight w:val="0"/>
          <w:marTop w:val="0"/>
          <w:marBottom w:val="0"/>
          <w:divBdr>
            <w:top w:val="none" w:sz="0" w:space="0" w:color="auto"/>
            <w:left w:val="none" w:sz="0" w:space="0" w:color="auto"/>
            <w:bottom w:val="none" w:sz="0" w:space="0" w:color="auto"/>
            <w:right w:val="none" w:sz="0" w:space="0" w:color="auto"/>
          </w:divBdr>
          <w:divsChild>
            <w:div w:id="490680477">
              <w:marLeft w:val="0"/>
              <w:marRight w:val="0"/>
              <w:marTop w:val="0"/>
              <w:marBottom w:val="0"/>
              <w:divBdr>
                <w:top w:val="none" w:sz="0" w:space="0" w:color="auto"/>
                <w:left w:val="none" w:sz="0" w:space="0" w:color="auto"/>
                <w:bottom w:val="none" w:sz="0" w:space="0" w:color="auto"/>
                <w:right w:val="none" w:sz="0" w:space="0" w:color="auto"/>
              </w:divBdr>
              <w:divsChild>
                <w:div w:id="95656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4034">
          <w:marLeft w:val="0"/>
          <w:marRight w:val="0"/>
          <w:marTop w:val="0"/>
          <w:marBottom w:val="0"/>
          <w:divBdr>
            <w:top w:val="none" w:sz="0" w:space="0" w:color="auto"/>
            <w:left w:val="none" w:sz="0" w:space="0" w:color="auto"/>
            <w:bottom w:val="none" w:sz="0" w:space="0" w:color="auto"/>
            <w:right w:val="none" w:sz="0" w:space="0" w:color="auto"/>
          </w:divBdr>
          <w:divsChild>
            <w:div w:id="1623339195">
              <w:marLeft w:val="0"/>
              <w:marRight w:val="0"/>
              <w:marTop w:val="0"/>
              <w:marBottom w:val="0"/>
              <w:divBdr>
                <w:top w:val="none" w:sz="0" w:space="0" w:color="auto"/>
                <w:left w:val="none" w:sz="0" w:space="0" w:color="auto"/>
                <w:bottom w:val="none" w:sz="0" w:space="0" w:color="auto"/>
                <w:right w:val="none" w:sz="0" w:space="0" w:color="auto"/>
              </w:divBdr>
              <w:divsChild>
                <w:div w:id="4200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686">
      <w:bodyDiv w:val="1"/>
      <w:marLeft w:val="0"/>
      <w:marRight w:val="0"/>
      <w:marTop w:val="0"/>
      <w:marBottom w:val="0"/>
      <w:divBdr>
        <w:top w:val="none" w:sz="0" w:space="0" w:color="auto"/>
        <w:left w:val="none" w:sz="0" w:space="0" w:color="auto"/>
        <w:bottom w:val="none" w:sz="0" w:space="0" w:color="auto"/>
        <w:right w:val="none" w:sz="0" w:space="0" w:color="auto"/>
      </w:divBdr>
      <w:divsChild>
        <w:div w:id="105855370">
          <w:marLeft w:val="0"/>
          <w:marRight w:val="0"/>
          <w:marTop w:val="0"/>
          <w:marBottom w:val="0"/>
          <w:divBdr>
            <w:top w:val="none" w:sz="0" w:space="0" w:color="auto"/>
            <w:left w:val="none" w:sz="0" w:space="0" w:color="auto"/>
            <w:bottom w:val="none" w:sz="0" w:space="0" w:color="auto"/>
            <w:right w:val="none" w:sz="0" w:space="0" w:color="auto"/>
          </w:divBdr>
          <w:divsChild>
            <w:div w:id="420102622">
              <w:marLeft w:val="0"/>
              <w:marRight w:val="0"/>
              <w:marTop w:val="0"/>
              <w:marBottom w:val="0"/>
              <w:divBdr>
                <w:top w:val="none" w:sz="0" w:space="0" w:color="auto"/>
                <w:left w:val="none" w:sz="0" w:space="0" w:color="auto"/>
                <w:bottom w:val="none" w:sz="0" w:space="0" w:color="auto"/>
                <w:right w:val="none" w:sz="0" w:space="0" w:color="auto"/>
              </w:divBdr>
              <w:divsChild>
                <w:div w:id="504056197">
                  <w:marLeft w:val="0"/>
                  <w:marRight w:val="0"/>
                  <w:marTop w:val="0"/>
                  <w:marBottom w:val="0"/>
                  <w:divBdr>
                    <w:top w:val="none" w:sz="0" w:space="0" w:color="auto"/>
                    <w:left w:val="none" w:sz="0" w:space="0" w:color="auto"/>
                    <w:bottom w:val="none" w:sz="0" w:space="0" w:color="auto"/>
                    <w:right w:val="none" w:sz="0" w:space="0" w:color="auto"/>
                  </w:divBdr>
                  <w:divsChild>
                    <w:div w:id="1642156462">
                      <w:marLeft w:val="0"/>
                      <w:marRight w:val="0"/>
                      <w:marTop w:val="0"/>
                      <w:marBottom w:val="0"/>
                      <w:divBdr>
                        <w:top w:val="none" w:sz="0" w:space="0" w:color="auto"/>
                        <w:left w:val="none" w:sz="0" w:space="0" w:color="auto"/>
                        <w:bottom w:val="none" w:sz="0" w:space="0" w:color="auto"/>
                        <w:right w:val="none" w:sz="0" w:space="0" w:color="auto"/>
                      </w:divBdr>
                      <w:divsChild>
                        <w:div w:id="6318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06408">
              <w:marLeft w:val="0"/>
              <w:marRight w:val="0"/>
              <w:marTop w:val="0"/>
              <w:marBottom w:val="0"/>
              <w:divBdr>
                <w:top w:val="none" w:sz="0" w:space="0" w:color="auto"/>
                <w:left w:val="none" w:sz="0" w:space="0" w:color="auto"/>
                <w:bottom w:val="none" w:sz="0" w:space="0" w:color="auto"/>
                <w:right w:val="none" w:sz="0" w:space="0" w:color="auto"/>
              </w:divBdr>
              <w:divsChild>
                <w:div w:id="1790782839">
                  <w:marLeft w:val="0"/>
                  <w:marRight w:val="0"/>
                  <w:marTop w:val="0"/>
                  <w:marBottom w:val="0"/>
                  <w:divBdr>
                    <w:top w:val="none" w:sz="0" w:space="0" w:color="auto"/>
                    <w:left w:val="none" w:sz="0" w:space="0" w:color="auto"/>
                    <w:bottom w:val="none" w:sz="0" w:space="0" w:color="auto"/>
                    <w:right w:val="none" w:sz="0" w:space="0" w:color="auto"/>
                  </w:divBdr>
                  <w:divsChild>
                    <w:div w:id="914050867">
                      <w:marLeft w:val="0"/>
                      <w:marRight w:val="0"/>
                      <w:marTop w:val="0"/>
                      <w:marBottom w:val="0"/>
                      <w:divBdr>
                        <w:top w:val="none" w:sz="0" w:space="0" w:color="auto"/>
                        <w:left w:val="none" w:sz="0" w:space="0" w:color="auto"/>
                        <w:bottom w:val="none" w:sz="0" w:space="0" w:color="auto"/>
                        <w:right w:val="none" w:sz="0" w:space="0" w:color="auto"/>
                      </w:divBdr>
                      <w:divsChild>
                        <w:div w:id="17040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59218">
              <w:marLeft w:val="0"/>
              <w:marRight w:val="0"/>
              <w:marTop w:val="0"/>
              <w:marBottom w:val="0"/>
              <w:divBdr>
                <w:top w:val="none" w:sz="0" w:space="0" w:color="auto"/>
                <w:left w:val="none" w:sz="0" w:space="0" w:color="auto"/>
                <w:bottom w:val="none" w:sz="0" w:space="0" w:color="auto"/>
                <w:right w:val="none" w:sz="0" w:space="0" w:color="auto"/>
              </w:divBdr>
              <w:divsChild>
                <w:div w:id="1650789986">
                  <w:marLeft w:val="0"/>
                  <w:marRight w:val="0"/>
                  <w:marTop w:val="0"/>
                  <w:marBottom w:val="0"/>
                  <w:divBdr>
                    <w:top w:val="none" w:sz="0" w:space="0" w:color="auto"/>
                    <w:left w:val="none" w:sz="0" w:space="0" w:color="auto"/>
                    <w:bottom w:val="none" w:sz="0" w:space="0" w:color="auto"/>
                    <w:right w:val="none" w:sz="0" w:space="0" w:color="auto"/>
                  </w:divBdr>
                  <w:divsChild>
                    <w:div w:id="1538278140">
                      <w:marLeft w:val="0"/>
                      <w:marRight w:val="0"/>
                      <w:marTop w:val="0"/>
                      <w:marBottom w:val="0"/>
                      <w:divBdr>
                        <w:top w:val="none" w:sz="0" w:space="0" w:color="auto"/>
                        <w:left w:val="none" w:sz="0" w:space="0" w:color="auto"/>
                        <w:bottom w:val="none" w:sz="0" w:space="0" w:color="auto"/>
                        <w:right w:val="none" w:sz="0" w:space="0" w:color="auto"/>
                      </w:divBdr>
                      <w:divsChild>
                        <w:div w:id="11236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45929">
              <w:marLeft w:val="0"/>
              <w:marRight w:val="0"/>
              <w:marTop w:val="0"/>
              <w:marBottom w:val="0"/>
              <w:divBdr>
                <w:top w:val="none" w:sz="0" w:space="0" w:color="auto"/>
                <w:left w:val="none" w:sz="0" w:space="0" w:color="auto"/>
                <w:bottom w:val="none" w:sz="0" w:space="0" w:color="auto"/>
                <w:right w:val="none" w:sz="0" w:space="0" w:color="auto"/>
              </w:divBdr>
              <w:divsChild>
                <w:div w:id="1715809453">
                  <w:marLeft w:val="0"/>
                  <w:marRight w:val="0"/>
                  <w:marTop w:val="0"/>
                  <w:marBottom w:val="0"/>
                  <w:divBdr>
                    <w:top w:val="none" w:sz="0" w:space="0" w:color="auto"/>
                    <w:left w:val="none" w:sz="0" w:space="0" w:color="auto"/>
                    <w:bottom w:val="none" w:sz="0" w:space="0" w:color="auto"/>
                    <w:right w:val="none" w:sz="0" w:space="0" w:color="auto"/>
                  </w:divBdr>
                  <w:divsChild>
                    <w:div w:id="1467697703">
                      <w:marLeft w:val="0"/>
                      <w:marRight w:val="0"/>
                      <w:marTop w:val="0"/>
                      <w:marBottom w:val="0"/>
                      <w:divBdr>
                        <w:top w:val="none" w:sz="0" w:space="0" w:color="auto"/>
                        <w:left w:val="none" w:sz="0" w:space="0" w:color="auto"/>
                        <w:bottom w:val="none" w:sz="0" w:space="0" w:color="auto"/>
                        <w:right w:val="none" w:sz="0" w:space="0" w:color="auto"/>
                      </w:divBdr>
                      <w:divsChild>
                        <w:div w:id="20623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494064">
          <w:marLeft w:val="0"/>
          <w:marRight w:val="0"/>
          <w:marTop w:val="0"/>
          <w:marBottom w:val="0"/>
          <w:divBdr>
            <w:top w:val="none" w:sz="0" w:space="0" w:color="auto"/>
            <w:left w:val="none" w:sz="0" w:space="0" w:color="auto"/>
            <w:bottom w:val="none" w:sz="0" w:space="0" w:color="auto"/>
            <w:right w:val="none" w:sz="0" w:space="0" w:color="auto"/>
          </w:divBdr>
          <w:divsChild>
            <w:div w:id="20127051">
              <w:marLeft w:val="0"/>
              <w:marRight w:val="0"/>
              <w:marTop w:val="0"/>
              <w:marBottom w:val="0"/>
              <w:divBdr>
                <w:top w:val="none" w:sz="0" w:space="0" w:color="auto"/>
                <w:left w:val="none" w:sz="0" w:space="0" w:color="auto"/>
                <w:bottom w:val="none" w:sz="0" w:space="0" w:color="auto"/>
                <w:right w:val="none" w:sz="0" w:space="0" w:color="auto"/>
              </w:divBdr>
              <w:divsChild>
                <w:div w:id="1697386410">
                  <w:marLeft w:val="0"/>
                  <w:marRight w:val="0"/>
                  <w:marTop w:val="0"/>
                  <w:marBottom w:val="0"/>
                  <w:divBdr>
                    <w:top w:val="none" w:sz="0" w:space="0" w:color="auto"/>
                    <w:left w:val="none" w:sz="0" w:space="0" w:color="auto"/>
                    <w:bottom w:val="none" w:sz="0" w:space="0" w:color="auto"/>
                    <w:right w:val="none" w:sz="0" w:space="0" w:color="auto"/>
                  </w:divBdr>
                  <w:divsChild>
                    <w:div w:id="235360341">
                      <w:marLeft w:val="0"/>
                      <w:marRight w:val="0"/>
                      <w:marTop w:val="0"/>
                      <w:marBottom w:val="0"/>
                      <w:divBdr>
                        <w:top w:val="none" w:sz="0" w:space="0" w:color="auto"/>
                        <w:left w:val="none" w:sz="0" w:space="0" w:color="auto"/>
                        <w:bottom w:val="none" w:sz="0" w:space="0" w:color="auto"/>
                        <w:right w:val="none" w:sz="0" w:space="0" w:color="auto"/>
                      </w:divBdr>
                      <w:divsChild>
                        <w:div w:id="8725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12603">
              <w:marLeft w:val="0"/>
              <w:marRight w:val="0"/>
              <w:marTop w:val="0"/>
              <w:marBottom w:val="0"/>
              <w:divBdr>
                <w:top w:val="none" w:sz="0" w:space="0" w:color="auto"/>
                <w:left w:val="none" w:sz="0" w:space="0" w:color="auto"/>
                <w:bottom w:val="none" w:sz="0" w:space="0" w:color="auto"/>
                <w:right w:val="none" w:sz="0" w:space="0" w:color="auto"/>
              </w:divBdr>
              <w:divsChild>
                <w:div w:id="861674642">
                  <w:marLeft w:val="0"/>
                  <w:marRight w:val="0"/>
                  <w:marTop w:val="0"/>
                  <w:marBottom w:val="0"/>
                  <w:divBdr>
                    <w:top w:val="none" w:sz="0" w:space="0" w:color="auto"/>
                    <w:left w:val="none" w:sz="0" w:space="0" w:color="auto"/>
                    <w:bottom w:val="none" w:sz="0" w:space="0" w:color="auto"/>
                    <w:right w:val="none" w:sz="0" w:space="0" w:color="auto"/>
                  </w:divBdr>
                  <w:divsChild>
                    <w:div w:id="1687051622">
                      <w:marLeft w:val="0"/>
                      <w:marRight w:val="0"/>
                      <w:marTop w:val="0"/>
                      <w:marBottom w:val="0"/>
                      <w:divBdr>
                        <w:top w:val="none" w:sz="0" w:space="0" w:color="auto"/>
                        <w:left w:val="none" w:sz="0" w:space="0" w:color="auto"/>
                        <w:bottom w:val="none" w:sz="0" w:space="0" w:color="auto"/>
                        <w:right w:val="none" w:sz="0" w:space="0" w:color="auto"/>
                      </w:divBdr>
                      <w:divsChild>
                        <w:div w:id="14317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81443">
              <w:marLeft w:val="0"/>
              <w:marRight w:val="0"/>
              <w:marTop w:val="0"/>
              <w:marBottom w:val="0"/>
              <w:divBdr>
                <w:top w:val="none" w:sz="0" w:space="0" w:color="auto"/>
                <w:left w:val="none" w:sz="0" w:space="0" w:color="auto"/>
                <w:bottom w:val="none" w:sz="0" w:space="0" w:color="auto"/>
                <w:right w:val="none" w:sz="0" w:space="0" w:color="auto"/>
              </w:divBdr>
              <w:divsChild>
                <w:div w:id="841431542">
                  <w:marLeft w:val="0"/>
                  <w:marRight w:val="0"/>
                  <w:marTop w:val="0"/>
                  <w:marBottom w:val="0"/>
                  <w:divBdr>
                    <w:top w:val="none" w:sz="0" w:space="0" w:color="auto"/>
                    <w:left w:val="none" w:sz="0" w:space="0" w:color="auto"/>
                    <w:bottom w:val="none" w:sz="0" w:space="0" w:color="auto"/>
                    <w:right w:val="none" w:sz="0" w:space="0" w:color="auto"/>
                  </w:divBdr>
                  <w:divsChild>
                    <w:div w:id="812599339">
                      <w:marLeft w:val="0"/>
                      <w:marRight w:val="0"/>
                      <w:marTop w:val="0"/>
                      <w:marBottom w:val="0"/>
                      <w:divBdr>
                        <w:top w:val="none" w:sz="0" w:space="0" w:color="auto"/>
                        <w:left w:val="none" w:sz="0" w:space="0" w:color="auto"/>
                        <w:bottom w:val="none" w:sz="0" w:space="0" w:color="auto"/>
                        <w:right w:val="none" w:sz="0" w:space="0" w:color="auto"/>
                      </w:divBdr>
                      <w:divsChild>
                        <w:div w:id="7295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0130">
              <w:marLeft w:val="0"/>
              <w:marRight w:val="0"/>
              <w:marTop w:val="0"/>
              <w:marBottom w:val="0"/>
              <w:divBdr>
                <w:top w:val="none" w:sz="0" w:space="0" w:color="auto"/>
                <w:left w:val="none" w:sz="0" w:space="0" w:color="auto"/>
                <w:bottom w:val="none" w:sz="0" w:space="0" w:color="auto"/>
                <w:right w:val="none" w:sz="0" w:space="0" w:color="auto"/>
              </w:divBdr>
              <w:divsChild>
                <w:div w:id="273438639">
                  <w:marLeft w:val="0"/>
                  <w:marRight w:val="0"/>
                  <w:marTop w:val="0"/>
                  <w:marBottom w:val="0"/>
                  <w:divBdr>
                    <w:top w:val="none" w:sz="0" w:space="0" w:color="auto"/>
                    <w:left w:val="none" w:sz="0" w:space="0" w:color="auto"/>
                    <w:bottom w:val="none" w:sz="0" w:space="0" w:color="auto"/>
                    <w:right w:val="none" w:sz="0" w:space="0" w:color="auto"/>
                  </w:divBdr>
                  <w:divsChild>
                    <w:div w:id="1088505818">
                      <w:marLeft w:val="0"/>
                      <w:marRight w:val="0"/>
                      <w:marTop w:val="0"/>
                      <w:marBottom w:val="0"/>
                      <w:divBdr>
                        <w:top w:val="none" w:sz="0" w:space="0" w:color="auto"/>
                        <w:left w:val="none" w:sz="0" w:space="0" w:color="auto"/>
                        <w:bottom w:val="none" w:sz="0" w:space="0" w:color="auto"/>
                        <w:right w:val="none" w:sz="0" w:space="0" w:color="auto"/>
                      </w:divBdr>
                      <w:divsChild>
                        <w:div w:id="4577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6644">
              <w:marLeft w:val="0"/>
              <w:marRight w:val="0"/>
              <w:marTop w:val="0"/>
              <w:marBottom w:val="0"/>
              <w:divBdr>
                <w:top w:val="none" w:sz="0" w:space="0" w:color="auto"/>
                <w:left w:val="none" w:sz="0" w:space="0" w:color="auto"/>
                <w:bottom w:val="none" w:sz="0" w:space="0" w:color="auto"/>
                <w:right w:val="none" w:sz="0" w:space="0" w:color="auto"/>
              </w:divBdr>
              <w:divsChild>
                <w:div w:id="31271288">
                  <w:marLeft w:val="0"/>
                  <w:marRight w:val="0"/>
                  <w:marTop w:val="0"/>
                  <w:marBottom w:val="0"/>
                  <w:divBdr>
                    <w:top w:val="none" w:sz="0" w:space="0" w:color="auto"/>
                    <w:left w:val="none" w:sz="0" w:space="0" w:color="auto"/>
                    <w:bottom w:val="none" w:sz="0" w:space="0" w:color="auto"/>
                    <w:right w:val="none" w:sz="0" w:space="0" w:color="auto"/>
                  </w:divBdr>
                  <w:divsChild>
                    <w:div w:id="459614911">
                      <w:marLeft w:val="0"/>
                      <w:marRight w:val="0"/>
                      <w:marTop w:val="0"/>
                      <w:marBottom w:val="0"/>
                      <w:divBdr>
                        <w:top w:val="none" w:sz="0" w:space="0" w:color="auto"/>
                        <w:left w:val="none" w:sz="0" w:space="0" w:color="auto"/>
                        <w:bottom w:val="none" w:sz="0" w:space="0" w:color="auto"/>
                        <w:right w:val="none" w:sz="0" w:space="0" w:color="auto"/>
                      </w:divBdr>
                      <w:divsChild>
                        <w:div w:id="12074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96918">
          <w:marLeft w:val="0"/>
          <w:marRight w:val="0"/>
          <w:marTop w:val="0"/>
          <w:marBottom w:val="0"/>
          <w:divBdr>
            <w:top w:val="none" w:sz="0" w:space="0" w:color="auto"/>
            <w:left w:val="none" w:sz="0" w:space="0" w:color="auto"/>
            <w:bottom w:val="none" w:sz="0" w:space="0" w:color="auto"/>
            <w:right w:val="none" w:sz="0" w:space="0" w:color="auto"/>
          </w:divBdr>
          <w:divsChild>
            <w:div w:id="5252652">
              <w:marLeft w:val="0"/>
              <w:marRight w:val="0"/>
              <w:marTop w:val="0"/>
              <w:marBottom w:val="0"/>
              <w:divBdr>
                <w:top w:val="none" w:sz="0" w:space="0" w:color="auto"/>
                <w:left w:val="none" w:sz="0" w:space="0" w:color="auto"/>
                <w:bottom w:val="none" w:sz="0" w:space="0" w:color="auto"/>
                <w:right w:val="none" w:sz="0" w:space="0" w:color="auto"/>
              </w:divBdr>
              <w:divsChild>
                <w:div w:id="734814465">
                  <w:marLeft w:val="0"/>
                  <w:marRight w:val="0"/>
                  <w:marTop w:val="0"/>
                  <w:marBottom w:val="0"/>
                  <w:divBdr>
                    <w:top w:val="none" w:sz="0" w:space="0" w:color="auto"/>
                    <w:left w:val="none" w:sz="0" w:space="0" w:color="auto"/>
                    <w:bottom w:val="none" w:sz="0" w:space="0" w:color="auto"/>
                    <w:right w:val="none" w:sz="0" w:space="0" w:color="auto"/>
                  </w:divBdr>
                  <w:divsChild>
                    <w:div w:id="1122725787">
                      <w:marLeft w:val="0"/>
                      <w:marRight w:val="0"/>
                      <w:marTop w:val="0"/>
                      <w:marBottom w:val="0"/>
                      <w:divBdr>
                        <w:top w:val="none" w:sz="0" w:space="0" w:color="auto"/>
                        <w:left w:val="none" w:sz="0" w:space="0" w:color="auto"/>
                        <w:bottom w:val="none" w:sz="0" w:space="0" w:color="auto"/>
                        <w:right w:val="none" w:sz="0" w:space="0" w:color="auto"/>
                      </w:divBdr>
                      <w:divsChild>
                        <w:div w:id="20645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4695">
              <w:marLeft w:val="0"/>
              <w:marRight w:val="0"/>
              <w:marTop w:val="0"/>
              <w:marBottom w:val="0"/>
              <w:divBdr>
                <w:top w:val="none" w:sz="0" w:space="0" w:color="auto"/>
                <w:left w:val="none" w:sz="0" w:space="0" w:color="auto"/>
                <w:bottom w:val="none" w:sz="0" w:space="0" w:color="auto"/>
                <w:right w:val="none" w:sz="0" w:space="0" w:color="auto"/>
              </w:divBdr>
              <w:divsChild>
                <w:div w:id="439183839">
                  <w:marLeft w:val="0"/>
                  <w:marRight w:val="0"/>
                  <w:marTop w:val="0"/>
                  <w:marBottom w:val="0"/>
                  <w:divBdr>
                    <w:top w:val="none" w:sz="0" w:space="0" w:color="auto"/>
                    <w:left w:val="none" w:sz="0" w:space="0" w:color="auto"/>
                    <w:bottom w:val="none" w:sz="0" w:space="0" w:color="auto"/>
                    <w:right w:val="none" w:sz="0" w:space="0" w:color="auto"/>
                  </w:divBdr>
                  <w:divsChild>
                    <w:div w:id="65147926">
                      <w:marLeft w:val="0"/>
                      <w:marRight w:val="0"/>
                      <w:marTop w:val="0"/>
                      <w:marBottom w:val="0"/>
                      <w:divBdr>
                        <w:top w:val="none" w:sz="0" w:space="0" w:color="auto"/>
                        <w:left w:val="none" w:sz="0" w:space="0" w:color="auto"/>
                        <w:bottom w:val="none" w:sz="0" w:space="0" w:color="auto"/>
                        <w:right w:val="none" w:sz="0" w:space="0" w:color="auto"/>
                      </w:divBdr>
                      <w:divsChild>
                        <w:div w:id="8182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8044">
              <w:marLeft w:val="0"/>
              <w:marRight w:val="0"/>
              <w:marTop w:val="0"/>
              <w:marBottom w:val="0"/>
              <w:divBdr>
                <w:top w:val="none" w:sz="0" w:space="0" w:color="auto"/>
                <w:left w:val="none" w:sz="0" w:space="0" w:color="auto"/>
                <w:bottom w:val="none" w:sz="0" w:space="0" w:color="auto"/>
                <w:right w:val="none" w:sz="0" w:space="0" w:color="auto"/>
              </w:divBdr>
              <w:divsChild>
                <w:div w:id="1466662025">
                  <w:marLeft w:val="0"/>
                  <w:marRight w:val="0"/>
                  <w:marTop w:val="0"/>
                  <w:marBottom w:val="0"/>
                  <w:divBdr>
                    <w:top w:val="none" w:sz="0" w:space="0" w:color="auto"/>
                    <w:left w:val="none" w:sz="0" w:space="0" w:color="auto"/>
                    <w:bottom w:val="none" w:sz="0" w:space="0" w:color="auto"/>
                    <w:right w:val="none" w:sz="0" w:space="0" w:color="auto"/>
                  </w:divBdr>
                  <w:divsChild>
                    <w:div w:id="164904556">
                      <w:marLeft w:val="0"/>
                      <w:marRight w:val="0"/>
                      <w:marTop w:val="0"/>
                      <w:marBottom w:val="0"/>
                      <w:divBdr>
                        <w:top w:val="none" w:sz="0" w:space="0" w:color="auto"/>
                        <w:left w:val="none" w:sz="0" w:space="0" w:color="auto"/>
                        <w:bottom w:val="none" w:sz="0" w:space="0" w:color="auto"/>
                        <w:right w:val="none" w:sz="0" w:space="0" w:color="auto"/>
                      </w:divBdr>
                      <w:divsChild>
                        <w:div w:id="14049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5885">
              <w:marLeft w:val="0"/>
              <w:marRight w:val="0"/>
              <w:marTop w:val="0"/>
              <w:marBottom w:val="0"/>
              <w:divBdr>
                <w:top w:val="none" w:sz="0" w:space="0" w:color="auto"/>
                <w:left w:val="none" w:sz="0" w:space="0" w:color="auto"/>
                <w:bottom w:val="none" w:sz="0" w:space="0" w:color="auto"/>
                <w:right w:val="none" w:sz="0" w:space="0" w:color="auto"/>
              </w:divBdr>
              <w:divsChild>
                <w:div w:id="1847667671">
                  <w:marLeft w:val="0"/>
                  <w:marRight w:val="0"/>
                  <w:marTop w:val="0"/>
                  <w:marBottom w:val="0"/>
                  <w:divBdr>
                    <w:top w:val="none" w:sz="0" w:space="0" w:color="auto"/>
                    <w:left w:val="none" w:sz="0" w:space="0" w:color="auto"/>
                    <w:bottom w:val="none" w:sz="0" w:space="0" w:color="auto"/>
                    <w:right w:val="none" w:sz="0" w:space="0" w:color="auto"/>
                  </w:divBdr>
                  <w:divsChild>
                    <w:div w:id="572012557">
                      <w:marLeft w:val="0"/>
                      <w:marRight w:val="0"/>
                      <w:marTop w:val="0"/>
                      <w:marBottom w:val="0"/>
                      <w:divBdr>
                        <w:top w:val="none" w:sz="0" w:space="0" w:color="auto"/>
                        <w:left w:val="none" w:sz="0" w:space="0" w:color="auto"/>
                        <w:bottom w:val="none" w:sz="0" w:space="0" w:color="auto"/>
                        <w:right w:val="none" w:sz="0" w:space="0" w:color="auto"/>
                      </w:divBdr>
                      <w:divsChild>
                        <w:div w:id="8688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6457">
          <w:marLeft w:val="0"/>
          <w:marRight w:val="0"/>
          <w:marTop w:val="0"/>
          <w:marBottom w:val="0"/>
          <w:divBdr>
            <w:top w:val="none" w:sz="0" w:space="0" w:color="auto"/>
            <w:left w:val="none" w:sz="0" w:space="0" w:color="auto"/>
            <w:bottom w:val="none" w:sz="0" w:space="0" w:color="auto"/>
            <w:right w:val="none" w:sz="0" w:space="0" w:color="auto"/>
          </w:divBdr>
          <w:divsChild>
            <w:div w:id="165368616">
              <w:marLeft w:val="0"/>
              <w:marRight w:val="0"/>
              <w:marTop w:val="0"/>
              <w:marBottom w:val="0"/>
              <w:divBdr>
                <w:top w:val="none" w:sz="0" w:space="0" w:color="auto"/>
                <w:left w:val="none" w:sz="0" w:space="0" w:color="auto"/>
                <w:bottom w:val="none" w:sz="0" w:space="0" w:color="auto"/>
                <w:right w:val="none" w:sz="0" w:space="0" w:color="auto"/>
              </w:divBdr>
              <w:divsChild>
                <w:div w:id="1058284089">
                  <w:marLeft w:val="0"/>
                  <w:marRight w:val="0"/>
                  <w:marTop w:val="0"/>
                  <w:marBottom w:val="0"/>
                  <w:divBdr>
                    <w:top w:val="none" w:sz="0" w:space="0" w:color="auto"/>
                    <w:left w:val="none" w:sz="0" w:space="0" w:color="auto"/>
                    <w:bottom w:val="none" w:sz="0" w:space="0" w:color="auto"/>
                    <w:right w:val="none" w:sz="0" w:space="0" w:color="auto"/>
                  </w:divBdr>
                  <w:divsChild>
                    <w:div w:id="2043019652">
                      <w:marLeft w:val="0"/>
                      <w:marRight w:val="0"/>
                      <w:marTop w:val="0"/>
                      <w:marBottom w:val="0"/>
                      <w:divBdr>
                        <w:top w:val="none" w:sz="0" w:space="0" w:color="auto"/>
                        <w:left w:val="none" w:sz="0" w:space="0" w:color="auto"/>
                        <w:bottom w:val="none" w:sz="0" w:space="0" w:color="auto"/>
                        <w:right w:val="none" w:sz="0" w:space="0" w:color="auto"/>
                      </w:divBdr>
                      <w:divsChild>
                        <w:div w:id="13556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82482">
              <w:marLeft w:val="0"/>
              <w:marRight w:val="0"/>
              <w:marTop w:val="0"/>
              <w:marBottom w:val="0"/>
              <w:divBdr>
                <w:top w:val="none" w:sz="0" w:space="0" w:color="auto"/>
                <w:left w:val="none" w:sz="0" w:space="0" w:color="auto"/>
                <w:bottom w:val="none" w:sz="0" w:space="0" w:color="auto"/>
                <w:right w:val="none" w:sz="0" w:space="0" w:color="auto"/>
              </w:divBdr>
              <w:divsChild>
                <w:div w:id="1296376985">
                  <w:marLeft w:val="0"/>
                  <w:marRight w:val="0"/>
                  <w:marTop w:val="0"/>
                  <w:marBottom w:val="0"/>
                  <w:divBdr>
                    <w:top w:val="none" w:sz="0" w:space="0" w:color="auto"/>
                    <w:left w:val="none" w:sz="0" w:space="0" w:color="auto"/>
                    <w:bottom w:val="none" w:sz="0" w:space="0" w:color="auto"/>
                    <w:right w:val="none" w:sz="0" w:space="0" w:color="auto"/>
                  </w:divBdr>
                  <w:divsChild>
                    <w:div w:id="949707458">
                      <w:marLeft w:val="0"/>
                      <w:marRight w:val="0"/>
                      <w:marTop w:val="0"/>
                      <w:marBottom w:val="0"/>
                      <w:divBdr>
                        <w:top w:val="none" w:sz="0" w:space="0" w:color="auto"/>
                        <w:left w:val="none" w:sz="0" w:space="0" w:color="auto"/>
                        <w:bottom w:val="none" w:sz="0" w:space="0" w:color="auto"/>
                        <w:right w:val="none" w:sz="0" w:space="0" w:color="auto"/>
                      </w:divBdr>
                      <w:divsChild>
                        <w:div w:id="15062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9086">
              <w:marLeft w:val="0"/>
              <w:marRight w:val="0"/>
              <w:marTop w:val="0"/>
              <w:marBottom w:val="0"/>
              <w:divBdr>
                <w:top w:val="none" w:sz="0" w:space="0" w:color="auto"/>
                <w:left w:val="none" w:sz="0" w:space="0" w:color="auto"/>
                <w:bottom w:val="none" w:sz="0" w:space="0" w:color="auto"/>
                <w:right w:val="none" w:sz="0" w:space="0" w:color="auto"/>
              </w:divBdr>
              <w:divsChild>
                <w:div w:id="611088317">
                  <w:marLeft w:val="0"/>
                  <w:marRight w:val="0"/>
                  <w:marTop w:val="0"/>
                  <w:marBottom w:val="0"/>
                  <w:divBdr>
                    <w:top w:val="none" w:sz="0" w:space="0" w:color="auto"/>
                    <w:left w:val="none" w:sz="0" w:space="0" w:color="auto"/>
                    <w:bottom w:val="none" w:sz="0" w:space="0" w:color="auto"/>
                    <w:right w:val="none" w:sz="0" w:space="0" w:color="auto"/>
                  </w:divBdr>
                  <w:divsChild>
                    <w:div w:id="63189607">
                      <w:marLeft w:val="0"/>
                      <w:marRight w:val="0"/>
                      <w:marTop w:val="0"/>
                      <w:marBottom w:val="0"/>
                      <w:divBdr>
                        <w:top w:val="none" w:sz="0" w:space="0" w:color="auto"/>
                        <w:left w:val="none" w:sz="0" w:space="0" w:color="auto"/>
                        <w:bottom w:val="none" w:sz="0" w:space="0" w:color="auto"/>
                        <w:right w:val="none" w:sz="0" w:space="0" w:color="auto"/>
                      </w:divBdr>
                      <w:divsChild>
                        <w:div w:id="188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45742">
              <w:marLeft w:val="0"/>
              <w:marRight w:val="0"/>
              <w:marTop w:val="0"/>
              <w:marBottom w:val="0"/>
              <w:divBdr>
                <w:top w:val="none" w:sz="0" w:space="0" w:color="auto"/>
                <w:left w:val="none" w:sz="0" w:space="0" w:color="auto"/>
                <w:bottom w:val="none" w:sz="0" w:space="0" w:color="auto"/>
                <w:right w:val="none" w:sz="0" w:space="0" w:color="auto"/>
              </w:divBdr>
              <w:divsChild>
                <w:div w:id="2061400594">
                  <w:marLeft w:val="0"/>
                  <w:marRight w:val="0"/>
                  <w:marTop w:val="0"/>
                  <w:marBottom w:val="0"/>
                  <w:divBdr>
                    <w:top w:val="none" w:sz="0" w:space="0" w:color="auto"/>
                    <w:left w:val="none" w:sz="0" w:space="0" w:color="auto"/>
                    <w:bottom w:val="none" w:sz="0" w:space="0" w:color="auto"/>
                    <w:right w:val="none" w:sz="0" w:space="0" w:color="auto"/>
                  </w:divBdr>
                  <w:divsChild>
                    <w:div w:id="1797335987">
                      <w:marLeft w:val="0"/>
                      <w:marRight w:val="0"/>
                      <w:marTop w:val="0"/>
                      <w:marBottom w:val="0"/>
                      <w:divBdr>
                        <w:top w:val="none" w:sz="0" w:space="0" w:color="auto"/>
                        <w:left w:val="none" w:sz="0" w:space="0" w:color="auto"/>
                        <w:bottom w:val="none" w:sz="0" w:space="0" w:color="auto"/>
                        <w:right w:val="none" w:sz="0" w:space="0" w:color="auto"/>
                      </w:divBdr>
                      <w:divsChild>
                        <w:div w:id="11130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37499">
              <w:marLeft w:val="0"/>
              <w:marRight w:val="0"/>
              <w:marTop w:val="0"/>
              <w:marBottom w:val="0"/>
              <w:divBdr>
                <w:top w:val="none" w:sz="0" w:space="0" w:color="auto"/>
                <w:left w:val="none" w:sz="0" w:space="0" w:color="auto"/>
                <w:bottom w:val="none" w:sz="0" w:space="0" w:color="auto"/>
                <w:right w:val="none" w:sz="0" w:space="0" w:color="auto"/>
              </w:divBdr>
              <w:divsChild>
                <w:div w:id="304894513">
                  <w:marLeft w:val="0"/>
                  <w:marRight w:val="0"/>
                  <w:marTop w:val="0"/>
                  <w:marBottom w:val="0"/>
                  <w:divBdr>
                    <w:top w:val="none" w:sz="0" w:space="0" w:color="auto"/>
                    <w:left w:val="none" w:sz="0" w:space="0" w:color="auto"/>
                    <w:bottom w:val="none" w:sz="0" w:space="0" w:color="auto"/>
                    <w:right w:val="none" w:sz="0" w:space="0" w:color="auto"/>
                  </w:divBdr>
                  <w:divsChild>
                    <w:div w:id="308827156">
                      <w:marLeft w:val="0"/>
                      <w:marRight w:val="0"/>
                      <w:marTop w:val="0"/>
                      <w:marBottom w:val="0"/>
                      <w:divBdr>
                        <w:top w:val="none" w:sz="0" w:space="0" w:color="auto"/>
                        <w:left w:val="none" w:sz="0" w:space="0" w:color="auto"/>
                        <w:bottom w:val="none" w:sz="0" w:space="0" w:color="auto"/>
                        <w:right w:val="none" w:sz="0" w:space="0" w:color="auto"/>
                      </w:divBdr>
                      <w:divsChild>
                        <w:div w:id="10009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88459">
              <w:marLeft w:val="0"/>
              <w:marRight w:val="0"/>
              <w:marTop w:val="0"/>
              <w:marBottom w:val="0"/>
              <w:divBdr>
                <w:top w:val="none" w:sz="0" w:space="0" w:color="auto"/>
                <w:left w:val="none" w:sz="0" w:space="0" w:color="auto"/>
                <w:bottom w:val="none" w:sz="0" w:space="0" w:color="auto"/>
                <w:right w:val="none" w:sz="0" w:space="0" w:color="auto"/>
              </w:divBdr>
              <w:divsChild>
                <w:div w:id="928003024">
                  <w:marLeft w:val="0"/>
                  <w:marRight w:val="0"/>
                  <w:marTop w:val="0"/>
                  <w:marBottom w:val="0"/>
                  <w:divBdr>
                    <w:top w:val="none" w:sz="0" w:space="0" w:color="auto"/>
                    <w:left w:val="none" w:sz="0" w:space="0" w:color="auto"/>
                    <w:bottom w:val="none" w:sz="0" w:space="0" w:color="auto"/>
                    <w:right w:val="none" w:sz="0" w:space="0" w:color="auto"/>
                  </w:divBdr>
                  <w:divsChild>
                    <w:div w:id="1902712778">
                      <w:marLeft w:val="0"/>
                      <w:marRight w:val="0"/>
                      <w:marTop w:val="0"/>
                      <w:marBottom w:val="0"/>
                      <w:divBdr>
                        <w:top w:val="none" w:sz="0" w:space="0" w:color="auto"/>
                        <w:left w:val="none" w:sz="0" w:space="0" w:color="auto"/>
                        <w:bottom w:val="none" w:sz="0" w:space="0" w:color="auto"/>
                        <w:right w:val="none" w:sz="0" w:space="0" w:color="auto"/>
                      </w:divBdr>
                      <w:divsChild>
                        <w:div w:id="5131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5878">
              <w:marLeft w:val="0"/>
              <w:marRight w:val="0"/>
              <w:marTop w:val="0"/>
              <w:marBottom w:val="0"/>
              <w:divBdr>
                <w:top w:val="none" w:sz="0" w:space="0" w:color="auto"/>
                <w:left w:val="none" w:sz="0" w:space="0" w:color="auto"/>
                <w:bottom w:val="none" w:sz="0" w:space="0" w:color="auto"/>
                <w:right w:val="none" w:sz="0" w:space="0" w:color="auto"/>
              </w:divBdr>
              <w:divsChild>
                <w:div w:id="1472553639">
                  <w:marLeft w:val="0"/>
                  <w:marRight w:val="0"/>
                  <w:marTop w:val="0"/>
                  <w:marBottom w:val="0"/>
                  <w:divBdr>
                    <w:top w:val="none" w:sz="0" w:space="0" w:color="auto"/>
                    <w:left w:val="none" w:sz="0" w:space="0" w:color="auto"/>
                    <w:bottom w:val="none" w:sz="0" w:space="0" w:color="auto"/>
                    <w:right w:val="none" w:sz="0" w:space="0" w:color="auto"/>
                  </w:divBdr>
                  <w:divsChild>
                    <w:div w:id="115687574">
                      <w:marLeft w:val="0"/>
                      <w:marRight w:val="0"/>
                      <w:marTop w:val="0"/>
                      <w:marBottom w:val="0"/>
                      <w:divBdr>
                        <w:top w:val="none" w:sz="0" w:space="0" w:color="auto"/>
                        <w:left w:val="none" w:sz="0" w:space="0" w:color="auto"/>
                        <w:bottom w:val="none" w:sz="0" w:space="0" w:color="auto"/>
                        <w:right w:val="none" w:sz="0" w:space="0" w:color="auto"/>
                      </w:divBdr>
                      <w:divsChild>
                        <w:div w:id="3529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7420">
              <w:marLeft w:val="0"/>
              <w:marRight w:val="0"/>
              <w:marTop w:val="0"/>
              <w:marBottom w:val="0"/>
              <w:divBdr>
                <w:top w:val="none" w:sz="0" w:space="0" w:color="auto"/>
                <w:left w:val="none" w:sz="0" w:space="0" w:color="auto"/>
                <w:bottom w:val="none" w:sz="0" w:space="0" w:color="auto"/>
                <w:right w:val="none" w:sz="0" w:space="0" w:color="auto"/>
              </w:divBdr>
              <w:divsChild>
                <w:div w:id="448283801">
                  <w:marLeft w:val="0"/>
                  <w:marRight w:val="0"/>
                  <w:marTop w:val="0"/>
                  <w:marBottom w:val="0"/>
                  <w:divBdr>
                    <w:top w:val="none" w:sz="0" w:space="0" w:color="auto"/>
                    <w:left w:val="none" w:sz="0" w:space="0" w:color="auto"/>
                    <w:bottom w:val="none" w:sz="0" w:space="0" w:color="auto"/>
                    <w:right w:val="none" w:sz="0" w:space="0" w:color="auto"/>
                  </w:divBdr>
                  <w:divsChild>
                    <w:div w:id="1851288761">
                      <w:marLeft w:val="0"/>
                      <w:marRight w:val="0"/>
                      <w:marTop w:val="0"/>
                      <w:marBottom w:val="0"/>
                      <w:divBdr>
                        <w:top w:val="none" w:sz="0" w:space="0" w:color="auto"/>
                        <w:left w:val="none" w:sz="0" w:space="0" w:color="auto"/>
                        <w:bottom w:val="none" w:sz="0" w:space="0" w:color="auto"/>
                        <w:right w:val="none" w:sz="0" w:space="0" w:color="auto"/>
                      </w:divBdr>
                      <w:divsChild>
                        <w:div w:id="10615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9219">
              <w:marLeft w:val="0"/>
              <w:marRight w:val="0"/>
              <w:marTop w:val="0"/>
              <w:marBottom w:val="0"/>
              <w:divBdr>
                <w:top w:val="none" w:sz="0" w:space="0" w:color="auto"/>
                <w:left w:val="none" w:sz="0" w:space="0" w:color="auto"/>
                <w:bottom w:val="none" w:sz="0" w:space="0" w:color="auto"/>
                <w:right w:val="none" w:sz="0" w:space="0" w:color="auto"/>
              </w:divBdr>
              <w:divsChild>
                <w:div w:id="2024475968">
                  <w:marLeft w:val="0"/>
                  <w:marRight w:val="0"/>
                  <w:marTop w:val="0"/>
                  <w:marBottom w:val="0"/>
                  <w:divBdr>
                    <w:top w:val="none" w:sz="0" w:space="0" w:color="auto"/>
                    <w:left w:val="none" w:sz="0" w:space="0" w:color="auto"/>
                    <w:bottom w:val="none" w:sz="0" w:space="0" w:color="auto"/>
                    <w:right w:val="none" w:sz="0" w:space="0" w:color="auto"/>
                  </w:divBdr>
                  <w:divsChild>
                    <w:div w:id="186334252">
                      <w:marLeft w:val="0"/>
                      <w:marRight w:val="0"/>
                      <w:marTop w:val="0"/>
                      <w:marBottom w:val="0"/>
                      <w:divBdr>
                        <w:top w:val="none" w:sz="0" w:space="0" w:color="auto"/>
                        <w:left w:val="none" w:sz="0" w:space="0" w:color="auto"/>
                        <w:bottom w:val="none" w:sz="0" w:space="0" w:color="auto"/>
                        <w:right w:val="none" w:sz="0" w:space="0" w:color="auto"/>
                      </w:divBdr>
                      <w:divsChild>
                        <w:div w:id="10322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50577">
              <w:marLeft w:val="0"/>
              <w:marRight w:val="0"/>
              <w:marTop w:val="0"/>
              <w:marBottom w:val="0"/>
              <w:divBdr>
                <w:top w:val="none" w:sz="0" w:space="0" w:color="auto"/>
                <w:left w:val="none" w:sz="0" w:space="0" w:color="auto"/>
                <w:bottom w:val="none" w:sz="0" w:space="0" w:color="auto"/>
                <w:right w:val="none" w:sz="0" w:space="0" w:color="auto"/>
              </w:divBdr>
              <w:divsChild>
                <w:div w:id="1579049677">
                  <w:marLeft w:val="0"/>
                  <w:marRight w:val="0"/>
                  <w:marTop w:val="0"/>
                  <w:marBottom w:val="0"/>
                  <w:divBdr>
                    <w:top w:val="none" w:sz="0" w:space="0" w:color="auto"/>
                    <w:left w:val="none" w:sz="0" w:space="0" w:color="auto"/>
                    <w:bottom w:val="none" w:sz="0" w:space="0" w:color="auto"/>
                    <w:right w:val="none" w:sz="0" w:space="0" w:color="auto"/>
                  </w:divBdr>
                  <w:divsChild>
                    <w:div w:id="548538184">
                      <w:marLeft w:val="0"/>
                      <w:marRight w:val="0"/>
                      <w:marTop w:val="0"/>
                      <w:marBottom w:val="0"/>
                      <w:divBdr>
                        <w:top w:val="none" w:sz="0" w:space="0" w:color="auto"/>
                        <w:left w:val="none" w:sz="0" w:space="0" w:color="auto"/>
                        <w:bottom w:val="none" w:sz="0" w:space="0" w:color="auto"/>
                        <w:right w:val="none" w:sz="0" w:space="0" w:color="auto"/>
                      </w:divBdr>
                      <w:divsChild>
                        <w:div w:id="9972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2577">
              <w:marLeft w:val="0"/>
              <w:marRight w:val="0"/>
              <w:marTop w:val="0"/>
              <w:marBottom w:val="0"/>
              <w:divBdr>
                <w:top w:val="none" w:sz="0" w:space="0" w:color="auto"/>
                <w:left w:val="none" w:sz="0" w:space="0" w:color="auto"/>
                <w:bottom w:val="none" w:sz="0" w:space="0" w:color="auto"/>
                <w:right w:val="none" w:sz="0" w:space="0" w:color="auto"/>
              </w:divBdr>
              <w:divsChild>
                <w:div w:id="848908530">
                  <w:marLeft w:val="0"/>
                  <w:marRight w:val="0"/>
                  <w:marTop w:val="0"/>
                  <w:marBottom w:val="0"/>
                  <w:divBdr>
                    <w:top w:val="none" w:sz="0" w:space="0" w:color="auto"/>
                    <w:left w:val="none" w:sz="0" w:space="0" w:color="auto"/>
                    <w:bottom w:val="none" w:sz="0" w:space="0" w:color="auto"/>
                    <w:right w:val="none" w:sz="0" w:space="0" w:color="auto"/>
                  </w:divBdr>
                  <w:divsChild>
                    <w:div w:id="501552821">
                      <w:marLeft w:val="0"/>
                      <w:marRight w:val="0"/>
                      <w:marTop w:val="0"/>
                      <w:marBottom w:val="0"/>
                      <w:divBdr>
                        <w:top w:val="none" w:sz="0" w:space="0" w:color="auto"/>
                        <w:left w:val="none" w:sz="0" w:space="0" w:color="auto"/>
                        <w:bottom w:val="none" w:sz="0" w:space="0" w:color="auto"/>
                        <w:right w:val="none" w:sz="0" w:space="0" w:color="auto"/>
                      </w:divBdr>
                      <w:divsChild>
                        <w:div w:id="1798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00224">
              <w:marLeft w:val="0"/>
              <w:marRight w:val="0"/>
              <w:marTop w:val="0"/>
              <w:marBottom w:val="0"/>
              <w:divBdr>
                <w:top w:val="none" w:sz="0" w:space="0" w:color="auto"/>
                <w:left w:val="none" w:sz="0" w:space="0" w:color="auto"/>
                <w:bottom w:val="none" w:sz="0" w:space="0" w:color="auto"/>
                <w:right w:val="none" w:sz="0" w:space="0" w:color="auto"/>
              </w:divBdr>
              <w:divsChild>
                <w:div w:id="1798986207">
                  <w:marLeft w:val="0"/>
                  <w:marRight w:val="0"/>
                  <w:marTop w:val="0"/>
                  <w:marBottom w:val="0"/>
                  <w:divBdr>
                    <w:top w:val="none" w:sz="0" w:space="0" w:color="auto"/>
                    <w:left w:val="none" w:sz="0" w:space="0" w:color="auto"/>
                    <w:bottom w:val="none" w:sz="0" w:space="0" w:color="auto"/>
                    <w:right w:val="none" w:sz="0" w:space="0" w:color="auto"/>
                  </w:divBdr>
                  <w:divsChild>
                    <w:div w:id="398017760">
                      <w:marLeft w:val="0"/>
                      <w:marRight w:val="0"/>
                      <w:marTop w:val="0"/>
                      <w:marBottom w:val="0"/>
                      <w:divBdr>
                        <w:top w:val="none" w:sz="0" w:space="0" w:color="auto"/>
                        <w:left w:val="none" w:sz="0" w:space="0" w:color="auto"/>
                        <w:bottom w:val="none" w:sz="0" w:space="0" w:color="auto"/>
                        <w:right w:val="none" w:sz="0" w:space="0" w:color="auto"/>
                      </w:divBdr>
                      <w:divsChild>
                        <w:div w:id="7572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76930">
              <w:marLeft w:val="0"/>
              <w:marRight w:val="0"/>
              <w:marTop w:val="0"/>
              <w:marBottom w:val="0"/>
              <w:divBdr>
                <w:top w:val="none" w:sz="0" w:space="0" w:color="auto"/>
                <w:left w:val="none" w:sz="0" w:space="0" w:color="auto"/>
                <w:bottom w:val="none" w:sz="0" w:space="0" w:color="auto"/>
                <w:right w:val="none" w:sz="0" w:space="0" w:color="auto"/>
              </w:divBdr>
              <w:divsChild>
                <w:div w:id="430205178">
                  <w:marLeft w:val="0"/>
                  <w:marRight w:val="0"/>
                  <w:marTop w:val="0"/>
                  <w:marBottom w:val="0"/>
                  <w:divBdr>
                    <w:top w:val="none" w:sz="0" w:space="0" w:color="auto"/>
                    <w:left w:val="none" w:sz="0" w:space="0" w:color="auto"/>
                    <w:bottom w:val="none" w:sz="0" w:space="0" w:color="auto"/>
                    <w:right w:val="none" w:sz="0" w:space="0" w:color="auto"/>
                  </w:divBdr>
                  <w:divsChild>
                    <w:div w:id="682439697">
                      <w:marLeft w:val="0"/>
                      <w:marRight w:val="0"/>
                      <w:marTop w:val="0"/>
                      <w:marBottom w:val="0"/>
                      <w:divBdr>
                        <w:top w:val="none" w:sz="0" w:space="0" w:color="auto"/>
                        <w:left w:val="none" w:sz="0" w:space="0" w:color="auto"/>
                        <w:bottom w:val="none" w:sz="0" w:space="0" w:color="auto"/>
                        <w:right w:val="none" w:sz="0" w:space="0" w:color="auto"/>
                      </w:divBdr>
                      <w:divsChild>
                        <w:div w:id="17303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72366">
          <w:marLeft w:val="0"/>
          <w:marRight w:val="0"/>
          <w:marTop w:val="0"/>
          <w:marBottom w:val="0"/>
          <w:divBdr>
            <w:top w:val="none" w:sz="0" w:space="0" w:color="auto"/>
            <w:left w:val="none" w:sz="0" w:space="0" w:color="auto"/>
            <w:bottom w:val="none" w:sz="0" w:space="0" w:color="auto"/>
            <w:right w:val="none" w:sz="0" w:space="0" w:color="auto"/>
          </w:divBdr>
          <w:divsChild>
            <w:div w:id="216627631">
              <w:marLeft w:val="0"/>
              <w:marRight w:val="0"/>
              <w:marTop w:val="0"/>
              <w:marBottom w:val="0"/>
              <w:divBdr>
                <w:top w:val="none" w:sz="0" w:space="0" w:color="auto"/>
                <w:left w:val="none" w:sz="0" w:space="0" w:color="auto"/>
                <w:bottom w:val="none" w:sz="0" w:space="0" w:color="auto"/>
                <w:right w:val="none" w:sz="0" w:space="0" w:color="auto"/>
              </w:divBdr>
              <w:divsChild>
                <w:div w:id="1393311408">
                  <w:marLeft w:val="0"/>
                  <w:marRight w:val="0"/>
                  <w:marTop w:val="0"/>
                  <w:marBottom w:val="0"/>
                  <w:divBdr>
                    <w:top w:val="none" w:sz="0" w:space="0" w:color="auto"/>
                    <w:left w:val="none" w:sz="0" w:space="0" w:color="auto"/>
                    <w:bottom w:val="none" w:sz="0" w:space="0" w:color="auto"/>
                    <w:right w:val="none" w:sz="0" w:space="0" w:color="auto"/>
                  </w:divBdr>
                  <w:divsChild>
                    <w:div w:id="1314022466">
                      <w:marLeft w:val="0"/>
                      <w:marRight w:val="0"/>
                      <w:marTop w:val="0"/>
                      <w:marBottom w:val="0"/>
                      <w:divBdr>
                        <w:top w:val="none" w:sz="0" w:space="0" w:color="auto"/>
                        <w:left w:val="none" w:sz="0" w:space="0" w:color="auto"/>
                        <w:bottom w:val="none" w:sz="0" w:space="0" w:color="auto"/>
                        <w:right w:val="none" w:sz="0" w:space="0" w:color="auto"/>
                      </w:divBdr>
                      <w:divsChild>
                        <w:div w:id="7629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84200">
              <w:marLeft w:val="0"/>
              <w:marRight w:val="0"/>
              <w:marTop w:val="0"/>
              <w:marBottom w:val="0"/>
              <w:divBdr>
                <w:top w:val="none" w:sz="0" w:space="0" w:color="auto"/>
                <w:left w:val="none" w:sz="0" w:space="0" w:color="auto"/>
                <w:bottom w:val="none" w:sz="0" w:space="0" w:color="auto"/>
                <w:right w:val="none" w:sz="0" w:space="0" w:color="auto"/>
              </w:divBdr>
              <w:divsChild>
                <w:div w:id="1721443037">
                  <w:marLeft w:val="0"/>
                  <w:marRight w:val="0"/>
                  <w:marTop w:val="0"/>
                  <w:marBottom w:val="0"/>
                  <w:divBdr>
                    <w:top w:val="none" w:sz="0" w:space="0" w:color="auto"/>
                    <w:left w:val="none" w:sz="0" w:space="0" w:color="auto"/>
                    <w:bottom w:val="none" w:sz="0" w:space="0" w:color="auto"/>
                    <w:right w:val="none" w:sz="0" w:space="0" w:color="auto"/>
                  </w:divBdr>
                  <w:divsChild>
                    <w:div w:id="2034183551">
                      <w:marLeft w:val="0"/>
                      <w:marRight w:val="0"/>
                      <w:marTop w:val="0"/>
                      <w:marBottom w:val="0"/>
                      <w:divBdr>
                        <w:top w:val="none" w:sz="0" w:space="0" w:color="auto"/>
                        <w:left w:val="none" w:sz="0" w:space="0" w:color="auto"/>
                        <w:bottom w:val="none" w:sz="0" w:space="0" w:color="auto"/>
                        <w:right w:val="none" w:sz="0" w:space="0" w:color="auto"/>
                      </w:divBdr>
                      <w:divsChild>
                        <w:div w:id="8151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86220">
              <w:marLeft w:val="0"/>
              <w:marRight w:val="0"/>
              <w:marTop w:val="0"/>
              <w:marBottom w:val="0"/>
              <w:divBdr>
                <w:top w:val="none" w:sz="0" w:space="0" w:color="auto"/>
                <w:left w:val="none" w:sz="0" w:space="0" w:color="auto"/>
                <w:bottom w:val="none" w:sz="0" w:space="0" w:color="auto"/>
                <w:right w:val="none" w:sz="0" w:space="0" w:color="auto"/>
              </w:divBdr>
              <w:divsChild>
                <w:div w:id="963191694">
                  <w:marLeft w:val="0"/>
                  <w:marRight w:val="0"/>
                  <w:marTop w:val="0"/>
                  <w:marBottom w:val="0"/>
                  <w:divBdr>
                    <w:top w:val="none" w:sz="0" w:space="0" w:color="auto"/>
                    <w:left w:val="none" w:sz="0" w:space="0" w:color="auto"/>
                    <w:bottom w:val="none" w:sz="0" w:space="0" w:color="auto"/>
                    <w:right w:val="none" w:sz="0" w:space="0" w:color="auto"/>
                  </w:divBdr>
                  <w:divsChild>
                    <w:div w:id="1776513313">
                      <w:marLeft w:val="0"/>
                      <w:marRight w:val="0"/>
                      <w:marTop w:val="0"/>
                      <w:marBottom w:val="0"/>
                      <w:divBdr>
                        <w:top w:val="none" w:sz="0" w:space="0" w:color="auto"/>
                        <w:left w:val="none" w:sz="0" w:space="0" w:color="auto"/>
                        <w:bottom w:val="none" w:sz="0" w:space="0" w:color="auto"/>
                        <w:right w:val="none" w:sz="0" w:space="0" w:color="auto"/>
                      </w:divBdr>
                      <w:divsChild>
                        <w:div w:id="13560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1494">
              <w:marLeft w:val="0"/>
              <w:marRight w:val="0"/>
              <w:marTop w:val="0"/>
              <w:marBottom w:val="0"/>
              <w:divBdr>
                <w:top w:val="none" w:sz="0" w:space="0" w:color="auto"/>
                <w:left w:val="none" w:sz="0" w:space="0" w:color="auto"/>
                <w:bottom w:val="none" w:sz="0" w:space="0" w:color="auto"/>
                <w:right w:val="none" w:sz="0" w:space="0" w:color="auto"/>
              </w:divBdr>
              <w:divsChild>
                <w:div w:id="1350334329">
                  <w:marLeft w:val="0"/>
                  <w:marRight w:val="0"/>
                  <w:marTop w:val="0"/>
                  <w:marBottom w:val="0"/>
                  <w:divBdr>
                    <w:top w:val="none" w:sz="0" w:space="0" w:color="auto"/>
                    <w:left w:val="none" w:sz="0" w:space="0" w:color="auto"/>
                    <w:bottom w:val="none" w:sz="0" w:space="0" w:color="auto"/>
                    <w:right w:val="none" w:sz="0" w:space="0" w:color="auto"/>
                  </w:divBdr>
                  <w:divsChild>
                    <w:div w:id="712769771">
                      <w:marLeft w:val="0"/>
                      <w:marRight w:val="0"/>
                      <w:marTop w:val="0"/>
                      <w:marBottom w:val="0"/>
                      <w:divBdr>
                        <w:top w:val="none" w:sz="0" w:space="0" w:color="auto"/>
                        <w:left w:val="none" w:sz="0" w:space="0" w:color="auto"/>
                        <w:bottom w:val="none" w:sz="0" w:space="0" w:color="auto"/>
                        <w:right w:val="none" w:sz="0" w:space="0" w:color="auto"/>
                      </w:divBdr>
                      <w:divsChild>
                        <w:div w:id="18998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88186">
              <w:marLeft w:val="0"/>
              <w:marRight w:val="0"/>
              <w:marTop w:val="0"/>
              <w:marBottom w:val="0"/>
              <w:divBdr>
                <w:top w:val="none" w:sz="0" w:space="0" w:color="auto"/>
                <w:left w:val="none" w:sz="0" w:space="0" w:color="auto"/>
                <w:bottom w:val="none" w:sz="0" w:space="0" w:color="auto"/>
                <w:right w:val="none" w:sz="0" w:space="0" w:color="auto"/>
              </w:divBdr>
              <w:divsChild>
                <w:div w:id="1679381534">
                  <w:marLeft w:val="0"/>
                  <w:marRight w:val="0"/>
                  <w:marTop w:val="0"/>
                  <w:marBottom w:val="0"/>
                  <w:divBdr>
                    <w:top w:val="none" w:sz="0" w:space="0" w:color="auto"/>
                    <w:left w:val="none" w:sz="0" w:space="0" w:color="auto"/>
                    <w:bottom w:val="none" w:sz="0" w:space="0" w:color="auto"/>
                    <w:right w:val="none" w:sz="0" w:space="0" w:color="auto"/>
                  </w:divBdr>
                  <w:divsChild>
                    <w:div w:id="2127692643">
                      <w:marLeft w:val="0"/>
                      <w:marRight w:val="0"/>
                      <w:marTop w:val="0"/>
                      <w:marBottom w:val="0"/>
                      <w:divBdr>
                        <w:top w:val="none" w:sz="0" w:space="0" w:color="auto"/>
                        <w:left w:val="none" w:sz="0" w:space="0" w:color="auto"/>
                        <w:bottom w:val="none" w:sz="0" w:space="0" w:color="auto"/>
                        <w:right w:val="none" w:sz="0" w:space="0" w:color="auto"/>
                      </w:divBdr>
                      <w:divsChild>
                        <w:div w:id="96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47042">
              <w:marLeft w:val="0"/>
              <w:marRight w:val="0"/>
              <w:marTop w:val="0"/>
              <w:marBottom w:val="0"/>
              <w:divBdr>
                <w:top w:val="none" w:sz="0" w:space="0" w:color="auto"/>
                <w:left w:val="none" w:sz="0" w:space="0" w:color="auto"/>
                <w:bottom w:val="none" w:sz="0" w:space="0" w:color="auto"/>
                <w:right w:val="none" w:sz="0" w:space="0" w:color="auto"/>
              </w:divBdr>
              <w:divsChild>
                <w:div w:id="415522043">
                  <w:marLeft w:val="0"/>
                  <w:marRight w:val="0"/>
                  <w:marTop w:val="0"/>
                  <w:marBottom w:val="0"/>
                  <w:divBdr>
                    <w:top w:val="none" w:sz="0" w:space="0" w:color="auto"/>
                    <w:left w:val="none" w:sz="0" w:space="0" w:color="auto"/>
                    <w:bottom w:val="none" w:sz="0" w:space="0" w:color="auto"/>
                    <w:right w:val="none" w:sz="0" w:space="0" w:color="auto"/>
                  </w:divBdr>
                  <w:divsChild>
                    <w:div w:id="801969764">
                      <w:marLeft w:val="0"/>
                      <w:marRight w:val="0"/>
                      <w:marTop w:val="0"/>
                      <w:marBottom w:val="0"/>
                      <w:divBdr>
                        <w:top w:val="none" w:sz="0" w:space="0" w:color="auto"/>
                        <w:left w:val="none" w:sz="0" w:space="0" w:color="auto"/>
                        <w:bottom w:val="none" w:sz="0" w:space="0" w:color="auto"/>
                        <w:right w:val="none" w:sz="0" w:space="0" w:color="auto"/>
                      </w:divBdr>
                      <w:divsChild>
                        <w:div w:id="2515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163885">
              <w:marLeft w:val="0"/>
              <w:marRight w:val="0"/>
              <w:marTop w:val="0"/>
              <w:marBottom w:val="0"/>
              <w:divBdr>
                <w:top w:val="none" w:sz="0" w:space="0" w:color="auto"/>
                <w:left w:val="none" w:sz="0" w:space="0" w:color="auto"/>
                <w:bottom w:val="none" w:sz="0" w:space="0" w:color="auto"/>
                <w:right w:val="none" w:sz="0" w:space="0" w:color="auto"/>
              </w:divBdr>
              <w:divsChild>
                <w:div w:id="1220895462">
                  <w:marLeft w:val="0"/>
                  <w:marRight w:val="0"/>
                  <w:marTop w:val="0"/>
                  <w:marBottom w:val="0"/>
                  <w:divBdr>
                    <w:top w:val="none" w:sz="0" w:space="0" w:color="auto"/>
                    <w:left w:val="none" w:sz="0" w:space="0" w:color="auto"/>
                    <w:bottom w:val="none" w:sz="0" w:space="0" w:color="auto"/>
                    <w:right w:val="none" w:sz="0" w:space="0" w:color="auto"/>
                  </w:divBdr>
                  <w:divsChild>
                    <w:div w:id="1785735660">
                      <w:marLeft w:val="0"/>
                      <w:marRight w:val="0"/>
                      <w:marTop w:val="0"/>
                      <w:marBottom w:val="0"/>
                      <w:divBdr>
                        <w:top w:val="none" w:sz="0" w:space="0" w:color="auto"/>
                        <w:left w:val="none" w:sz="0" w:space="0" w:color="auto"/>
                        <w:bottom w:val="none" w:sz="0" w:space="0" w:color="auto"/>
                        <w:right w:val="none" w:sz="0" w:space="0" w:color="auto"/>
                      </w:divBdr>
                      <w:divsChild>
                        <w:div w:id="4782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040445">
              <w:marLeft w:val="0"/>
              <w:marRight w:val="0"/>
              <w:marTop w:val="0"/>
              <w:marBottom w:val="0"/>
              <w:divBdr>
                <w:top w:val="none" w:sz="0" w:space="0" w:color="auto"/>
                <w:left w:val="none" w:sz="0" w:space="0" w:color="auto"/>
                <w:bottom w:val="none" w:sz="0" w:space="0" w:color="auto"/>
                <w:right w:val="none" w:sz="0" w:space="0" w:color="auto"/>
              </w:divBdr>
              <w:divsChild>
                <w:div w:id="1859198699">
                  <w:marLeft w:val="0"/>
                  <w:marRight w:val="0"/>
                  <w:marTop w:val="0"/>
                  <w:marBottom w:val="0"/>
                  <w:divBdr>
                    <w:top w:val="none" w:sz="0" w:space="0" w:color="auto"/>
                    <w:left w:val="none" w:sz="0" w:space="0" w:color="auto"/>
                    <w:bottom w:val="none" w:sz="0" w:space="0" w:color="auto"/>
                    <w:right w:val="none" w:sz="0" w:space="0" w:color="auto"/>
                  </w:divBdr>
                  <w:divsChild>
                    <w:div w:id="625164235">
                      <w:marLeft w:val="0"/>
                      <w:marRight w:val="0"/>
                      <w:marTop w:val="0"/>
                      <w:marBottom w:val="0"/>
                      <w:divBdr>
                        <w:top w:val="none" w:sz="0" w:space="0" w:color="auto"/>
                        <w:left w:val="none" w:sz="0" w:space="0" w:color="auto"/>
                        <w:bottom w:val="none" w:sz="0" w:space="0" w:color="auto"/>
                        <w:right w:val="none" w:sz="0" w:space="0" w:color="auto"/>
                      </w:divBdr>
                      <w:divsChild>
                        <w:div w:id="16783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4">
              <w:marLeft w:val="0"/>
              <w:marRight w:val="0"/>
              <w:marTop w:val="0"/>
              <w:marBottom w:val="0"/>
              <w:divBdr>
                <w:top w:val="none" w:sz="0" w:space="0" w:color="auto"/>
                <w:left w:val="none" w:sz="0" w:space="0" w:color="auto"/>
                <w:bottom w:val="none" w:sz="0" w:space="0" w:color="auto"/>
                <w:right w:val="none" w:sz="0" w:space="0" w:color="auto"/>
              </w:divBdr>
              <w:divsChild>
                <w:div w:id="1518500674">
                  <w:marLeft w:val="0"/>
                  <w:marRight w:val="0"/>
                  <w:marTop w:val="0"/>
                  <w:marBottom w:val="0"/>
                  <w:divBdr>
                    <w:top w:val="none" w:sz="0" w:space="0" w:color="auto"/>
                    <w:left w:val="none" w:sz="0" w:space="0" w:color="auto"/>
                    <w:bottom w:val="none" w:sz="0" w:space="0" w:color="auto"/>
                    <w:right w:val="none" w:sz="0" w:space="0" w:color="auto"/>
                  </w:divBdr>
                  <w:divsChild>
                    <w:div w:id="1951625463">
                      <w:marLeft w:val="0"/>
                      <w:marRight w:val="0"/>
                      <w:marTop w:val="0"/>
                      <w:marBottom w:val="0"/>
                      <w:divBdr>
                        <w:top w:val="none" w:sz="0" w:space="0" w:color="auto"/>
                        <w:left w:val="none" w:sz="0" w:space="0" w:color="auto"/>
                        <w:bottom w:val="none" w:sz="0" w:space="0" w:color="auto"/>
                        <w:right w:val="none" w:sz="0" w:space="0" w:color="auto"/>
                      </w:divBdr>
                      <w:divsChild>
                        <w:div w:id="13364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5527">
              <w:marLeft w:val="0"/>
              <w:marRight w:val="0"/>
              <w:marTop w:val="0"/>
              <w:marBottom w:val="0"/>
              <w:divBdr>
                <w:top w:val="none" w:sz="0" w:space="0" w:color="auto"/>
                <w:left w:val="none" w:sz="0" w:space="0" w:color="auto"/>
                <w:bottom w:val="none" w:sz="0" w:space="0" w:color="auto"/>
                <w:right w:val="none" w:sz="0" w:space="0" w:color="auto"/>
              </w:divBdr>
              <w:divsChild>
                <w:div w:id="1252080082">
                  <w:marLeft w:val="0"/>
                  <w:marRight w:val="0"/>
                  <w:marTop w:val="0"/>
                  <w:marBottom w:val="0"/>
                  <w:divBdr>
                    <w:top w:val="none" w:sz="0" w:space="0" w:color="auto"/>
                    <w:left w:val="none" w:sz="0" w:space="0" w:color="auto"/>
                    <w:bottom w:val="none" w:sz="0" w:space="0" w:color="auto"/>
                    <w:right w:val="none" w:sz="0" w:space="0" w:color="auto"/>
                  </w:divBdr>
                  <w:divsChild>
                    <w:div w:id="411203474">
                      <w:marLeft w:val="0"/>
                      <w:marRight w:val="0"/>
                      <w:marTop w:val="0"/>
                      <w:marBottom w:val="0"/>
                      <w:divBdr>
                        <w:top w:val="none" w:sz="0" w:space="0" w:color="auto"/>
                        <w:left w:val="none" w:sz="0" w:space="0" w:color="auto"/>
                        <w:bottom w:val="none" w:sz="0" w:space="0" w:color="auto"/>
                        <w:right w:val="none" w:sz="0" w:space="0" w:color="auto"/>
                      </w:divBdr>
                      <w:divsChild>
                        <w:div w:id="9006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80499">
              <w:marLeft w:val="0"/>
              <w:marRight w:val="0"/>
              <w:marTop w:val="0"/>
              <w:marBottom w:val="0"/>
              <w:divBdr>
                <w:top w:val="none" w:sz="0" w:space="0" w:color="auto"/>
                <w:left w:val="none" w:sz="0" w:space="0" w:color="auto"/>
                <w:bottom w:val="none" w:sz="0" w:space="0" w:color="auto"/>
                <w:right w:val="none" w:sz="0" w:space="0" w:color="auto"/>
              </w:divBdr>
              <w:divsChild>
                <w:div w:id="634682766">
                  <w:marLeft w:val="0"/>
                  <w:marRight w:val="0"/>
                  <w:marTop w:val="0"/>
                  <w:marBottom w:val="0"/>
                  <w:divBdr>
                    <w:top w:val="none" w:sz="0" w:space="0" w:color="auto"/>
                    <w:left w:val="none" w:sz="0" w:space="0" w:color="auto"/>
                    <w:bottom w:val="none" w:sz="0" w:space="0" w:color="auto"/>
                    <w:right w:val="none" w:sz="0" w:space="0" w:color="auto"/>
                  </w:divBdr>
                  <w:divsChild>
                    <w:div w:id="1727684983">
                      <w:marLeft w:val="0"/>
                      <w:marRight w:val="0"/>
                      <w:marTop w:val="0"/>
                      <w:marBottom w:val="0"/>
                      <w:divBdr>
                        <w:top w:val="none" w:sz="0" w:space="0" w:color="auto"/>
                        <w:left w:val="none" w:sz="0" w:space="0" w:color="auto"/>
                        <w:bottom w:val="none" w:sz="0" w:space="0" w:color="auto"/>
                        <w:right w:val="none" w:sz="0" w:space="0" w:color="auto"/>
                      </w:divBdr>
                      <w:divsChild>
                        <w:div w:id="10793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77949">
              <w:marLeft w:val="0"/>
              <w:marRight w:val="0"/>
              <w:marTop w:val="0"/>
              <w:marBottom w:val="0"/>
              <w:divBdr>
                <w:top w:val="none" w:sz="0" w:space="0" w:color="auto"/>
                <w:left w:val="none" w:sz="0" w:space="0" w:color="auto"/>
                <w:bottom w:val="none" w:sz="0" w:space="0" w:color="auto"/>
                <w:right w:val="none" w:sz="0" w:space="0" w:color="auto"/>
              </w:divBdr>
              <w:divsChild>
                <w:div w:id="697200490">
                  <w:marLeft w:val="0"/>
                  <w:marRight w:val="0"/>
                  <w:marTop w:val="0"/>
                  <w:marBottom w:val="0"/>
                  <w:divBdr>
                    <w:top w:val="none" w:sz="0" w:space="0" w:color="auto"/>
                    <w:left w:val="none" w:sz="0" w:space="0" w:color="auto"/>
                    <w:bottom w:val="none" w:sz="0" w:space="0" w:color="auto"/>
                    <w:right w:val="none" w:sz="0" w:space="0" w:color="auto"/>
                  </w:divBdr>
                  <w:divsChild>
                    <w:div w:id="1268928348">
                      <w:marLeft w:val="0"/>
                      <w:marRight w:val="0"/>
                      <w:marTop w:val="0"/>
                      <w:marBottom w:val="0"/>
                      <w:divBdr>
                        <w:top w:val="none" w:sz="0" w:space="0" w:color="auto"/>
                        <w:left w:val="none" w:sz="0" w:space="0" w:color="auto"/>
                        <w:bottom w:val="none" w:sz="0" w:space="0" w:color="auto"/>
                        <w:right w:val="none" w:sz="0" w:space="0" w:color="auto"/>
                      </w:divBdr>
                      <w:divsChild>
                        <w:div w:id="4226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49250">
              <w:marLeft w:val="0"/>
              <w:marRight w:val="0"/>
              <w:marTop w:val="0"/>
              <w:marBottom w:val="0"/>
              <w:divBdr>
                <w:top w:val="none" w:sz="0" w:space="0" w:color="auto"/>
                <w:left w:val="none" w:sz="0" w:space="0" w:color="auto"/>
                <w:bottom w:val="none" w:sz="0" w:space="0" w:color="auto"/>
                <w:right w:val="none" w:sz="0" w:space="0" w:color="auto"/>
              </w:divBdr>
              <w:divsChild>
                <w:div w:id="1489203190">
                  <w:marLeft w:val="0"/>
                  <w:marRight w:val="0"/>
                  <w:marTop w:val="0"/>
                  <w:marBottom w:val="0"/>
                  <w:divBdr>
                    <w:top w:val="none" w:sz="0" w:space="0" w:color="auto"/>
                    <w:left w:val="none" w:sz="0" w:space="0" w:color="auto"/>
                    <w:bottom w:val="none" w:sz="0" w:space="0" w:color="auto"/>
                    <w:right w:val="none" w:sz="0" w:space="0" w:color="auto"/>
                  </w:divBdr>
                  <w:divsChild>
                    <w:div w:id="1300258258">
                      <w:marLeft w:val="0"/>
                      <w:marRight w:val="0"/>
                      <w:marTop w:val="0"/>
                      <w:marBottom w:val="0"/>
                      <w:divBdr>
                        <w:top w:val="none" w:sz="0" w:space="0" w:color="auto"/>
                        <w:left w:val="none" w:sz="0" w:space="0" w:color="auto"/>
                        <w:bottom w:val="none" w:sz="0" w:space="0" w:color="auto"/>
                        <w:right w:val="none" w:sz="0" w:space="0" w:color="auto"/>
                      </w:divBdr>
                      <w:divsChild>
                        <w:div w:id="6331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7514">
              <w:marLeft w:val="0"/>
              <w:marRight w:val="0"/>
              <w:marTop w:val="0"/>
              <w:marBottom w:val="0"/>
              <w:divBdr>
                <w:top w:val="none" w:sz="0" w:space="0" w:color="auto"/>
                <w:left w:val="none" w:sz="0" w:space="0" w:color="auto"/>
                <w:bottom w:val="none" w:sz="0" w:space="0" w:color="auto"/>
                <w:right w:val="none" w:sz="0" w:space="0" w:color="auto"/>
              </w:divBdr>
              <w:divsChild>
                <w:div w:id="1963875761">
                  <w:marLeft w:val="0"/>
                  <w:marRight w:val="0"/>
                  <w:marTop w:val="0"/>
                  <w:marBottom w:val="0"/>
                  <w:divBdr>
                    <w:top w:val="none" w:sz="0" w:space="0" w:color="auto"/>
                    <w:left w:val="none" w:sz="0" w:space="0" w:color="auto"/>
                    <w:bottom w:val="none" w:sz="0" w:space="0" w:color="auto"/>
                    <w:right w:val="none" w:sz="0" w:space="0" w:color="auto"/>
                  </w:divBdr>
                  <w:divsChild>
                    <w:div w:id="2132360810">
                      <w:marLeft w:val="0"/>
                      <w:marRight w:val="0"/>
                      <w:marTop w:val="0"/>
                      <w:marBottom w:val="0"/>
                      <w:divBdr>
                        <w:top w:val="none" w:sz="0" w:space="0" w:color="auto"/>
                        <w:left w:val="none" w:sz="0" w:space="0" w:color="auto"/>
                        <w:bottom w:val="none" w:sz="0" w:space="0" w:color="auto"/>
                        <w:right w:val="none" w:sz="0" w:space="0" w:color="auto"/>
                      </w:divBdr>
                      <w:divsChild>
                        <w:div w:id="8677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6747">
              <w:marLeft w:val="0"/>
              <w:marRight w:val="0"/>
              <w:marTop w:val="0"/>
              <w:marBottom w:val="0"/>
              <w:divBdr>
                <w:top w:val="none" w:sz="0" w:space="0" w:color="auto"/>
                <w:left w:val="none" w:sz="0" w:space="0" w:color="auto"/>
                <w:bottom w:val="none" w:sz="0" w:space="0" w:color="auto"/>
                <w:right w:val="none" w:sz="0" w:space="0" w:color="auto"/>
              </w:divBdr>
              <w:divsChild>
                <w:div w:id="1073353225">
                  <w:marLeft w:val="0"/>
                  <w:marRight w:val="0"/>
                  <w:marTop w:val="0"/>
                  <w:marBottom w:val="0"/>
                  <w:divBdr>
                    <w:top w:val="none" w:sz="0" w:space="0" w:color="auto"/>
                    <w:left w:val="none" w:sz="0" w:space="0" w:color="auto"/>
                    <w:bottom w:val="none" w:sz="0" w:space="0" w:color="auto"/>
                    <w:right w:val="none" w:sz="0" w:space="0" w:color="auto"/>
                  </w:divBdr>
                  <w:divsChild>
                    <w:div w:id="61174697">
                      <w:marLeft w:val="0"/>
                      <w:marRight w:val="0"/>
                      <w:marTop w:val="0"/>
                      <w:marBottom w:val="0"/>
                      <w:divBdr>
                        <w:top w:val="none" w:sz="0" w:space="0" w:color="auto"/>
                        <w:left w:val="none" w:sz="0" w:space="0" w:color="auto"/>
                        <w:bottom w:val="none" w:sz="0" w:space="0" w:color="auto"/>
                        <w:right w:val="none" w:sz="0" w:space="0" w:color="auto"/>
                      </w:divBdr>
                      <w:divsChild>
                        <w:div w:id="10572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48813">
              <w:marLeft w:val="0"/>
              <w:marRight w:val="0"/>
              <w:marTop w:val="0"/>
              <w:marBottom w:val="0"/>
              <w:divBdr>
                <w:top w:val="none" w:sz="0" w:space="0" w:color="auto"/>
                <w:left w:val="none" w:sz="0" w:space="0" w:color="auto"/>
                <w:bottom w:val="none" w:sz="0" w:space="0" w:color="auto"/>
                <w:right w:val="none" w:sz="0" w:space="0" w:color="auto"/>
              </w:divBdr>
              <w:divsChild>
                <w:div w:id="1380088973">
                  <w:marLeft w:val="0"/>
                  <w:marRight w:val="0"/>
                  <w:marTop w:val="0"/>
                  <w:marBottom w:val="0"/>
                  <w:divBdr>
                    <w:top w:val="none" w:sz="0" w:space="0" w:color="auto"/>
                    <w:left w:val="none" w:sz="0" w:space="0" w:color="auto"/>
                    <w:bottom w:val="none" w:sz="0" w:space="0" w:color="auto"/>
                    <w:right w:val="none" w:sz="0" w:space="0" w:color="auto"/>
                  </w:divBdr>
                  <w:divsChild>
                    <w:div w:id="631792612">
                      <w:marLeft w:val="0"/>
                      <w:marRight w:val="0"/>
                      <w:marTop w:val="0"/>
                      <w:marBottom w:val="0"/>
                      <w:divBdr>
                        <w:top w:val="none" w:sz="0" w:space="0" w:color="auto"/>
                        <w:left w:val="none" w:sz="0" w:space="0" w:color="auto"/>
                        <w:bottom w:val="none" w:sz="0" w:space="0" w:color="auto"/>
                        <w:right w:val="none" w:sz="0" w:space="0" w:color="auto"/>
                      </w:divBdr>
                      <w:divsChild>
                        <w:div w:id="6056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7585">
              <w:marLeft w:val="0"/>
              <w:marRight w:val="0"/>
              <w:marTop w:val="0"/>
              <w:marBottom w:val="0"/>
              <w:divBdr>
                <w:top w:val="none" w:sz="0" w:space="0" w:color="auto"/>
                <w:left w:val="none" w:sz="0" w:space="0" w:color="auto"/>
                <w:bottom w:val="none" w:sz="0" w:space="0" w:color="auto"/>
                <w:right w:val="none" w:sz="0" w:space="0" w:color="auto"/>
              </w:divBdr>
              <w:divsChild>
                <w:div w:id="1361936176">
                  <w:marLeft w:val="0"/>
                  <w:marRight w:val="0"/>
                  <w:marTop w:val="0"/>
                  <w:marBottom w:val="0"/>
                  <w:divBdr>
                    <w:top w:val="none" w:sz="0" w:space="0" w:color="auto"/>
                    <w:left w:val="none" w:sz="0" w:space="0" w:color="auto"/>
                    <w:bottom w:val="none" w:sz="0" w:space="0" w:color="auto"/>
                    <w:right w:val="none" w:sz="0" w:space="0" w:color="auto"/>
                  </w:divBdr>
                  <w:divsChild>
                    <w:div w:id="1487434275">
                      <w:marLeft w:val="0"/>
                      <w:marRight w:val="0"/>
                      <w:marTop w:val="0"/>
                      <w:marBottom w:val="0"/>
                      <w:divBdr>
                        <w:top w:val="none" w:sz="0" w:space="0" w:color="auto"/>
                        <w:left w:val="none" w:sz="0" w:space="0" w:color="auto"/>
                        <w:bottom w:val="none" w:sz="0" w:space="0" w:color="auto"/>
                        <w:right w:val="none" w:sz="0" w:space="0" w:color="auto"/>
                      </w:divBdr>
                      <w:divsChild>
                        <w:div w:id="9920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4103">
          <w:marLeft w:val="0"/>
          <w:marRight w:val="0"/>
          <w:marTop w:val="0"/>
          <w:marBottom w:val="0"/>
          <w:divBdr>
            <w:top w:val="none" w:sz="0" w:space="0" w:color="auto"/>
            <w:left w:val="none" w:sz="0" w:space="0" w:color="auto"/>
            <w:bottom w:val="none" w:sz="0" w:space="0" w:color="auto"/>
            <w:right w:val="none" w:sz="0" w:space="0" w:color="auto"/>
          </w:divBdr>
          <w:divsChild>
            <w:div w:id="1132164566">
              <w:marLeft w:val="0"/>
              <w:marRight w:val="0"/>
              <w:marTop w:val="0"/>
              <w:marBottom w:val="0"/>
              <w:divBdr>
                <w:top w:val="none" w:sz="0" w:space="0" w:color="auto"/>
                <w:left w:val="none" w:sz="0" w:space="0" w:color="auto"/>
                <w:bottom w:val="none" w:sz="0" w:space="0" w:color="auto"/>
                <w:right w:val="none" w:sz="0" w:space="0" w:color="auto"/>
              </w:divBdr>
              <w:divsChild>
                <w:div w:id="670529289">
                  <w:marLeft w:val="0"/>
                  <w:marRight w:val="0"/>
                  <w:marTop w:val="0"/>
                  <w:marBottom w:val="0"/>
                  <w:divBdr>
                    <w:top w:val="none" w:sz="0" w:space="0" w:color="auto"/>
                    <w:left w:val="none" w:sz="0" w:space="0" w:color="auto"/>
                    <w:bottom w:val="none" w:sz="0" w:space="0" w:color="auto"/>
                    <w:right w:val="none" w:sz="0" w:space="0" w:color="auto"/>
                  </w:divBdr>
                  <w:divsChild>
                    <w:div w:id="1554921587">
                      <w:marLeft w:val="0"/>
                      <w:marRight w:val="0"/>
                      <w:marTop w:val="0"/>
                      <w:marBottom w:val="0"/>
                      <w:divBdr>
                        <w:top w:val="none" w:sz="0" w:space="0" w:color="auto"/>
                        <w:left w:val="none" w:sz="0" w:space="0" w:color="auto"/>
                        <w:bottom w:val="none" w:sz="0" w:space="0" w:color="auto"/>
                        <w:right w:val="none" w:sz="0" w:space="0" w:color="auto"/>
                      </w:divBdr>
                      <w:divsChild>
                        <w:div w:id="3613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5698">
              <w:marLeft w:val="0"/>
              <w:marRight w:val="0"/>
              <w:marTop w:val="0"/>
              <w:marBottom w:val="0"/>
              <w:divBdr>
                <w:top w:val="none" w:sz="0" w:space="0" w:color="auto"/>
                <w:left w:val="none" w:sz="0" w:space="0" w:color="auto"/>
                <w:bottom w:val="none" w:sz="0" w:space="0" w:color="auto"/>
                <w:right w:val="none" w:sz="0" w:space="0" w:color="auto"/>
              </w:divBdr>
              <w:divsChild>
                <w:div w:id="271137498">
                  <w:marLeft w:val="0"/>
                  <w:marRight w:val="0"/>
                  <w:marTop w:val="0"/>
                  <w:marBottom w:val="0"/>
                  <w:divBdr>
                    <w:top w:val="none" w:sz="0" w:space="0" w:color="auto"/>
                    <w:left w:val="none" w:sz="0" w:space="0" w:color="auto"/>
                    <w:bottom w:val="none" w:sz="0" w:space="0" w:color="auto"/>
                    <w:right w:val="none" w:sz="0" w:space="0" w:color="auto"/>
                  </w:divBdr>
                  <w:divsChild>
                    <w:div w:id="995261889">
                      <w:marLeft w:val="0"/>
                      <w:marRight w:val="0"/>
                      <w:marTop w:val="0"/>
                      <w:marBottom w:val="0"/>
                      <w:divBdr>
                        <w:top w:val="none" w:sz="0" w:space="0" w:color="auto"/>
                        <w:left w:val="none" w:sz="0" w:space="0" w:color="auto"/>
                        <w:bottom w:val="none" w:sz="0" w:space="0" w:color="auto"/>
                        <w:right w:val="none" w:sz="0" w:space="0" w:color="auto"/>
                      </w:divBdr>
                      <w:divsChild>
                        <w:div w:id="1168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50860">
              <w:marLeft w:val="0"/>
              <w:marRight w:val="0"/>
              <w:marTop w:val="0"/>
              <w:marBottom w:val="0"/>
              <w:divBdr>
                <w:top w:val="none" w:sz="0" w:space="0" w:color="auto"/>
                <w:left w:val="none" w:sz="0" w:space="0" w:color="auto"/>
                <w:bottom w:val="none" w:sz="0" w:space="0" w:color="auto"/>
                <w:right w:val="none" w:sz="0" w:space="0" w:color="auto"/>
              </w:divBdr>
              <w:divsChild>
                <w:div w:id="1710103026">
                  <w:marLeft w:val="0"/>
                  <w:marRight w:val="0"/>
                  <w:marTop w:val="0"/>
                  <w:marBottom w:val="0"/>
                  <w:divBdr>
                    <w:top w:val="none" w:sz="0" w:space="0" w:color="auto"/>
                    <w:left w:val="none" w:sz="0" w:space="0" w:color="auto"/>
                    <w:bottom w:val="none" w:sz="0" w:space="0" w:color="auto"/>
                    <w:right w:val="none" w:sz="0" w:space="0" w:color="auto"/>
                  </w:divBdr>
                  <w:divsChild>
                    <w:div w:id="1943147837">
                      <w:marLeft w:val="0"/>
                      <w:marRight w:val="0"/>
                      <w:marTop w:val="0"/>
                      <w:marBottom w:val="0"/>
                      <w:divBdr>
                        <w:top w:val="none" w:sz="0" w:space="0" w:color="auto"/>
                        <w:left w:val="none" w:sz="0" w:space="0" w:color="auto"/>
                        <w:bottom w:val="none" w:sz="0" w:space="0" w:color="auto"/>
                        <w:right w:val="none" w:sz="0" w:space="0" w:color="auto"/>
                      </w:divBdr>
                      <w:divsChild>
                        <w:div w:id="3452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93852">
          <w:marLeft w:val="0"/>
          <w:marRight w:val="0"/>
          <w:marTop w:val="0"/>
          <w:marBottom w:val="0"/>
          <w:divBdr>
            <w:top w:val="none" w:sz="0" w:space="0" w:color="auto"/>
            <w:left w:val="none" w:sz="0" w:space="0" w:color="auto"/>
            <w:bottom w:val="none" w:sz="0" w:space="0" w:color="auto"/>
            <w:right w:val="none" w:sz="0" w:space="0" w:color="auto"/>
          </w:divBdr>
          <w:divsChild>
            <w:div w:id="182285941">
              <w:marLeft w:val="0"/>
              <w:marRight w:val="0"/>
              <w:marTop w:val="0"/>
              <w:marBottom w:val="0"/>
              <w:divBdr>
                <w:top w:val="none" w:sz="0" w:space="0" w:color="auto"/>
                <w:left w:val="none" w:sz="0" w:space="0" w:color="auto"/>
                <w:bottom w:val="none" w:sz="0" w:space="0" w:color="auto"/>
                <w:right w:val="none" w:sz="0" w:space="0" w:color="auto"/>
              </w:divBdr>
              <w:divsChild>
                <w:div w:id="1274096433">
                  <w:marLeft w:val="0"/>
                  <w:marRight w:val="0"/>
                  <w:marTop w:val="0"/>
                  <w:marBottom w:val="0"/>
                  <w:divBdr>
                    <w:top w:val="none" w:sz="0" w:space="0" w:color="auto"/>
                    <w:left w:val="none" w:sz="0" w:space="0" w:color="auto"/>
                    <w:bottom w:val="none" w:sz="0" w:space="0" w:color="auto"/>
                    <w:right w:val="none" w:sz="0" w:space="0" w:color="auto"/>
                  </w:divBdr>
                  <w:divsChild>
                    <w:div w:id="1143043489">
                      <w:marLeft w:val="0"/>
                      <w:marRight w:val="0"/>
                      <w:marTop w:val="0"/>
                      <w:marBottom w:val="0"/>
                      <w:divBdr>
                        <w:top w:val="none" w:sz="0" w:space="0" w:color="auto"/>
                        <w:left w:val="none" w:sz="0" w:space="0" w:color="auto"/>
                        <w:bottom w:val="none" w:sz="0" w:space="0" w:color="auto"/>
                        <w:right w:val="none" w:sz="0" w:space="0" w:color="auto"/>
                      </w:divBdr>
                      <w:divsChild>
                        <w:div w:id="2439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6126">
              <w:marLeft w:val="0"/>
              <w:marRight w:val="0"/>
              <w:marTop w:val="0"/>
              <w:marBottom w:val="0"/>
              <w:divBdr>
                <w:top w:val="none" w:sz="0" w:space="0" w:color="auto"/>
                <w:left w:val="none" w:sz="0" w:space="0" w:color="auto"/>
                <w:bottom w:val="none" w:sz="0" w:space="0" w:color="auto"/>
                <w:right w:val="none" w:sz="0" w:space="0" w:color="auto"/>
              </w:divBdr>
              <w:divsChild>
                <w:div w:id="767581324">
                  <w:marLeft w:val="0"/>
                  <w:marRight w:val="0"/>
                  <w:marTop w:val="0"/>
                  <w:marBottom w:val="0"/>
                  <w:divBdr>
                    <w:top w:val="none" w:sz="0" w:space="0" w:color="auto"/>
                    <w:left w:val="none" w:sz="0" w:space="0" w:color="auto"/>
                    <w:bottom w:val="none" w:sz="0" w:space="0" w:color="auto"/>
                    <w:right w:val="none" w:sz="0" w:space="0" w:color="auto"/>
                  </w:divBdr>
                  <w:divsChild>
                    <w:div w:id="1145318481">
                      <w:marLeft w:val="0"/>
                      <w:marRight w:val="0"/>
                      <w:marTop w:val="0"/>
                      <w:marBottom w:val="0"/>
                      <w:divBdr>
                        <w:top w:val="none" w:sz="0" w:space="0" w:color="auto"/>
                        <w:left w:val="none" w:sz="0" w:space="0" w:color="auto"/>
                        <w:bottom w:val="none" w:sz="0" w:space="0" w:color="auto"/>
                        <w:right w:val="none" w:sz="0" w:space="0" w:color="auto"/>
                      </w:divBdr>
                      <w:divsChild>
                        <w:div w:id="15633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0337">
              <w:marLeft w:val="0"/>
              <w:marRight w:val="0"/>
              <w:marTop w:val="0"/>
              <w:marBottom w:val="0"/>
              <w:divBdr>
                <w:top w:val="none" w:sz="0" w:space="0" w:color="auto"/>
                <w:left w:val="none" w:sz="0" w:space="0" w:color="auto"/>
                <w:bottom w:val="none" w:sz="0" w:space="0" w:color="auto"/>
                <w:right w:val="none" w:sz="0" w:space="0" w:color="auto"/>
              </w:divBdr>
              <w:divsChild>
                <w:div w:id="537358551">
                  <w:marLeft w:val="0"/>
                  <w:marRight w:val="0"/>
                  <w:marTop w:val="0"/>
                  <w:marBottom w:val="0"/>
                  <w:divBdr>
                    <w:top w:val="none" w:sz="0" w:space="0" w:color="auto"/>
                    <w:left w:val="none" w:sz="0" w:space="0" w:color="auto"/>
                    <w:bottom w:val="none" w:sz="0" w:space="0" w:color="auto"/>
                    <w:right w:val="none" w:sz="0" w:space="0" w:color="auto"/>
                  </w:divBdr>
                  <w:divsChild>
                    <w:div w:id="596838788">
                      <w:marLeft w:val="0"/>
                      <w:marRight w:val="0"/>
                      <w:marTop w:val="0"/>
                      <w:marBottom w:val="0"/>
                      <w:divBdr>
                        <w:top w:val="none" w:sz="0" w:space="0" w:color="auto"/>
                        <w:left w:val="none" w:sz="0" w:space="0" w:color="auto"/>
                        <w:bottom w:val="none" w:sz="0" w:space="0" w:color="auto"/>
                        <w:right w:val="none" w:sz="0" w:space="0" w:color="auto"/>
                      </w:divBdr>
                      <w:divsChild>
                        <w:div w:id="4958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3107">
              <w:marLeft w:val="0"/>
              <w:marRight w:val="0"/>
              <w:marTop w:val="0"/>
              <w:marBottom w:val="0"/>
              <w:divBdr>
                <w:top w:val="none" w:sz="0" w:space="0" w:color="auto"/>
                <w:left w:val="none" w:sz="0" w:space="0" w:color="auto"/>
                <w:bottom w:val="none" w:sz="0" w:space="0" w:color="auto"/>
                <w:right w:val="none" w:sz="0" w:space="0" w:color="auto"/>
              </w:divBdr>
              <w:divsChild>
                <w:div w:id="1030643576">
                  <w:marLeft w:val="0"/>
                  <w:marRight w:val="0"/>
                  <w:marTop w:val="0"/>
                  <w:marBottom w:val="0"/>
                  <w:divBdr>
                    <w:top w:val="none" w:sz="0" w:space="0" w:color="auto"/>
                    <w:left w:val="none" w:sz="0" w:space="0" w:color="auto"/>
                    <w:bottom w:val="none" w:sz="0" w:space="0" w:color="auto"/>
                    <w:right w:val="none" w:sz="0" w:space="0" w:color="auto"/>
                  </w:divBdr>
                  <w:divsChild>
                    <w:div w:id="1960992476">
                      <w:marLeft w:val="0"/>
                      <w:marRight w:val="0"/>
                      <w:marTop w:val="0"/>
                      <w:marBottom w:val="0"/>
                      <w:divBdr>
                        <w:top w:val="none" w:sz="0" w:space="0" w:color="auto"/>
                        <w:left w:val="none" w:sz="0" w:space="0" w:color="auto"/>
                        <w:bottom w:val="none" w:sz="0" w:space="0" w:color="auto"/>
                        <w:right w:val="none" w:sz="0" w:space="0" w:color="auto"/>
                      </w:divBdr>
                      <w:divsChild>
                        <w:div w:id="21268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8185">
              <w:marLeft w:val="0"/>
              <w:marRight w:val="0"/>
              <w:marTop w:val="0"/>
              <w:marBottom w:val="0"/>
              <w:divBdr>
                <w:top w:val="none" w:sz="0" w:space="0" w:color="auto"/>
                <w:left w:val="none" w:sz="0" w:space="0" w:color="auto"/>
                <w:bottom w:val="none" w:sz="0" w:space="0" w:color="auto"/>
                <w:right w:val="none" w:sz="0" w:space="0" w:color="auto"/>
              </w:divBdr>
              <w:divsChild>
                <w:div w:id="573055797">
                  <w:marLeft w:val="0"/>
                  <w:marRight w:val="0"/>
                  <w:marTop w:val="0"/>
                  <w:marBottom w:val="0"/>
                  <w:divBdr>
                    <w:top w:val="none" w:sz="0" w:space="0" w:color="auto"/>
                    <w:left w:val="none" w:sz="0" w:space="0" w:color="auto"/>
                    <w:bottom w:val="none" w:sz="0" w:space="0" w:color="auto"/>
                    <w:right w:val="none" w:sz="0" w:space="0" w:color="auto"/>
                  </w:divBdr>
                  <w:divsChild>
                    <w:div w:id="824593551">
                      <w:marLeft w:val="0"/>
                      <w:marRight w:val="0"/>
                      <w:marTop w:val="0"/>
                      <w:marBottom w:val="0"/>
                      <w:divBdr>
                        <w:top w:val="none" w:sz="0" w:space="0" w:color="auto"/>
                        <w:left w:val="none" w:sz="0" w:space="0" w:color="auto"/>
                        <w:bottom w:val="none" w:sz="0" w:space="0" w:color="auto"/>
                        <w:right w:val="none" w:sz="0" w:space="0" w:color="auto"/>
                      </w:divBdr>
                      <w:divsChild>
                        <w:div w:id="7663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60940">
              <w:marLeft w:val="0"/>
              <w:marRight w:val="0"/>
              <w:marTop w:val="0"/>
              <w:marBottom w:val="0"/>
              <w:divBdr>
                <w:top w:val="none" w:sz="0" w:space="0" w:color="auto"/>
                <w:left w:val="none" w:sz="0" w:space="0" w:color="auto"/>
                <w:bottom w:val="none" w:sz="0" w:space="0" w:color="auto"/>
                <w:right w:val="none" w:sz="0" w:space="0" w:color="auto"/>
              </w:divBdr>
              <w:divsChild>
                <w:div w:id="1638100364">
                  <w:marLeft w:val="0"/>
                  <w:marRight w:val="0"/>
                  <w:marTop w:val="0"/>
                  <w:marBottom w:val="0"/>
                  <w:divBdr>
                    <w:top w:val="none" w:sz="0" w:space="0" w:color="auto"/>
                    <w:left w:val="none" w:sz="0" w:space="0" w:color="auto"/>
                    <w:bottom w:val="none" w:sz="0" w:space="0" w:color="auto"/>
                    <w:right w:val="none" w:sz="0" w:space="0" w:color="auto"/>
                  </w:divBdr>
                  <w:divsChild>
                    <w:div w:id="1193231864">
                      <w:marLeft w:val="0"/>
                      <w:marRight w:val="0"/>
                      <w:marTop w:val="0"/>
                      <w:marBottom w:val="0"/>
                      <w:divBdr>
                        <w:top w:val="none" w:sz="0" w:space="0" w:color="auto"/>
                        <w:left w:val="none" w:sz="0" w:space="0" w:color="auto"/>
                        <w:bottom w:val="none" w:sz="0" w:space="0" w:color="auto"/>
                        <w:right w:val="none" w:sz="0" w:space="0" w:color="auto"/>
                      </w:divBdr>
                      <w:divsChild>
                        <w:div w:id="6772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87282">
              <w:marLeft w:val="0"/>
              <w:marRight w:val="0"/>
              <w:marTop w:val="0"/>
              <w:marBottom w:val="0"/>
              <w:divBdr>
                <w:top w:val="none" w:sz="0" w:space="0" w:color="auto"/>
                <w:left w:val="none" w:sz="0" w:space="0" w:color="auto"/>
                <w:bottom w:val="none" w:sz="0" w:space="0" w:color="auto"/>
                <w:right w:val="none" w:sz="0" w:space="0" w:color="auto"/>
              </w:divBdr>
              <w:divsChild>
                <w:div w:id="989478380">
                  <w:marLeft w:val="0"/>
                  <w:marRight w:val="0"/>
                  <w:marTop w:val="0"/>
                  <w:marBottom w:val="0"/>
                  <w:divBdr>
                    <w:top w:val="none" w:sz="0" w:space="0" w:color="auto"/>
                    <w:left w:val="none" w:sz="0" w:space="0" w:color="auto"/>
                    <w:bottom w:val="none" w:sz="0" w:space="0" w:color="auto"/>
                    <w:right w:val="none" w:sz="0" w:space="0" w:color="auto"/>
                  </w:divBdr>
                  <w:divsChild>
                    <w:div w:id="267078866">
                      <w:marLeft w:val="0"/>
                      <w:marRight w:val="0"/>
                      <w:marTop w:val="0"/>
                      <w:marBottom w:val="0"/>
                      <w:divBdr>
                        <w:top w:val="none" w:sz="0" w:space="0" w:color="auto"/>
                        <w:left w:val="none" w:sz="0" w:space="0" w:color="auto"/>
                        <w:bottom w:val="none" w:sz="0" w:space="0" w:color="auto"/>
                        <w:right w:val="none" w:sz="0" w:space="0" w:color="auto"/>
                      </w:divBdr>
                      <w:divsChild>
                        <w:div w:id="18791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9582">
              <w:marLeft w:val="0"/>
              <w:marRight w:val="0"/>
              <w:marTop w:val="0"/>
              <w:marBottom w:val="0"/>
              <w:divBdr>
                <w:top w:val="none" w:sz="0" w:space="0" w:color="auto"/>
                <w:left w:val="none" w:sz="0" w:space="0" w:color="auto"/>
                <w:bottom w:val="none" w:sz="0" w:space="0" w:color="auto"/>
                <w:right w:val="none" w:sz="0" w:space="0" w:color="auto"/>
              </w:divBdr>
              <w:divsChild>
                <w:div w:id="345251087">
                  <w:marLeft w:val="0"/>
                  <w:marRight w:val="0"/>
                  <w:marTop w:val="0"/>
                  <w:marBottom w:val="0"/>
                  <w:divBdr>
                    <w:top w:val="none" w:sz="0" w:space="0" w:color="auto"/>
                    <w:left w:val="none" w:sz="0" w:space="0" w:color="auto"/>
                    <w:bottom w:val="none" w:sz="0" w:space="0" w:color="auto"/>
                    <w:right w:val="none" w:sz="0" w:space="0" w:color="auto"/>
                  </w:divBdr>
                  <w:divsChild>
                    <w:div w:id="1343164187">
                      <w:marLeft w:val="0"/>
                      <w:marRight w:val="0"/>
                      <w:marTop w:val="0"/>
                      <w:marBottom w:val="0"/>
                      <w:divBdr>
                        <w:top w:val="none" w:sz="0" w:space="0" w:color="auto"/>
                        <w:left w:val="none" w:sz="0" w:space="0" w:color="auto"/>
                        <w:bottom w:val="none" w:sz="0" w:space="0" w:color="auto"/>
                        <w:right w:val="none" w:sz="0" w:space="0" w:color="auto"/>
                      </w:divBdr>
                      <w:divsChild>
                        <w:div w:id="13716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21750">
              <w:marLeft w:val="0"/>
              <w:marRight w:val="0"/>
              <w:marTop w:val="0"/>
              <w:marBottom w:val="0"/>
              <w:divBdr>
                <w:top w:val="none" w:sz="0" w:space="0" w:color="auto"/>
                <w:left w:val="none" w:sz="0" w:space="0" w:color="auto"/>
                <w:bottom w:val="none" w:sz="0" w:space="0" w:color="auto"/>
                <w:right w:val="none" w:sz="0" w:space="0" w:color="auto"/>
              </w:divBdr>
              <w:divsChild>
                <w:div w:id="1030297661">
                  <w:marLeft w:val="0"/>
                  <w:marRight w:val="0"/>
                  <w:marTop w:val="0"/>
                  <w:marBottom w:val="0"/>
                  <w:divBdr>
                    <w:top w:val="none" w:sz="0" w:space="0" w:color="auto"/>
                    <w:left w:val="none" w:sz="0" w:space="0" w:color="auto"/>
                    <w:bottom w:val="none" w:sz="0" w:space="0" w:color="auto"/>
                    <w:right w:val="none" w:sz="0" w:space="0" w:color="auto"/>
                  </w:divBdr>
                  <w:divsChild>
                    <w:div w:id="1803111801">
                      <w:marLeft w:val="0"/>
                      <w:marRight w:val="0"/>
                      <w:marTop w:val="0"/>
                      <w:marBottom w:val="0"/>
                      <w:divBdr>
                        <w:top w:val="none" w:sz="0" w:space="0" w:color="auto"/>
                        <w:left w:val="none" w:sz="0" w:space="0" w:color="auto"/>
                        <w:bottom w:val="none" w:sz="0" w:space="0" w:color="auto"/>
                        <w:right w:val="none" w:sz="0" w:space="0" w:color="auto"/>
                      </w:divBdr>
                      <w:divsChild>
                        <w:div w:id="15325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3744">
              <w:marLeft w:val="0"/>
              <w:marRight w:val="0"/>
              <w:marTop w:val="0"/>
              <w:marBottom w:val="0"/>
              <w:divBdr>
                <w:top w:val="none" w:sz="0" w:space="0" w:color="auto"/>
                <w:left w:val="none" w:sz="0" w:space="0" w:color="auto"/>
                <w:bottom w:val="none" w:sz="0" w:space="0" w:color="auto"/>
                <w:right w:val="none" w:sz="0" w:space="0" w:color="auto"/>
              </w:divBdr>
              <w:divsChild>
                <w:div w:id="1221014328">
                  <w:marLeft w:val="0"/>
                  <w:marRight w:val="0"/>
                  <w:marTop w:val="0"/>
                  <w:marBottom w:val="0"/>
                  <w:divBdr>
                    <w:top w:val="none" w:sz="0" w:space="0" w:color="auto"/>
                    <w:left w:val="none" w:sz="0" w:space="0" w:color="auto"/>
                    <w:bottom w:val="none" w:sz="0" w:space="0" w:color="auto"/>
                    <w:right w:val="none" w:sz="0" w:space="0" w:color="auto"/>
                  </w:divBdr>
                  <w:divsChild>
                    <w:div w:id="2009358535">
                      <w:marLeft w:val="0"/>
                      <w:marRight w:val="0"/>
                      <w:marTop w:val="0"/>
                      <w:marBottom w:val="0"/>
                      <w:divBdr>
                        <w:top w:val="none" w:sz="0" w:space="0" w:color="auto"/>
                        <w:left w:val="none" w:sz="0" w:space="0" w:color="auto"/>
                        <w:bottom w:val="none" w:sz="0" w:space="0" w:color="auto"/>
                        <w:right w:val="none" w:sz="0" w:space="0" w:color="auto"/>
                      </w:divBdr>
                      <w:divsChild>
                        <w:div w:id="101865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51614">
              <w:marLeft w:val="0"/>
              <w:marRight w:val="0"/>
              <w:marTop w:val="0"/>
              <w:marBottom w:val="0"/>
              <w:divBdr>
                <w:top w:val="none" w:sz="0" w:space="0" w:color="auto"/>
                <w:left w:val="none" w:sz="0" w:space="0" w:color="auto"/>
                <w:bottom w:val="none" w:sz="0" w:space="0" w:color="auto"/>
                <w:right w:val="none" w:sz="0" w:space="0" w:color="auto"/>
              </w:divBdr>
              <w:divsChild>
                <w:div w:id="813181818">
                  <w:marLeft w:val="0"/>
                  <w:marRight w:val="0"/>
                  <w:marTop w:val="0"/>
                  <w:marBottom w:val="0"/>
                  <w:divBdr>
                    <w:top w:val="none" w:sz="0" w:space="0" w:color="auto"/>
                    <w:left w:val="none" w:sz="0" w:space="0" w:color="auto"/>
                    <w:bottom w:val="none" w:sz="0" w:space="0" w:color="auto"/>
                    <w:right w:val="none" w:sz="0" w:space="0" w:color="auto"/>
                  </w:divBdr>
                  <w:divsChild>
                    <w:div w:id="527985389">
                      <w:marLeft w:val="0"/>
                      <w:marRight w:val="0"/>
                      <w:marTop w:val="0"/>
                      <w:marBottom w:val="0"/>
                      <w:divBdr>
                        <w:top w:val="none" w:sz="0" w:space="0" w:color="auto"/>
                        <w:left w:val="none" w:sz="0" w:space="0" w:color="auto"/>
                        <w:bottom w:val="none" w:sz="0" w:space="0" w:color="auto"/>
                        <w:right w:val="none" w:sz="0" w:space="0" w:color="auto"/>
                      </w:divBdr>
                      <w:divsChild>
                        <w:div w:id="16509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6884">
          <w:marLeft w:val="0"/>
          <w:marRight w:val="0"/>
          <w:marTop w:val="0"/>
          <w:marBottom w:val="0"/>
          <w:divBdr>
            <w:top w:val="none" w:sz="0" w:space="0" w:color="auto"/>
            <w:left w:val="none" w:sz="0" w:space="0" w:color="auto"/>
            <w:bottom w:val="none" w:sz="0" w:space="0" w:color="auto"/>
            <w:right w:val="none" w:sz="0" w:space="0" w:color="auto"/>
          </w:divBdr>
          <w:divsChild>
            <w:div w:id="430584351">
              <w:marLeft w:val="0"/>
              <w:marRight w:val="0"/>
              <w:marTop w:val="0"/>
              <w:marBottom w:val="0"/>
              <w:divBdr>
                <w:top w:val="none" w:sz="0" w:space="0" w:color="auto"/>
                <w:left w:val="none" w:sz="0" w:space="0" w:color="auto"/>
                <w:bottom w:val="none" w:sz="0" w:space="0" w:color="auto"/>
                <w:right w:val="none" w:sz="0" w:space="0" w:color="auto"/>
              </w:divBdr>
              <w:divsChild>
                <w:div w:id="328295405">
                  <w:marLeft w:val="0"/>
                  <w:marRight w:val="0"/>
                  <w:marTop w:val="0"/>
                  <w:marBottom w:val="0"/>
                  <w:divBdr>
                    <w:top w:val="none" w:sz="0" w:space="0" w:color="auto"/>
                    <w:left w:val="none" w:sz="0" w:space="0" w:color="auto"/>
                    <w:bottom w:val="none" w:sz="0" w:space="0" w:color="auto"/>
                    <w:right w:val="none" w:sz="0" w:space="0" w:color="auto"/>
                  </w:divBdr>
                  <w:divsChild>
                    <w:div w:id="983973282">
                      <w:marLeft w:val="0"/>
                      <w:marRight w:val="0"/>
                      <w:marTop w:val="0"/>
                      <w:marBottom w:val="0"/>
                      <w:divBdr>
                        <w:top w:val="none" w:sz="0" w:space="0" w:color="auto"/>
                        <w:left w:val="none" w:sz="0" w:space="0" w:color="auto"/>
                        <w:bottom w:val="none" w:sz="0" w:space="0" w:color="auto"/>
                        <w:right w:val="none" w:sz="0" w:space="0" w:color="auto"/>
                      </w:divBdr>
                      <w:divsChild>
                        <w:div w:id="2049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0705">
              <w:marLeft w:val="0"/>
              <w:marRight w:val="0"/>
              <w:marTop w:val="0"/>
              <w:marBottom w:val="0"/>
              <w:divBdr>
                <w:top w:val="none" w:sz="0" w:space="0" w:color="auto"/>
                <w:left w:val="none" w:sz="0" w:space="0" w:color="auto"/>
                <w:bottom w:val="none" w:sz="0" w:space="0" w:color="auto"/>
                <w:right w:val="none" w:sz="0" w:space="0" w:color="auto"/>
              </w:divBdr>
              <w:divsChild>
                <w:div w:id="547491507">
                  <w:marLeft w:val="0"/>
                  <w:marRight w:val="0"/>
                  <w:marTop w:val="0"/>
                  <w:marBottom w:val="0"/>
                  <w:divBdr>
                    <w:top w:val="none" w:sz="0" w:space="0" w:color="auto"/>
                    <w:left w:val="none" w:sz="0" w:space="0" w:color="auto"/>
                    <w:bottom w:val="none" w:sz="0" w:space="0" w:color="auto"/>
                    <w:right w:val="none" w:sz="0" w:space="0" w:color="auto"/>
                  </w:divBdr>
                  <w:divsChild>
                    <w:div w:id="707873665">
                      <w:marLeft w:val="0"/>
                      <w:marRight w:val="0"/>
                      <w:marTop w:val="0"/>
                      <w:marBottom w:val="0"/>
                      <w:divBdr>
                        <w:top w:val="none" w:sz="0" w:space="0" w:color="auto"/>
                        <w:left w:val="none" w:sz="0" w:space="0" w:color="auto"/>
                        <w:bottom w:val="none" w:sz="0" w:space="0" w:color="auto"/>
                        <w:right w:val="none" w:sz="0" w:space="0" w:color="auto"/>
                      </w:divBdr>
                      <w:divsChild>
                        <w:div w:id="18434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4246">
              <w:marLeft w:val="0"/>
              <w:marRight w:val="0"/>
              <w:marTop w:val="0"/>
              <w:marBottom w:val="0"/>
              <w:divBdr>
                <w:top w:val="none" w:sz="0" w:space="0" w:color="auto"/>
                <w:left w:val="none" w:sz="0" w:space="0" w:color="auto"/>
                <w:bottom w:val="none" w:sz="0" w:space="0" w:color="auto"/>
                <w:right w:val="none" w:sz="0" w:space="0" w:color="auto"/>
              </w:divBdr>
              <w:divsChild>
                <w:div w:id="832381720">
                  <w:marLeft w:val="0"/>
                  <w:marRight w:val="0"/>
                  <w:marTop w:val="0"/>
                  <w:marBottom w:val="0"/>
                  <w:divBdr>
                    <w:top w:val="none" w:sz="0" w:space="0" w:color="auto"/>
                    <w:left w:val="none" w:sz="0" w:space="0" w:color="auto"/>
                    <w:bottom w:val="none" w:sz="0" w:space="0" w:color="auto"/>
                    <w:right w:val="none" w:sz="0" w:space="0" w:color="auto"/>
                  </w:divBdr>
                  <w:divsChild>
                    <w:div w:id="4790799">
                      <w:marLeft w:val="0"/>
                      <w:marRight w:val="0"/>
                      <w:marTop w:val="0"/>
                      <w:marBottom w:val="0"/>
                      <w:divBdr>
                        <w:top w:val="none" w:sz="0" w:space="0" w:color="auto"/>
                        <w:left w:val="none" w:sz="0" w:space="0" w:color="auto"/>
                        <w:bottom w:val="none" w:sz="0" w:space="0" w:color="auto"/>
                        <w:right w:val="none" w:sz="0" w:space="0" w:color="auto"/>
                      </w:divBdr>
                      <w:divsChild>
                        <w:div w:id="1663198552">
                          <w:marLeft w:val="0"/>
                          <w:marRight w:val="0"/>
                          <w:marTop w:val="0"/>
                          <w:marBottom w:val="0"/>
                          <w:divBdr>
                            <w:top w:val="none" w:sz="0" w:space="0" w:color="auto"/>
                            <w:left w:val="none" w:sz="0" w:space="0" w:color="auto"/>
                            <w:bottom w:val="none" w:sz="0" w:space="0" w:color="auto"/>
                            <w:right w:val="none" w:sz="0" w:space="0" w:color="auto"/>
                          </w:divBdr>
                          <w:divsChild>
                            <w:div w:id="9263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7593">
          <w:marLeft w:val="0"/>
          <w:marRight w:val="0"/>
          <w:marTop w:val="0"/>
          <w:marBottom w:val="0"/>
          <w:divBdr>
            <w:top w:val="none" w:sz="0" w:space="0" w:color="auto"/>
            <w:left w:val="none" w:sz="0" w:space="0" w:color="auto"/>
            <w:bottom w:val="none" w:sz="0" w:space="0" w:color="auto"/>
            <w:right w:val="none" w:sz="0" w:space="0" w:color="auto"/>
          </w:divBdr>
          <w:divsChild>
            <w:div w:id="146674218">
              <w:marLeft w:val="0"/>
              <w:marRight w:val="0"/>
              <w:marTop w:val="0"/>
              <w:marBottom w:val="0"/>
              <w:divBdr>
                <w:top w:val="none" w:sz="0" w:space="0" w:color="auto"/>
                <w:left w:val="none" w:sz="0" w:space="0" w:color="auto"/>
                <w:bottom w:val="none" w:sz="0" w:space="0" w:color="auto"/>
                <w:right w:val="none" w:sz="0" w:space="0" w:color="auto"/>
              </w:divBdr>
              <w:divsChild>
                <w:div w:id="1128737919">
                  <w:marLeft w:val="0"/>
                  <w:marRight w:val="0"/>
                  <w:marTop w:val="0"/>
                  <w:marBottom w:val="0"/>
                  <w:divBdr>
                    <w:top w:val="none" w:sz="0" w:space="0" w:color="auto"/>
                    <w:left w:val="none" w:sz="0" w:space="0" w:color="auto"/>
                    <w:bottom w:val="none" w:sz="0" w:space="0" w:color="auto"/>
                    <w:right w:val="none" w:sz="0" w:space="0" w:color="auto"/>
                  </w:divBdr>
                  <w:divsChild>
                    <w:div w:id="350569932">
                      <w:marLeft w:val="0"/>
                      <w:marRight w:val="0"/>
                      <w:marTop w:val="0"/>
                      <w:marBottom w:val="0"/>
                      <w:divBdr>
                        <w:top w:val="none" w:sz="0" w:space="0" w:color="auto"/>
                        <w:left w:val="none" w:sz="0" w:space="0" w:color="auto"/>
                        <w:bottom w:val="none" w:sz="0" w:space="0" w:color="auto"/>
                        <w:right w:val="none" w:sz="0" w:space="0" w:color="auto"/>
                      </w:divBdr>
                      <w:divsChild>
                        <w:div w:id="9360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4775">
              <w:marLeft w:val="0"/>
              <w:marRight w:val="0"/>
              <w:marTop w:val="0"/>
              <w:marBottom w:val="0"/>
              <w:divBdr>
                <w:top w:val="none" w:sz="0" w:space="0" w:color="auto"/>
                <w:left w:val="none" w:sz="0" w:space="0" w:color="auto"/>
                <w:bottom w:val="none" w:sz="0" w:space="0" w:color="auto"/>
                <w:right w:val="none" w:sz="0" w:space="0" w:color="auto"/>
              </w:divBdr>
              <w:divsChild>
                <w:div w:id="227502262">
                  <w:marLeft w:val="0"/>
                  <w:marRight w:val="0"/>
                  <w:marTop w:val="0"/>
                  <w:marBottom w:val="0"/>
                  <w:divBdr>
                    <w:top w:val="none" w:sz="0" w:space="0" w:color="auto"/>
                    <w:left w:val="none" w:sz="0" w:space="0" w:color="auto"/>
                    <w:bottom w:val="none" w:sz="0" w:space="0" w:color="auto"/>
                    <w:right w:val="none" w:sz="0" w:space="0" w:color="auto"/>
                  </w:divBdr>
                  <w:divsChild>
                    <w:div w:id="975916795">
                      <w:marLeft w:val="0"/>
                      <w:marRight w:val="0"/>
                      <w:marTop w:val="0"/>
                      <w:marBottom w:val="0"/>
                      <w:divBdr>
                        <w:top w:val="none" w:sz="0" w:space="0" w:color="auto"/>
                        <w:left w:val="none" w:sz="0" w:space="0" w:color="auto"/>
                        <w:bottom w:val="none" w:sz="0" w:space="0" w:color="auto"/>
                        <w:right w:val="none" w:sz="0" w:space="0" w:color="auto"/>
                      </w:divBdr>
                      <w:divsChild>
                        <w:div w:id="9535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9475">
              <w:marLeft w:val="0"/>
              <w:marRight w:val="0"/>
              <w:marTop w:val="0"/>
              <w:marBottom w:val="0"/>
              <w:divBdr>
                <w:top w:val="none" w:sz="0" w:space="0" w:color="auto"/>
                <w:left w:val="none" w:sz="0" w:space="0" w:color="auto"/>
                <w:bottom w:val="none" w:sz="0" w:space="0" w:color="auto"/>
                <w:right w:val="none" w:sz="0" w:space="0" w:color="auto"/>
              </w:divBdr>
              <w:divsChild>
                <w:div w:id="82917171">
                  <w:marLeft w:val="0"/>
                  <w:marRight w:val="0"/>
                  <w:marTop w:val="0"/>
                  <w:marBottom w:val="0"/>
                  <w:divBdr>
                    <w:top w:val="none" w:sz="0" w:space="0" w:color="auto"/>
                    <w:left w:val="none" w:sz="0" w:space="0" w:color="auto"/>
                    <w:bottom w:val="none" w:sz="0" w:space="0" w:color="auto"/>
                    <w:right w:val="none" w:sz="0" w:space="0" w:color="auto"/>
                  </w:divBdr>
                  <w:divsChild>
                    <w:div w:id="167209665">
                      <w:marLeft w:val="0"/>
                      <w:marRight w:val="0"/>
                      <w:marTop w:val="0"/>
                      <w:marBottom w:val="0"/>
                      <w:divBdr>
                        <w:top w:val="none" w:sz="0" w:space="0" w:color="auto"/>
                        <w:left w:val="none" w:sz="0" w:space="0" w:color="auto"/>
                        <w:bottom w:val="none" w:sz="0" w:space="0" w:color="auto"/>
                        <w:right w:val="none" w:sz="0" w:space="0" w:color="auto"/>
                      </w:divBdr>
                      <w:divsChild>
                        <w:div w:id="12603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5411">
              <w:marLeft w:val="0"/>
              <w:marRight w:val="0"/>
              <w:marTop w:val="0"/>
              <w:marBottom w:val="0"/>
              <w:divBdr>
                <w:top w:val="none" w:sz="0" w:space="0" w:color="auto"/>
                <w:left w:val="none" w:sz="0" w:space="0" w:color="auto"/>
                <w:bottom w:val="none" w:sz="0" w:space="0" w:color="auto"/>
                <w:right w:val="none" w:sz="0" w:space="0" w:color="auto"/>
              </w:divBdr>
              <w:divsChild>
                <w:div w:id="1394499926">
                  <w:marLeft w:val="0"/>
                  <w:marRight w:val="0"/>
                  <w:marTop w:val="0"/>
                  <w:marBottom w:val="0"/>
                  <w:divBdr>
                    <w:top w:val="none" w:sz="0" w:space="0" w:color="auto"/>
                    <w:left w:val="none" w:sz="0" w:space="0" w:color="auto"/>
                    <w:bottom w:val="none" w:sz="0" w:space="0" w:color="auto"/>
                    <w:right w:val="none" w:sz="0" w:space="0" w:color="auto"/>
                  </w:divBdr>
                  <w:divsChild>
                    <w:div w:id="2125730916">
                      <w:marLeft w:val="0"/>
                      <w:marRight w:val="0"/>
                      <w:marTop w:val="0"/>
                      <w:marBottom w:val="0"/>
                      <w:divBdr>
                        <w:top w:val="none" w:sz="0" w:space="0" w:color="auto"/>
                        <w:left w:val="none" w:sz="0" w:space="0" w:color="auto"/>
                        <w:bottom w:val="none" w:sz="0" w:space="0" w:color="auto"/>
                        <w:right w:val="none" w:sz="0" w:space="0" w:color="auto"/>
                      </w:divBdr>
                      <w:divsChild>
                        <w:div w:id="390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119">
              <w:marLeft w:val="0"/>
              <w:marRight w:val="0"/>
              <w:marTop w:val="0"/>
              <w:marBottom w:val="0"/>
              <w:divBdr>
                <w:top w:val="none" w:sz="0" w:space="0" w:color="auto"/>
                <w:left w:val="none" w:sz="0" w:space="0" w:color="auto"/>
                <w:bottom w:val="none" w:sz="0" w:space="0" w:color="auto"/>
                <w:right w:val="none" w:sz="0" w:space="0" w:color="auto"/>
              </w:divBdr>
              <w:divsChild>
                <w:div w:id="1629317212">
                  <w:marLeft w:val="0"/>
                  <w:marRight w:val="0"/>
                  <w:marTop w:val="0"/>
                  <w:marBottom w:val="0"/>
                  <w:divBdr>
                    <w:top w:val="none" w:sz="0" w:space="0" w:color="auto"/>
                    <w:left w:val="none" w:sz="0" w:space="0" w:color="auto"/>
                    <w:bottom w:val="none" w:sz="0" w:space="0" w:color="auto"/>
                    <w:right w:val="none" w:sz="0" w:space="0" w:color="auto"/>
                  </w:divBdr>
                  <w:divsChild>
                    <w:div w:id="1653411877">
                      <w:marLeft w:val="0"/>
                      <w:marRight w:val="0"/>
                      <w:marTop w:val="0"/>
                      <w:marBottom w:val="0"/>
                      <w:divBdr>
                        <w:top w:val="none" w:sz="0" w:space="0" w:color="auto"/>
                        <w:left w:val="none" w:sz="0" w:space="0" w:color="auto"/>
                        <w:bottom w:val="none" w:sz="0" w:space="0" w:color="auto"/>
                        <w:right w:val="none" w:sz="0" w:space="0" w:color="auto"/>
                      </w:divBdr>
                      <w:divsChild>
                        <w:div w:id="8710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1379">
              <w:marLeft w:val="0"/>
              <w:marRight w:val="0"/>
              <w:marTop w:val="0"/>
              <w:marBottom w:val="0"/>
              <w:divBdr>
                <w:top w:val="none" w:sz="0" w:space="0" w:color="auto"/>
                <w:left w:val="none" w:sz="0" w:space="0" w:color="auto"/>
                <w:bottom w:val="none" w:sz="0" w:space="0" w:color="auto"/>
                <w:right w:val="none" w:sz="0" w:space="0" w:color="auto"/>
              </w:divBdr>
              <w:divsChild>
                <w:div w:id="1416317933">
                  <w:marLeft w:val="0"/>
                  <w:marRight w:val="0"/>
                  <w:marTop w:val="0"/>
                  <w:marBottom w:val="0"/>
                  <w:divBdr>
                    <w:top w:val="none" w:sz="0" w:space="0" w:color="auto"/>
                    <w:left w:val="none" w:sz="0" w:space="0" w:color="auto"/>
                    <w:bottom w:val="none" w:sz="0" w:space="0" w:color="auto"/>
                    <w:right w:val="none" w:sz="0" w:space="0" w:color="auto"/>
                  </w:divBdr>
                  <w:divsChild>
                    <w:div w:id="504634158">
                      <w:marLeft w:val="0"/>
                      <w:marRight w:val="0"/>
                      <w:marTop w:val="0"/>
                      <w:marBottom w:val="0"/>
                      <w:divBdr>
                        <w:top w:val="none" w:sz="0" w:space="0" w:color="auto"/>
                        <w:left w:val="none" w:sz="0" w:space="0" w:color="auto"/>
                        <w:bottom w:val="none" w:sz="0" w:space="0" w:color="auto"/>
                        <w:right w:val="none" w:sz="0" w:space="0" w:color="auto"/>
                      </w:divBdr>
                      <w:divsChild>
                        <w:div w:id="17639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86333">
              <w:marLeft w:val="0"/>
              <w:marRight w:val="0"/>
              <w:marTop w:val="0"/>
              <w:marBottom w:val="0"/>
              <w:divBdr>
                <w:top w:val="none" w:sz="0" w:space="0" w:color="auto"/>
                <w:left w:val="none" w:sz="0" w:space="0" w:color="auto"/>
                <w:bottom w:val="none" w:sz="0" w:space="0" w:color="auto"/>
                <w:right w:val="none" w:sz="0" w:space="0" w:color="auto"/>
              </w:divBdr>
              <w:divsChild>
                <w:div w:id="572665575">
                  <w:marLeft w:val="0"/>
                  <w:marRight w:val="0"/>
                  <w:marTop w:val="0"/>
                  <w:marBottom w:val="0"/>
                  <w:divBdr>
                    <w:top w:val="none" w:sz="0" w:space="0" w:color="auto"/>
                    <w:left w:val="none" w:sz="0" w:space="0" w:color="auto"/>
                    <w:bottom w:val="none" w:sz="0" w:space="0" w:color="auto"/>
                    <w:right w:val="none" w:sz="0" w:space="0" w:color="auto"/>
                  </w:divBdr>
                  <w:divsChild>
                    <w:div w:id="1623343656">
                      <w:marLeft w:val="0"/>
                      <w:marRight w:val="0"/>
                      <w:marTop w:val="0"/>
                      <w:marBottom w:val="0"/>
                      <w:divBdr>
                        <w:top w:val="none" w:sz="0" w:space="0" w:color="auto"/>
                        <w:left w:val="none" w:sz="0" w:space="0" w:color="auto"/>
                        <w:bottom w:val="none" w:sz="0" w:space="0" w:color="auto"/>
                        <w:right w:val="none" w:sz="0" w:space="0" w:color="auto"/>
                      </w:divBdr>
                      <w:divsChild>
                        <w:div w:id="9976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8507">
              <w:marLeft w:val="0"/>
              <w:marRight w:val="0"/>
              <w:marTop w:val="0"/>
              <w:marBottom w:val="0"/>
              <w:divBdr>
                <w:top w:val="none" w:sz="0" w:space="0" w:color="auto"/>
                <w:left w:val="none" w:sz="0" w:space="0" w:color="auto"/>
                <w:bottom w:val="none" w:sz="0" w:space="0" w:color="auto"/>
                <w:right w:val="none" w:sz="0" w:space="0" w:color="auto"/>
              </w:divBdr>
              <w:divsChild>
                <w:div w:id="1784303221">
                  <w:marLeft w:val="0"/>
                  <w:marRight w:val="0"/>
                  <w:marTop w:val="0"/>
                  <w:marBottom w:val="0"/>
                  <w:divBdr>
                    <w:top w:val="none" w:sz="0" w:space="0" w:color="auto"/>
                    <w:left w:val="none" w:sz="0" w:space="0" w:color="auto"/>
                    <w:bottom w:val="none" w:sz="0" w:space="0" w:color="auto"/>
                    <w:right w:val="none" w:sz="0" w:space="0" w:color="auto"/>
                  </w:divBdr>
                  <w:divsChild>
                    <w:div w:id="2133329186">
                      <w:marLeft w:val="0"/>
                      <w:marRight w:val="0"/>
                      <w:marTop w:val="0"/>
                      <w:marBottom w:val="0"/>
                      <w:divBdr>
                        <w:top w:val="none" w:sz="0" w:space="0" w:color="auto"/>
                        <w:left w:val="none" w:sz="0" w:space="0" w:color="auto"/>
                        <w:bottom w:val="none" w:sz="0" w:space="0" w:color="auto"/>
                        <w:right w:val="none" w:sz="0" w:space="0" w:color="auto"/>
                      </w:divBdr>
                      <w:divsChild>
                        <w:div w:id="18659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18503">
              <w:marLeft w:val="0"/>
              <w:marRight w:val="0"/>
              <w:marTop w:val="0"/>
              <w:marBottom w:val="0"/>
              <w:divBdr>
                <w:top w:val="none" w:sz="0" w:space="0" w:color="auto"/>
                <w:left w:val="none" w:sz="0" w:space="0" w:color="auto"/>
                <w:bottom w:val="none" w:sz="0" w:space="0" w:color="auto"/>
                <w:right w:val="none" w:sz="0" w:space="0" w:color="auto"/>
              </w:divBdr>
              <w:divsChild>
                <w:div w:id="1567837726">
                  <w:marLeft w:val="0"/>
                  <w:marRight w:val="0"/>
                  <w:marTop w:val="0"/>
                  <w:marBottom w:val="0"/>
                  <w:divBdr>
                    <w:top w:val="none" w:sz="0" w:space="0" w:color="auto"/>
                    <w:left w:val="none" w:sz="0" w:space="0" w:color="auto"/>
                    <w:bottom w:val="none" w:sz="0" w:space="0" w:color="auto"/>
                    <w:right w:val="none" w:sz="0" w:space="0" w:color="auto"/>
                  </w:divBdr>
                  <w:divsChild>
                    <w:div w:id="460658895">
                      <w:marLeft w:val="0"/>
                      <w:marRight w:val="0"/>
                      <w:marTop w:val="0"/>
                      <w:marBottom w:val="0"/>
                      <w:divBdr>
                        <w:top w:val="none" w:sz="0" w:space="0" w:color="auto"/>
                        <w:left w:val="none" w:sz="0" w:space="0" w:color="auto"/>
                        <w:bottom w:val="none" w:sz="0" w:space="0" w:color="auto"/>
                        <w:right w:val="none" w:sz="0" w:space="0" w:color="auto"/>
                      </w:divBdr>
                      <w:divsChild>
                        <w:div w:id="15669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070499">
          <w:marLeft w:val="0"/>
          <w:marRight w:val="0"/>
          <w:marTop w:val="0"/>
          <w:marBottom w:val="0"/>
          <w:divBdr>
            <w:top w:val="none" w:sz="0" w:space="0" w:color="auto"/>
            <w:left w:val="none" w:sz="0" w:space="0" w:color="auto"/>
            <w:bottom w:val="none" w:sz="0" w:space="0" w:color="auto"/>
            <w:right w:val="none" w:sz="0" w:space="0" w:color="auto"/>
          </w:divBdr>
          <w:divsChild>
            <w:div w:id="474376091">
              <w:marLeft w:val="0"/>
              <w:marRight w:val="0"/>
              <w:marTop w:val="0"/>
              <w:marBottom w:val="0"/>
              <w:divBdr>
                <w:top w:val="none" w:sz="0" w:space="0" w:color="auto"/>
                <w:left w:val="none" w:sz="0" w:space="0" w:color="auto"/>
                <w:bottom w:val="none" w:sz="0" w:space="0" w:color="auto"/>
                <w:right w:val="none" w:sz="0" w:space="0" w:color="auto"/>
              </w:divBdr>
              <w:divsChild>
                <w:div w:id="1722054445">
                  <w:marLeft w:val="0"/>
                  <w:marRight w:val="0"/>
                  <w:marTop w:val="0"/>
                  <w:marBottom w:val="0"/>
                  <w:divBdr>
                    <w:top w:val="none" w:sz="0" w:space="0" w:color="auto"/>
                    <w:left w:val="none" w:sz="0" w:space="0" w:color="auto"/>
                    <w:bottom w:val="none" w:sz="0" w:space="0" w:color="auto"/>
                    <w:right w:val="none" w:sz="0" w:space="0" w:color="auto"/>
                  </w:divBdr>
                  <w:divsChild>
                    <w:div w:id="1877422039">
                      <w:marLeft w:val="0"/>
                      <w:marRight w:val="0"/>
                      <w:marTop w:val="0"/>
                      <w:marBottom w:val="0"/>
                      <w:divBdr>
                        <w:top w:val="none" w:sz="0" w:space="0" w:color="auto"/>
                        <w:left w:val="none" w:sz="0" w:space="0" w:color="auto"/>
                        <w:bottom w:val="none" w:sz="0" w:space="0" w:color="auto"/>
                        <w:right w:val="none" w:sz="0" w:space="0" w:color="auto"/>
                      </w:divBdr>
                      <w:divsChild>
                        <w:div w:id="6490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91137">
              <w:marLeft w:val="0"/>
              <w:marRight w:val="0"/>
              <w:marTop w:val="0"/>
              <w:marBottom w:val="0"/>
              <w:divBdr>
                <w:top w:val="none" w:sz="0" w:space="0" w:color="auto"/>
                <w:left w:val="none" w:sz="0" w:space="0" w:color="auto"/>
                <w:bottom w:val="none" w:sz="0" w:space="0" w:color="auto"/>
                <w:right w:val="none" w:sz="0" w:space="0" w:color="auto"/>
              </w:divBdr>
              <w:divsChild>
                <w:div w:id="35813827">
                  <w:marLeft w:val="0"/>
                  <w:marRight w:val="0"/>
                  <w:marTop w:val="0"/>
                  <w:marBottom w:val="0"/>
                  <w:divBdr>
                    <w:top w:val="none" w:sz="0" w:space="0" w:color="auto"/>
                    <w:left w:val="none" w:sz="0" w:space="0" w:color="auto"/>
                    <w:bottom w:val="none" w:sz="0" w:space="0" w:color="auto"/>
                    <w:right w:val="none" w:sz="0" w:space="0" w:color="auto"/>
                  </w:divBdr>
                  <w:divsChild>
                    <w:div w:id="990252483">
                      <w:marLeft w:val="0"/>
                      <w:marRight w:val="0"/>
                      <w:marTop w:val="0"/>
                      <w:marBottom w:val="0"/>
                      <w:divBdr>
                        <w:top w:val="none" w:sz="0" w:space="0" w:color="auto"/>
                        <w:left w:val="none" w:sz="0" w:space="0" w:color="auto"/>
                        <w:bottom w:val="none" w:sz="0" w:space="0" w:color="auto"/>
                        <w:right w:val="none" w:sz="0" w:space="0" w:color="auto"/>
                      </w:divBdr>
                      <w:divsChild>
                        <w:div w:id="526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136405">
          <w:marLeft w:val="0"/>
          <w:marRight w:val="0"/>
          <w:marTop w:val="0"/>
          <w:marBottom w:val="0"/>
          <w:divBdr>
            <w:top w:val="none" w:sz="0" w:space="0" w:color="auto"/>
            <w:left w:val="none" w:sz="0" w:space="0" w:color="auto"/>
            <w:bottom w:val="none" w:sz="0" w:space="0" w:color="auto"/>
            <w:right w:val="none" w:sz="0" w:space="0" w:color="auto"/>
          </w:divBdr>
          <w:divsChild>
            <w:div w:id="599412944">
              <w:marLeft w:val="0"/>
              <w:marRight w:val="0"/>
              <w:marTop w:val="0"/>
              <w:marBottom w:val="0"/>
              <w:divBdr>
                <w:top w:val="none" w:sz="0" w:space="0" w:color="auto"/>
                <w:left w:val="none" w:sz="0" w:space="0" w:color="auto"/>
                <w:bottom w:val="none" w:sz="0" w:space="0" w:color="auto"/>
                <w:right w:val="none" w:sz="0" w:space="0" w:color="auto"/>
              </w:divBdr>
              <w:divsChild>
                <w:div w:id="881136922">
                  <w:marLeft w:val="0"/>
                  <w:marRight w:val="0"/>
                  <w:marTop w:val="0"/>
                  <w:marBottom w:val="0"/>
                  <w:divBdr>
                    <w:top w:val="none" w:sz="0" w:space="0" w:color="auto"/>
                    <w:left w:val="none" w:sz="0" w:space="0" w:color="auto"/>
                    <w:bottom w:val="none" w:sz="0" w:space="0" w:color="auto"/>
                    <w:right w:val="none" w:sz="0" w:space="0" w:color="auto"/>
                  </w:divBdr>
                  <w:divsChild>
                    <w:div w:id="1493061185">
                      <w:marLeft w:val="0"/>
                      <w:marRight w:val="0"/>
                      <w:marTop w:val="0"/>
                      <w:marBottom w:val="0"/>
                      <w:divBdr>
                        <w:top w:val="none" w:sz="0" w:space="0" w:color="auto"/>
                        <w:left w:val="none" w:sz="0" w:space="0" w:color="auto"/>
                        <w:bottom w:val="none" w:sz="0" w:space="0" w:color="auto"/>
                        <w:right w:val="none" w:sz="0" w:space="0" w:color="auto"/>
                      </w:divBdr>
                      <w:divsChild>
                        <w:div w:id="15076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9182">
              <w:marLeft w:val="0"/>
              <w:marRight w:val="0"/>
              <w:marTop w:val="0"/>
              <w:marBottom w:val="0"/>
              <w:divBdr>
                <w:top w:val="none" w:sz="0" w:space="0" w:color="auto"/>
                <w:left w:val="none" w:sz="0" w:space="0" w:color="auto"/>
                <w:bottom w:val="none" w:sz="0" w:space="0" w:color="auto"/>
                <w:right w:val="none" w:sz="0" w:space="0" w:color="auto"/>
              </w:divBdr>
              <w:divsChild>
                <w:div w:id="9718316">
                  <w:marLeft w:val="0"/>
                  <w:marRight w:val="0"/>
                  <w:marTop w:val="0"/>
                  <w:marBottom w:val="0"/>
                  <w:divBdr>
                    <w:top w:val="none" w:sz="0" w:space="0" w:color="auto"/>
                    <w:left w:val="none" w:sz="0" w:space="0" w:color="auto"/>
                    <w:bottom w:val="none" w:sz="0" w:space="0" w:color="auto"/>
                    <w:right w:val="none" w:sz="0" w:space="0" w:color="auto"/>
                  </w:divBdr>
                  <w:divsChild>
                    <w:div w:id="282032400">
                      <w:marLeft w:val="0"/>
                      <w:marRight w:val="0"/>
                      <w:marTop w:val="0"/>
                      <w:marBottom w:val="0"/>
                      <w:divBdr>
                        <w:top w:val="none" w:sz="0" w:space="0" w:color="auto"/>
                        <w:left w:val="none" w:sz="0" w:space="0" w:color="auto"/>
                        <w:bottom w:val="none" w:sz="0" w:space="0" w:color="auto"/>
                        <w:right w:val="none" w:sz="0" w:space="0" w:color="auto"/>
                      </w:divBdr>
                      <w:divsChild>
                        <w:div w:id="5560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74289">
              <w:marLeft w:val="0"/>
              <w:marRight w:val="0"/>
              <w:marTop w:val="0"/>
              <w:marBottom w:val="0"/>
              <w:divBdr>
                <w:top w:val="none" w:sz="0" w:space="0" w:color="auto"/>
                <w:left w:val="none" w:sz="0" w:space="0" w:color="auto"/>
                <w:bottom w:val="none" w:sz="0" w:space="0" w:color="auto"/>
                <w:right w:val="none" w:sz="0" w:space="0" w:color="auto"/>
              </w:divBdr>
              <w:divsChild>
                <w:div w:id="1280645440">
                  <w:marLeft w:val="0"/>
                  <w:marRight w:val="0"/>
                  <w:marTop w:val="0"/>
                  <w:marBottom w:val="0"/>
                  <w:divBdr>
                    <w:top w:val="none" w:sz="0" w:space="0" w:color="auto"/>
                    <w:left w:val="none" w:sz="0" w:space="0" w:color="auto"/>
                    <w:bottom w:val="none" w:sz="0" w:space="0" w:color="auto"/>
                    <w:right w:val="none" w:sz="0" w:space="0" w:color="auto"/>
                  </w:divBdr>
                  <w:divsChild>
                    <w:div w:id="1052120294">
                      <w:marLeft w:val="0"/>
                      <w:marRight w:val="0"/>
                      <w:marTop w:val="0"/>
                      <w:marBottom w:val="0"/>
                      <w:divBdr>
                        <w:top w:val="none" w:sz="0" w:space="0" w:color="auto"/>
                        <w:left w:val="none" w:sz="0" w:space="0" w:color="auto"/>
                        <w:bottom w:val="none" w:sz="0" w:space="0" w:color="auto"/>
                        <w:right w:val="none" w:sz="0" w:space="0" w:color="auto"/>
                      </w:divBdr>
                      <w:divsChild>
                        <w:div w:id="1489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06276">
              <w:marLeft w:val="0"/>
              <w:marRight w:val="0"/>
              <w:marTop w:val="0"/>
              <w:marBottom w:val="0"/>
              <w:divBdr>
                <w:top w:val="none" w:sz="0" w:space="0" w:color="auto"/>
                <w:left w:val="none" w:sz="0" w:space="0" w:color="auto"/>
                <w:bottom w:val="none" w:sz="0" w:space="0" w:color="auto"/>
                <w:right w:val="none" w:sz="0" w:space="0" w:color="auto"/>
              </w:divBdr>
              <w:divsChild>
                <w:div w:id="1532573442">
                  <w:marLeft w:val="0"/>
                  <w:marRight w:val="0"/>
                  <w:marTop w:val="0"/>
                  <w:marBottom w:val="0"/>
                  <w:divBdr>
                    <w:top w:val="none" w:sz="0" w:space="0" w:color="auto"/>
                    <w:left w:val="none" w:sz="0" w:space="0" w:color="auto"/>
                    <w:bottom w:val="none" w:sz="0" w:space="0" w:color="auto"/>
                    <w:right w:val="none" w:sz="0" w:space="0" w:color="auto"/>
                  </w:divBdr>
                  <w:divsChild>
                    <w:div w:id="1415665242">
                      <w:marLeft w:val="0"/>
                      <w:marRight w:val="0"/>
                      <w:marTop w:val="0"/>
                      <w:marBottom w:val="0"/>
                      <w:divBdr>
                        <w:top w:val="none" w:sz="0" w:space="0" w:color="auto"/>
                        <w:left w:val="none" w:sz="0" w:space="0" w:color="auto"/>
                        <w:bottom w:val="none" w:sz="0" w:space="0" w:color="auto"/>
                        <w:right w:val="none" w:sz="0" w:space="0" w:color="auto"/>
                      </w:divBdr>
                      <w:divsChild>
                        <w:div w:id="13222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7102">
              <w:marLeft w:val="0"/>
              <w:marRight w:val="0"/>
              <w:marTop w:val="0"/>
              <w:marBottom w:val="0"/>
              <w:divBdr>
                <w:top w:val="none" w:sz="0" w:space="0" w:color="auto"/>
                <w:left w:val="none" w:sz="0" w:space="0" w:color="auto"/>
                <w:bottom w:val="none" w:sz="0" w:space="0" w:color="auto"/>
                <w:right w:val="none" w:sz="0" w:space="0" w:color="auto"/>
              </w:divBdr>
              <w:divsChild>
                <w:div w:id="480195903">
                  <w:marLeft w:val="0"/>
                  <w:marRight w:val="0"/>
                  <w:marTop w:val="0"/>
                  <w:marBottom w:val="0"/>
                  <w:divBdr>
                    <w:top w:val="none" w:sz="0" w:space="0" w:color="auto"/>
                    <w:left w:val="none" w:sz="0" w:space="0" w:color="auto"/>
                    <w:bottom w:val="none" w:sz="0" w:space="0" w:color="auto"/>
                    <w:right w:val="none" w:sz="0" w:space="0" w:color="auto"/>
                  </w:divBdr>
                  <w:divsChild>
                    <w:div w:id="955792622">
                      <w:marLeft w:val="0"/>
                      <w:marRight w:val="0"/>
                      <w:marTop w:val="0"/>
                      <w:marBottom w:val="0"/>
                      <w:divBdr>
                        <w:top w:val="none" w:sz="0" w:space="0" w:color="auto"/>
                        <w:left w:val="none" w:sz="0" w:space="0" w:color="auto"/>
                        <w:bottom w:val="none" w:sz="0" w:space="0" w:color="auto"/>
                        <w:right w:val="none" w:sz="0" w:space="0" w:color="auto"/>
                      </w:divBdr>
                      <w:divsChild>
                        <w:div w:id="7914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2289">
              <w:marLeft w:val="0"/>
              <w:marRight w:val="0"/>
              <w:marTop w:val="0"/>
              <w:marBottom w:val="0"/>
              <w:divBdr>
                <w:top w:val="none" w:sz="0" w:space="0" w:color="auto"/>
                <w:left w:val="none" w:sz="0" w:space="0" w:color="auto"/>
                <w:bottom w:val="none" w:sz="0" w:space="0" w:color="auto"/>
                <w:right w:val="none" w:sz="0" w:space="0" w:color="auto"/>
              </w:divBdr>
              <w:divsChild>
                <w:div w:id="1468157416">
                  <w:marLeft w:val="0"/>
                  <w:marRight w:val="0"/>
                  <w:marTop w:val="0"/>
                  <w:marBottom w:val="0"/>
                  <w:divBdr>
                    <w:top w:val="none" w:sz="0" w:space="0" w:color="auto"/>
                    <w:left w:val="none" w:sz="0" w:space="0" w:color="auto"/>
                    <w:bottom w:val="none" w:sz="0" w:space="0" w:color="auto"/>
                    <w:right w:val="none" w:sz="0" w:space="0" w:color="auto"/>
                  </w:divBdr>
                  <w:divsChild>
                    <w:div w:id="1416324329">
                      <w:marLeft w:val="0"/>
                      <w:marRight w:val="0"/>
                      <w:marTop w:val="0"/>
                      <w:marBottom w:val="0"/>
                      <w:divBdr>
                        <w:top w:val="none" w:sz="0" w:space="0" w:color="auto"/>
                        <w:left w:val="none" w:sz="0" w:space="0" w:color="auto"/>
                        <w:bottom w:val="none" w:sz="0" w:space="0" w:color="auto"/>
                        <w:right w:val="none" w:sz="0" w:space="0" w:color="auto"/>
                      </w:divBdr>
                      <w:divsChild>
                        <w:div w:id="881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11390">
          <w:marLeft w:val="0"/>
          <w:marRight w:val="0"/>
          <w:marTop w:val="0"/>
          <w:marBottom w:val="0"/>
          <w:divBdr>
            <w:top w:val="none" w:sz="0" w:space="0" w:color="auto"/>
            <w:left w:val="none" w:sz="0" w:space="0" w:color="auto"/>
            <w:bottom w:val="none" w:sz="0" w:space="0" w:color="auto"/>
            <w:right w:val="none" w:sz="0" w:space="0" w:color="auto"/>
          </w:divBdr>
          <w:divsChild>
            <w:div w:id="60951690">
              <w:marLeft w:val="0"/>
              <w:marRight w:val="0"/>
              <w:marTop w:val="0"/>
              <w:marBottom w:val="0"/>
              <w:divBdr>
                <w:top w:val="none" w:sz="0" w:space="0" w:color="auto"/>
                <w:left w:val="none" w:sz="0" w:space="0" w:color="auto"/>
                <w:bottom w:val="none" w:sz="0" w:space="0" w:color="auto"/>
                <w:right w:val="none" w:sz="0" w:space="0" w:color="auto"/>
              </w:divBdr>
              <w:divsChild>
                <w:div w:id="1424955957">
                  <w:marLeft w:val="0"/>
                  <w:marRight w:val="0"/>
                  <w:marTop w:val="0"/>
                  <w:marBottom w:val="0"/>
                  <w:divBdr>
                    <w:top w:val="none" w:sz="0" w:space="0" w:color="auto"/>
                    <w:left w:val="none" w:sz="0" w:space="0" w:color="auto"/>
                    <w:bottom w:val="none" w:sz="0" w:space="0" w:color="auto"/>
                    <w:right w:val="none" w:sz="0" w:space="0" w:color="auto"/>
                  </w:divBdr>
                  <w:divsChild>
                    <w:div w:id="1933277905">
                      <w:marLeft w:val="0"/>
                      <w:marRight w:val="0"/>
                      <w:marTop w:val="0"/>
                      <w:marBottom w:val="0"/>
                      <w:divBdr>
                        <w:top w:val="none" w:sz="0" w:space="0" w:color="auto"/>
                        <w:left w:val="none" w:sz="0" w:space="0" w:color="auto"/>
                        <w:bottom w:val="none" w:sz="0" w:space="0" w:color="auto"/>
                        <w:right w:val="none" w:sz="0" w:space="0" w:color="auto"/>
                      </w:divBdr>
                      <w:divsChild>
                        <w:div w:id="105435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09342">
              <w:marLeft w:val="0"/>
              <w:marRight w:val="0"/>
              <w:marTop w:val="0"/>
              <w:marBottom w:val="0"/>
              <w:divBdr>
                <w:top w:val="none" w:sz="0" w:space="0" w:color="auto"/>
                <w:left w:val="none" w:sz="0" w:space="0" w:color="auto"/>
                <w:bottom w:val="none" w:sz="0" w:space="0" w:color="auto"/>
                <w:right w:val="none" w:sz="0" w:space="0" w:color="auto"/>
              </w:divBdr>
              <w:divsChild>
                <w:div w:id="260845548">
                  <w:marLeft w:val="0"/>
                  <w:marRight w:val="0"/>
                  <w:marTop w:val="0"/>
                  <w:marBottom w:val="0"/>
                  <w:divBdr>
                    <w:top w:val="none" w:sz="0" w:space="0" w:color="auto"/>
                    <w:left w:val="none" w:sz="0" w:space="0" w:color="auto"/>
                    <w:bottom w:val="none" w:sz="0" w:space="0" w:color="auto"/>
                    <w:right w:val="none" w:sz="0" w:space="0" w:color="auto"/>
                  </w:divBdr>
                  <w:divsChild>
                    <w:div w:id="519583438">
                      <w:marLeft w:val="0"/>
                      <w:marRight w:val="0"/>
                      <w:marTop w:val="0"/>
                      <w:marBottom w:val="0"/>
                      <w:divBdr>
                        <w:top w:val="none" w:sz="0" w:space="0" w:color="auto"/>
                        <w:left w:val="none" w:sz="0" w:space="0" w:color="auto"/>
                        <w:bottom w:val="none" w:sz="0" w:space="0" w:color="auto"/>
                        <w:right w:val="none" w:sz="0" w:space="0" w:color="auto"/>
                      </w:divBdr>
                      <w:divsChild>
                        <w:div w:id="21088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63908">
              <w:marLeft w:val="0"/>
              <w:marRight w:val="0"/>
              <w:marTop w:val="0"/>
              <w:marBottom w:val="0"/>
              <w:divBdr>
                <w:top w:val="none" w:sz="0" w:space="0" w:color="auto"/>
                <w:left w:val="none" w:sz="0" w:space="0" w:color="auto"/>
                <w:bottom w:val="none" w:sz="0" w:space="0" w:color="auto"/>
                <w:right w:val="none" w:sz="0" w:space="0" w:color="auto"/>
              </w:divBdr>
              <w:divsChild>
                <w:div w:id="705375382">
                  <w:marLeft w:val="0"/>
                  <w:marRight w:val="0"/>
                  <w:marTop w:val="0"/>
                  <w:marBottom w:val="0"/>
                  <w:divBdr>
                    <w:top w:val="none" w:sz="0" w:space="0" w:color="auto"/>
                    <w:left w:val="none" w:sz="0" w:space="0" w:color="auto"/>
                    <w:bottom w:val="none" w:sz="0" w:space="0" w:color="auto"/>
                    <w:right w:val="none" w:sz="0" w:space="0" w:color="auto"/>
                  </w:divBdr>
                  <w:divsChild>
                    <w:div w:id="1786072534">
                      <w:marLeft w:val="0"/>
                      <w:marRight w:val="0"/>
                      <w:marTop w:val="0"/>
                      <w:marBottom w:val="0"/>
                      <w:divBdr>
                        <w:top w:val="none" w:sz="0" w:space="0" w:color="auto"/>
                        <w:left w:val="none" w:sz="0" w:space="0" w:color="auto"/>
                        <w:bottom w:val="none" w:sz="0" w:space="0" w:color="auto"/>
                        <w:right w:val="none" w:sz="0" w:space="0" w:color="auto"/>
                      </w:divBdr>
                      <w:divsChild>
                        <w:div w:id="18864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39936">
              <w:marLeft w:val="0"/>
              <w:marRight w:val="0"/>
              <w:marTop w:val="0"/>
              <w:marBottom w:val="0"/>
              <w:divBdr>
                <w:top w:val="none" w:sz="0" w:space="0" w:color="auto"/>
                <w:left w:val="none" w:sz="0" w:space="0" w:color="auto"/>
                <w:bottom w:val="none" w:sz="0" w:space="0" w:color="auto"/>
                <w:right w:val="none" w:sz="0" w:space="0" w:color="auto"/>
              </w:divBdr>
              <w:divsChild>
                <w:div w:id="1818498157">
                  <w:marLeft w:val="0"/>
                  <w:marRight w:val="0"/>
                  <w:marTop w:val="0"/>
                  <w:marBottom w:val="0"/>
                  <w:divBdr>
                    <w:top w:val="none" w:sz="0" w:space="0" w:color="auto"/>
                    <w:left w:val="none" w:sz="0" w:space="0" w:color="auto"/>
                    <w:bottom w:val="none" w:sz="0" w:space="0" w:color="auto"/>
                    <w:right w:val="none" w:sz="0" w:space="0" w:color="auto"/>
                  </w:divBdr>
                  <w:divsChild>
                    <w:div w:id="900792683">
                      <w:marLeft w:val="0"/>
                      <w:marRight w:val="0"/>
                      <w:marTop w:val="0"/>
                      <w:marBottom w:val="0"/>
                      <w:divBdr>
                        <w:top w:val="none" w:sz="0" w:space="0" w:color="auto"/>
                        <w:left w:val="none" w:sz="0" w:space="0" w:color="auto"/>
                        <w:bottom w:val="none" w:sz="0" w:space="0" w:color="auto"/>
                        <w:right w:val="none" w:sz="0" w:space="0" w:color="auto"/>
                      </w:divBdr>
                      <w:divsChild>
                        <w:div w:id="1659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85841">
              <w:marLeft w:val="0"/>
              <w:marRight w:val="0"/>
              <w:marTop w:val="0"/>
              <w:marBottom w:val="0"/>
              <w:divBdr>
                <w:top w:val="none" w:sz="0" w:space="0" w:color="auto"/>
                <w:left w:val="none" w:sz="0" w:space="0" w:color="auto"/>
                <w:bottom w:val="none" w:sz="0" w:space="0" w:color="auto"/>
                <w:right w:val="none" w:sz="0" w:space="0" w:color="auto"/>
              </w:divBdr>
              <w:divsChild>
                <w:div w:id="880240149">
                  <w:marLeft w:val="0"/>
                  <w:marRight w:val="0"/>
                  <w:marTop w:val="0"/>
                  <w:marBottom w:val="0"/>
                  <w:divBdr>
                    <w:top w:val="none" w:sz="0" w:space="0" w:color="auto"/>
                    <w:left w:val="none" w:sz="0" w:space="0" w:color="auto"/>
                    <w:bottom w:val="none" w:sz="0" w:space="0" w:color="auto"/>
                    <w:right w:val="none" w:sz="0" w:space="0" w:color="auto"/>
                  </w:divBdr>
                  <w:divsChild>
                    <w:div w:id="1168591351">
                      <w:marLeft w:val="0"/>
                      <w:marRight w:val="0"/>
                      <w:marTop w:val="0"/>
                      <w:marBottom w:val="0"/>
                      <w:divBdr>
                        <w:top w:val="none" w:sz="0" w:space="0" w:color="auto"/>
                        <w:left w:val="none" w:sz="0" w:space="0" w:color="auto"/>
                        <w:bottom w:val="none" w:sz="0" w:space="0" w:color="auto"/>
                        <w:right w:val="none" w:sz="0" w:space="0" w:color="auto"/>
                      </w:divBdr>
                      <w:divsChild>
                        <w:div w:id="544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13984">
              <w:marLeft w:val="0"/>
              <w:marRight w:val="0"/>
              <w:marTop w:val="0"/>
              <w:marBottom w:val="0"/>
              <w:divBdr>
                <w:top w:val="none" w:sz="0" w:space="0" w:color="auto"/>
                <w:left w:val="none" w:sz="0" w:space="0" w:color="auto"/>
                <w:bottom w:val="none" w:sz="0" w:space="0" w:color="auto"/>
                <w:right w:val="none" w:sz="0" w:space="0" w:color="auto"/>
              </w:divBdr>
              <w:divsChild>
                <w:div w:id="596326003">
                  <w:marLeft w:val="0"/>
                  <w:marRight w:val="0"/>
                  <w:marTop w:val="0"/>
                  <w:marBottom w:val="0"/>
                  <w:divBdr>
                    <w:top w:val="none" w:sz="0" w:space="0" w:color="auto"/>
                    <w:left w:val="none" w:sz="0" w:space="0" w:color="auto"/>
                    <w:bottom w:val="none" w:sz="0" w:space="0" w:color="auto"/>
                    <w:right w:val="none" w:sz="0" w:space="0" w:color="auto"/>
                  </w:divBdr>
                  <w:divsChild>
                    <w:div w:id="196047781">
                      <w:marLeft w:val="0"/>
                      <w:marRight w:val="0"/>
                      <w:marTop w:val="0"/>
                      <w:marBottom w:val="0"/>
                      <w:divBdr>
                        <w:top w:val="none" w:sz="0" w:space="0" w:color="auto"/>
                        <w:left w:val="none" w:sz="0" w:space="0" w:color="auto"/>
                        <w:bottom w:val="none" w:sz="0" w:space="0" w:color="auto"/>
                        <w:right w:val="none" w:sz="0" w:space="0" w:color="auto"/>
                      </w:divBdr>
                      <w:divsChild>
                        <w:div w:id="10647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1936">
              <w:marLeft w:val="0"/>
              <w:marRight w:val="0"/>
              <w:marTop w:val="0"/>
              <w:marBottom w:val="0"/>
              <w:divBdr>
                <w:top w:val="none" w:sz="0" w:space="0" w:color="auto"/>
                <w:left w:val="none" w:sz="0" w:space="0" w:color="auto"/>
                <w:bottom w:val="none" w:sz="0" w:space="0" w:color="auto"/>
                <w:right w:val="none" w:sz="0" w:space="0" w:color="auto"/>
              </w:divBdr>
              <w:divsChild>
                <w:div w:id="1644575200">
                  <w:marLeft w:val="0"/>
                  <w:marRight w:val="0"/>
                  <w:marTop w:val="0"/>
                  <w:marBottom w:val="0"/>
                  <w:divBdr>
                    <w:top w:val="none" w:sz="0" w:space="0" w:color="auto"/>
                    <w:left w:val="none" w:sz="0" w:space="0" w:color="auto"/>
                    <w:bottom w:val="none" w:sz="0" w:space="0" w:color="auto"/>
                    <w:right w:val="none" w:sz="0" w:space="0" w:color="auto"/>
                  </w:divBdr>
                  <w:divsChild>
                    <w:div w:id="630526363">
                      <w:marLeft w:val="0"/>
                      <w:marRight w:val="0"/>
                      <w:marTop w:val="0"/>
                      <w:marBottom w:val="0"/>
                      <w:divBdr>
                        <w:top w:val="none" w:sz="0" w:space="0" w:color="auto"/>
                        <w:left w:val="none" w:sz="0" w:space="0" w:color="auto"/>
                        <w:bottom w:val="none" w:sz="0" w:space="0" w:color="auto"/>
                        <w:right w:val="none" w:sz="0" w:space="0" w:color="auto"/>
                      </w:divBdr>
                      <w:divsChild>
                        <w:div w:id="666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152889">
              <w:marLeft w:val="0"/>
              <w:marRight w:val="0"/>
              <w:marTop w:val="0"/>
              <w:marBottom w:val="0"/>
              <w:divBdr>
                <w:top w:val="none" w:sz="0" w:space="0" w:color="auto"/>
                <w:left w:val="none" w:sz="0" w:space="0" w:color="auto"/>
                <w:bottom w:val="none" w:sz="0" w:space="0" w:color="auto"/>
                <w:right w:val="none" w:sz="0" w:space="0" w:color="auto"/>
              </w:divBdr>
              <w:divsChild>
                <w:div w:id="2013408356">
                  <w:marLeft w:val="0"/>
                  <w:marRight w:val="0"/>
                  <w:marTop w:val="0"/>
                  <w:marBottom w:val="0"/>
                  <w:divBdr>
                    <w:top w:val="none" w:sz="0" w:space="0" w:color="auto"/>
                    <w:left w:val="none" w:sz="0" w:space="0" w:color="auto"/>
                    <w:bottom w:val="none" w:sz="0" w:space="0" w:color="auto"/>
                    <w:right w:val="none" w:sz="0" w:space="0" w:color="auto"/>
                  </w:divBdr>
                  <w:divsChild>
                    <w:div w:id="903755933">
                      <w:marLeft w:val="0"/>
                      <w:marRight w:val="0"/>
                      <w:marTop w:val="0"/>
                      <w:marBottom w:val="0"/>
                      <w:divBdr>
                        <w:top w:val="none" w:sz="0" w:space="0" w:color="auto"/>
                        <w:left w:val="none" w:sz="0" w:space="0" w:color="auto"/>
                        <w:bottom w:val="none" w:sz="0" w:space="0" w:color="auto"/>
                        <w:right w:val="none" w:sz="0" w:space="0" w:color="auto"/>
                      </w:divBdr>
                      <w:divsChild>
                        <w:div w:id="3001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861180">
          <w:marLeft w:val="0"/>
          <w:marRight w:val="0"/>
          <w:marTop w:val="0"/>
          <w:marBottom w:val="0"/>
          <w:divBdr>
            <w:top w:val="none" w:sz="0" w:space="0" w:color="auto"/>
            <w:left w:val="none" w:sz="0" w:space="0" w:color="auto"/>
            <w:bottom w:val="none" w:sz="0" w:space="0" w:color="auto"/>
            <w:right w:val="none" w:sz="0" w:space="0" w:color="auto"/>
          </w:divBdr>
          <w:divsChild>
            <w:div w:id="152571193">
              <w:marLeft w:val="0"/>
              <w:marRight w:val="0"/>
              <w:marTop w:val="0"/>
              <w:marBottom w:val="0"/>
              <w:divBdr>
                <w:top w:val="none" w:sz="0" w:space="0" w:color="auto"/>
                <w:left w:val="none" w:sz="0" w:space="0" w:color="auto"/>
                <w:bottom w:val="none" w:sz="0" w:space="0" w:color="auto"/>
                <w:right w:val="none" w:sz="0" w:space="0" w:color="auto"/>
              </w:divBdr>
              <w:divsChild>
                <w:div w:id="1495879636">
                  <w:marLeft w:val="0"/>
                  <w:marRight w:val="0"/>
                  <w:marTop w:val="0"/>
                  <w:marBottom w:val="0"/>
                  <w:divBdr>
                    <w:top w:val="none" w:sz="0" w:space="0" w:color="auto"/>
                    <w:left w:val="none" w:sz="0" w:space="0" w:color="auto"/>
                    <w:bottom w:val="none" w:sz="0" w:space="0" w:color="auto"/>
                    <w:right w:val="none" w:sz="0" w:space="0" w:color="auto"/>
                  </w:divBdr>
                  <w:divsChild>
                    <w:div w:id="212273725">
                      <w:marLeft w:val="0"/>
                      <w:marRight w:val="0"/>
                      <w:marTop w:val="0"/>
                      <w:marBottom w:val="0"/>
                      <w:divBdr>
                        <w:top w:val="none" w:sz="0" w:space="0" w:color="auto"/>
                        <w:left w:val="none" w:sz="0" w:space="0" w:color="auto"/>
                        <w:bottom w:val="none" w:sz="0" w:space="0" w:color="auto"/>
                        <w:right w:val="none" w:sz="0" w:space="0" w:color="auto"/>
                      </w:divBdr>
                      <w:divsChild>
                        <w:div w:id="3732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18699">
              <w:marLeft w:val="0"/>
              <w:marRight w:val="0"/>
              <w:marTop w:val="0"/>
              <w:marBottom w:val="0"/>
              <w:divBdr>
                <w:top w:val="none" w:sz="0" w:space="0" w:color="auto"/>
                <w:left w:val="none" w:sz="0" w:space="0" w:color="auto"/>
                <w:bottom w:val="none" w:sz="0" w:space="0" w:color="auto"/>
                <w:right w:val="none" w:sz="0" w:space="0" w:color="auto"/>
              </w:divBdr>
              <w:divsChild>
                <w:div w:id="831801166">
                  <w:marLeft w:val="0"/>
                  <w:marRight w:val="0"/>
                  <w:marTop w:val="0"/>
                  <w:marBottom w:val="0"/>
                  <w:divBdr>
                    <w:top w:val="none" w:sz="0" w:space="0" w:color="auto"/>
                    <w:left w:val="none" w:sz="0" w:space="0" w:color="auto"/>
                    <w:bottom w:val="none" w:sz="0" w:space="0" w:color="auto"/>
                    <w:right w:val="none" w:sz="0" w:space="0" w:color="auto"/>
                  </w:divBdr>
                  <w:divsChild>
                    <w:div w:id="735398852">
                      <w:marLeft w:val="0"/>
                      <w:marRight w:val="0"/>
                      <w:marTop w:val="0"/>
                      <w:marBottom w:val="0"/>
                      <w:divBdr>
                        <w:top w:val="none" w:sz="0" w:space="0" w:color="auto"/>
                        <w:left w:val="none" w:sz="0" w:space="0" w:color="auto"/>
                        <w:bottom w:val="none" w:sz="0" w:space="0" w:color="auto"/>
                        <w:right w:val="none" w:sz="0" w:space="0" w:color="auto"/>
                      </w:divBdr>
                      <w:divsChild>
                        <w:div w:id="12463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3531">
              <w:marLeft w:val="0"/>
              <w:marRight w:val="0"/>
              <w:marTop w:val="0"/>
              <w:marBottom w:val="0"/>
              <w:divBdr>
                <w:top w:val="none" w:sz="0" w:space="0" w:color="auto"/>
                <w:left w:val="none" w:sz="0" w:space="0" w:color="auto"/>
                <w:bottom w:val="none" w:sz="0" w:space="0" w:color="auto"/>
                <w:right w:val="none" w:sz="0" w:space="0" w:color="auto"/>
              </w:divBdr>
              <w:divsChild>
                <w:div w:id="2031905666">
                  <w:marLeft w:val="0"/>
                  <w:marRight w:val="0"/>
                  <w:marTop w:val="0"/>
                  <w:marBottom w:val="0"/>
                  <w:divBdr>
                    <w:top w:val="none" w:sz="0" w:space="0" w:color="auto"/>
                    <w:left w:val="none" w:sz="0" w:space="0" w:color="auto"/>
                    <w:bottom w:val="none" w:sz="0" w:space="0" w:color="auto"/>
                    <w:right w:val="none" w:sz="0" w:space="0" w:color="auto"/>
                  </w:divBdr>
                  <w:divsChild>
                    <w:div w:id="1160266930">
                      <w:marLeft w:val="0"/>
                      <w:marRight w:val="0"/>
                      <w:marTop w:val="0"/>
                      <w:marBottom w:val="0"/>
                      <w:divBdr>
                        <w:top w:val="none" w:sz="0" w:space="0" w:color="auto"/>
                        <w:left w:val="none" w:sz="0" w:space="0" w:color="auto"/>
                        <w:bottom w:val="none" w:sz="0" w:space="0" w:color="auto"/>
                        <w:right w:val="none" w:sz="0" w:space="0" w:color="auto"/>
                      </w:divBdr>
                      <w:divsChild>
                        <w:div w:id="18946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364028">
              <w:marLeft w:val="0"/>
              <w:marRight w:val="0"/>
              <w:marTop w:val="0"/>
              <w:marBottom w:val="0"/>
              <w:divBdr>
                <w:top w:val="none" w:sz="0" w:space="0" w:color="auto"/>
                <w:left w:val="none" w:sz="0" w:space="0" w:color="auto"/>
                <w:bottom w:val="none" w:sz="0" w:space="0" w:color="auto"/>
                <w:right w:val="none" w:sz="0" w:space="0" w:color="auto"/>
              </w:divBdr>
              <w:divsChild>
                <w:div w:id="2139836606">
                  <w:marLeft w:val="0"/>
                  <w:marRight w:val="0"/>
                  <w:marTop w:val="0"/>
                  <w:marBottom w:val="0"/>
                  <w:divBdr>
                    <w:top w:val="none" w:sz="0" w:space="0" w:color="auto"/>
                    <w:left w:val="none" w:sz="0" w:space="0" w:color="auto"/>
                    <w:bottom w:val="none" w:sz="0" w:space="0" w:color="auto"/>
                    <w:right w:val="none" w:sz="0" w:space="0" w:color="auto"/>
                  </w:divBdr>
                  <w:divsChild>
                    <w:div w:id="1131945506">
                      <w:marLeft w:val="0"/>
                      <w:marRight w:val="0"/>
                      <w:marTop w:val="0"/>
                      <w:marBottom w:val="0"/>
                      <w:divBdr>
                        <w:top w:val="none" w:sz="0" w:space="0" w:color="auto"/>
                        <w:left w:val="none" w:sz="0" w:space="0" w:color="auto"/>
                        <w:bottom w:val="none" w:sz="0" w:space="0" w:color="auto"/>
                        <w:right w:val="none" w:sz="0" w:space="0" w:color="auto"/>
                      </w:divBdr>
                      <w:divsChild>
                        <w:div w:id="11993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6665">
              <w:marLeft w:val="0"/>
              <w:marRight w:val="0"/>
              <w:marTop w:val="0"/>
              <w:marBottom w:val="0"/>
              <w:divBdr>
                <w:top w:val="none" w:sz="0" w:space="0" w:color="auto"/>
                <w:left w:val="none" w:sz="0" w:space="0" w:color="auto"/>
                <w:bottom w:val="none" w:sz="0" w:space="0" w:color="auto"/>
                <w:right w:val="none" w:sz="0" w:space="0" w:color="auto"/>
              </w:divBdr>
              <w:divsChild>
                <w:div w:id="757793156">
                  <w:marLeft w:val="0"/>
                  <w:marRight w:val="0"/>
                  <w:marTop w:val="0"/>
                  <w:marBottom w:val="0"/>
                  <w:divBdr>
                    <w:top w:val="none" w:sz="0" w:space="0" w:color="auto"/>
                    <w:left w:val="none" w:sz="0" w:space="0" w:color="auto"/>
                    <w:bottom w:val="none" w:sz="0" w:space="0" w:color="auto"/>
                    <w:right w:val="none" w:sz="0" w:space="0" w:color="auto"/>
                  </w:divBdr>
                  <w:divsChild>
                    <w:div w:id="1430472109">
                      <w:marLeft w:val="0"/>
                      <w:marRight w:val="0"/>
                      <w:marTop w:val="0"/>
                      <w:marBottom w:val="0"/>
                      <w:divBdr>
                        <w:top w:val="none" w:sz="0" w:space="0" w:color="auto"/>
                        <w:left w:val="none" w:sz="0" w:space="0" w:color="auto"/>
                        <w:bottom w:val="none" w:sz="0" w:space="0" w:color="auto"/>
                        <w:right w:val="none" w:sz="0" w:space="0" w:color="auto"/>
                      </w:divBdr>
                      <w:divsChild>
                        <w:div w:id="3301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61735">
              <w:marLeft w:val="0"/>
              <w:marRight w:val="0"/>
              <w:marTop w:val="0"/>
              <w:marBottom w:val="0"/>
              <w:divBdr>
                <w:top w:val="none" w:sz="0" w:space="0" w:color="auto"/>
                <w:left w:val="none" w:sz="0" w:space="0" w:color="auto"/>
                <w:bottom w:val="none" w:sz="0" w:space="0" w:color="auto"/>
                <w:right w:val="none" w:sz="0" w:space="0" w:color="auto"/>
              </w:divBdr>
              <w:divsChild>
                <w:div w:id="1715958580">
                  <w:marLeft w:val="0"/>
                  <w:marRight w:val="0"/>
                  <w:marTop w:val="0"/>
                  <w:marBottom w:val="0"/>
                  <w:divBdr>
                    <w:top w:val="none" w:sz="0" w:space="0" w:color="auto"/>
                    <w:left w:val="none" w:sz="0" w:space="0" w:color="auto"/>
                    <w:bottom w:val="none" w:sz="0" w:space="0" w:color="auto"/>
                    <w:right w:val="none" w:sz="0" w:space="0" w:color="auto"/>
                  </w:divBdr>
                  <w:divsChild>
                    <w:div w:id="274672762">
                      <w:marLeft w:val="0"/>
                      <w:marRight w:val="0"/>
                      <w:marTop w:val="0"/>
                      <w:marBottom w:val="0"/>
                      <w:divBdr>
                        <w:top w:val="none" w:sz="0" w:space="0" w:color="auto"/>
                        <w:left w:val="none" w:sz="0" w:space="0" w:color="auto"/>
                        <w:bottom w:val="none" w:sz="0" w:space="0" w:color="auto"/>
                        <w:right w:val="none" w:sz="0" w:space="0" w:color="auto"/>
                      </w:divBdr>
                      <w:divsChild>
                        <w:div w:id="17894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9053">
              <w:marLeft w:val="0"/>
              <w:marRight w:val="0"/>
              <w:marTop w:val="0"/>
              <w:marBottom w:val="0"/>
              <w:divBdr>
                <w:top w:val="none" w:sz="0" w:space="0" w:color="auto"/>
                <w:left w:val="none" w:sz="0" w:space="0" w:color="auto"/>
                <w:bottom w:val="none" w:sz="0" w:space="0" w:color="auto"/>
                <w:right w:val="none" w:sz="0" w:space="0" w:color="auto"/>
              </w:divBdr>
              <w:divsChild>
                <w:div w:id="1687630432">
                  <w:marLeft w:val="0"/>
                  <w:marRight w:val="0"/>
                  <w:marTop w:val="0"/>
                  <w:marBottom w:val="0"/>
                  <w:divBdr>
                    <w:top w:val="none" w:sz="0" w:space="0" w:color="auto"/>
                    <w:left w:val="none" w:sz="0" w:space="0" w:color="auto"/>
                    <w:bottom w:val="none" w:sz="0" w:space="0" w:color="auto"/>
                    <w:right w:val="none" w:sz="0" w:space="0" w:color="auto"/>
                  </w:divBdr>
                  <w:divsChild>
                    <w:div w:id="607547225">
                      <w:marLeft w:val="0"/>
                      <w:marRight w:val="0"/>
                      <w:marTop w:val="0"/>
                      <w:marBottom w:val="0"/>
                      <w:divBdr>
                        <w:top w:val="none" w:sz="0" w:space="0" w:color="auto"/>
                        <w:left w:val="none" w:sz="0" w:space="0" w:color="auto"/>
                        <w:bottom w:val="none" w:sz="0" w:space="0" w:color="auto"/>
                        <w:right w:val="none" w:sz="0" w:space="0" w:color="auto"/>
                      </w:divBdr>
                      <w:divsChild>
                        <w:div w:id="1078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00699">
              <w:marLeft w:val="0"/>
              <w:marRight w:val="0"/>
              <w:marTop w:val="0"/>
              <w:marBottom w:val="0"/>
              <w:divBdr>
                <w:top w:val="none" w:sz="0" w:space="0" w:color="auto"/>
                <w:left w:val="none" w:sz="0" w:space="0" w:color="auto"/>
                <w:bottom w:val="none" w:sz="0" w:space="0" w:color="auto"/>
                <w:right w:val="none" w:sz="0" w:space="0" w:color="auto"/>
              </w:divBdr>
              <w:divsChild>
                <w:div w:id="1939022865">
                  <w:marLeft w:val="0"/>
                  <w:marRight w:val="0"/>
                  <w:marTop w:val="0"/>
                  <w:marBottom w:val="0"/>
                  <w:divBdr>
                    <w:top w:val="none" w:sz="0" w:space="0" w:color="auto"/>
                    <w:left w:val="none" w:sz="0" w:space="0" w:color="auto"/>
                    <w:bottom w:val="none" w:sz="0" w:space="0" w:color="auto"/>
                    <w:right w:val="none" w:sz="0" w:space="0" w:color="auto"/>
                  </w:divBdr>
                  <w:divsChild>
                    <w:div w:id="545921145">
                      <w:marLeft w:val="0"/>
                      <w:marRight w:val="0"/>
                      <w:marTop w:val="0"/>
                      <w:marBottom w:val="0"/>
                      <w:divBdr>
                        <w:top w:val="none" w:sz="0" w:space="0" w:color="auto"/>
                        <w:left w:val="none" w:sz="0" w:space="0" w:color="auto"/>
                        <w:bottom w:val="none" w:sz="0" w:space="0" w:color="auto"/>
                        <w:right w:val="none" w:sz="0" w:space="0" w:color="auto"/>
                      </w:divBdr>
                      <w:divsChild>
                        <w:div w:id="10565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8019">
              <w:marLeft w:val="0"/>
              <w:marRight w:val="0"/>
              <w:marTop w:val="0"/>
              <w:marBottom w:val="0"/>
              <w:divBdr>
                <w:top w:val="none" w:sz="0" w:space="0" w:color="auto"/>
                <w:left w:val="none" w:sz="0" w:space="0" w:color="auto"/>
                <w:bottom w:val="none" w:sz="0" w:space="0" w:color="auto"/>
                <w:right w:val="none" w:sz="0" w:space="0" w:color="auto"/>
              </w:divBdr>
              <w:divsChild>
                <w:div w:id="942226124">
                  <w:marLeft w:val="0"/>
                  <w:marRight w:val="0"/>
                  <w:marTop w:val="0"/>
                  <w:marBottom w:val="0"/>
                  <w:divBdr>
                    <w:top w:val="none" w:sz="0" w:space="0" w:color="auto"/>
                    <w:left w:val="none" w:sz="0" w:space="0" w:color="auto"/>
                    <w:bottom w:val="none" w:sz="0" w:space="0" w:color="auto"/>
                    <w:right w:val="none" w:sz="0" w:space="0" w:color="auto"/>
                  </w:divBdr>
                  <w:divsChild>
                    <w:div w:id="1837334368">
                      <w:marLeft w:val="0"/>
                      <w:marRight w:val="0"/>
                      <w:marTop w:val="0"/>
                      <w:marBottom w:val="0"/>
                      <w:divBdr>
                        <w:top w:val="none" w:sz="0" w:space="0" w:color="auto"/>
                        <w:left w:val="none" w:sz="0" w:space="0" w:color="auto"/>
                        <w:bottom w:val="none" w:sz="0" w:space="0" w:color="auto"/>
                        <w:right w:val="none" w:sz="0" w:space="0" w:color="auto"/>
                      </w:divBdr>
                      <w:divsChild>
                        <w:div w:id="10617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7457">
              <w:marLeft w:val="0"/>
              <w:marRight w:val="0"/>
              <w:marTop w:val="0"/>
              <w:marBottom w:val="0"/>
              <w:divBdr>
                <w:top w:val="none" w:sz="0" w:space="0" w:color="auto"/>
                <w:left w:val="none" w:sz="0" w:space="0" w:color="auto"/>
                <w:bottom w:val="none" w:sz="0" w:space="0" w:color="auto"/>
                <w:right w:val="none" w:sz="0" w:space="0" w:color="auto"/>
              </w:divBdr>
              <w:divsChild>
                <w:div w:id="1260529738">
                  <w:marLeft w:val="0"/>
                  <w:marRight w:val="0"/>
                  <w:marTop w:val="0"/>
                  <w:marBottom w:val="0"/>
                  <w:divBdr>
                    <w:top w:val="none" w:sz="0" w:space="0" w:color="auto"/>
                    <w:left w:val="none" w:sz="0" w:space="0" w:color="auto"/>
                    <w:bottom w:val="none" w:sz="0" w:space="0" w:color="auto"/>
                    <w:right w:val="none" w:sz="0" w:space="0" w:color="auto"/>
                  </w:divBdr>
                  <w:divsChild>
                    <w:div w:id="1648431404">
                      <w:marLeft w:val="0"/>
                      <w:marRight w:val="0"/>
                      <w:marTop w:val="0"/>
                      <w:marBottom w:val="0"/>
                      <w:divBdr>
                        <w:top w:val="none" w:sz="0" w:space="0" w:color="auto"/>
                        <w:left w:val="none" w:sz="0" w:space="0" w:color="auto"/>
                        <w:bottom w:val="none" w:sz="0" w:space="0" w:color="auto"/>
                        <w:right w:val="none" w:sz="0" w:space="0" w:color="auto"/>
                      </w:divBdr>
                      <w:divsChild>
                        <w:div w:id="13786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11388">
              <w:marLeft w:val="0"/>
              <w:marRight w:val="0"/>
              <w:marTop w:val="0"/>
              <w:marBottom w:val="0"/>
              <w:divBdr>
                <w:top w:val="none" w:sz="0" w:space="0" w:color="auto"/>
                <w:left w:val="none" w:sz="0" w:space="0" w:color="auto"/>
                <w:bottom w:val="none" w:sz="0" w:space="0" w:color="auto"/>
                <w:right w:val="none" w:sz="0" w:space="0" w:color="auto"/>
              </w:divBdr>
              <w:divsChild>
                <w:div w:id="807868022">
                  <w:marLeft w:val="0"/>
                  <w:marRight w:val="0"/>
                  <w:marTop w:val="0"/>
                  <w:marBottom w:val="0"/>
                  <w:divBdr>
                    <w:top w:val="none" w:sz="0" w:space="0" w:color="auto"/>
                    <w:left w:val="none" w:sz="0" w:space="0" w:color="auto"/>
                    <w:bottom w:val="none" w:sz="0" w:space="0" w:color="auto"/>
                    <w:right w:val="none" w:sz="0" w:space="0" w:color="auto"/>
                  </w:divBdr>
                  <w:divsChild>
                    <w:div w:id="320088218">
                      <w:marLeft w:val="0"/>
                      <w:marRight w:val="0"/>
                      <w:marTop w:val="0"/>
                      <w:marBottom w:val="0"/>
                      <w:divBdr>
                        <w:top w:val="none" w:sz="0" w:space="0" w:color="auto"/>
                        <w:left w:val="none" w:sz="0" w:space="0" w:color="auto"/>
                        <w:bottom w:val="none" w:sz="0" w:space="0" w:color="auto"/>
                        <w:right w:val="none" w:sz="0" w:space="0" w:color="auto"/>
                      </w:divBdr>
                      <w:divsChild>
                        <w:div w:id="13922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24039">
              <w:marLeft w:val="0"/>
              <w:marRight w:val="0"/>
              <w:marTop w:val="0"/>
              <w:marBottom w:val="0"/>
              <w:divBdr>
                <w:top w:val="none" w:sz="0" w:space="0" w:color="auto"/>
                <w:left w:val="none" w:sz="0" w:space="0" w:color="auto"/>
                <w:bottom w:val="none" w:sz="0" w:space="0" w:color="auto"/>
                <w:right w:val="none" w:sz="0" w:space="0" w:color="auto"/>
              </w:divBdr>
              <w:divsChild>
                <w:div w:id="1214080522">
                  <w:marLeft w:val="0"/>
                  <w:marRight w:val="0"/>
                  <w:marTop w:val="0"/>
                  <w:marBottom w:val="0"/>
                  <w:divBdr>
                    <w:top w:val="none" w:sz="0" w:space="0" w:color="auto"/>
                    <w:left w:val="none" w:sz="0" w:space="0" w:color="auto"/>
                    <w:bottom w:val="none" w:sz="0" w:space="0" w:color="auto"/>
                    <w:right w:val="none" w:sz="0" w:space="0" w:color="auto"/>
                  </w:divBdr>
                  <w:divsChild>
                    <w:div w:id="1658267065">
                      <w:marLeft w:val="0"/>
                      <w:marRight w:val="0"/>
                      <w:marTop w:val="0"/>
                      <w:marBottom w:val="0"/>
                      <w:divBdr>
                        <w:top w:val="none" w:sz="0" w:space="0" w:color="auto"/>
                        <w:left w:val="none" w:sz="0" w:space="0" w:color="auto"/>
                        <w:bottom w:val="none" w:sz="0" w:space="0" w:color="auto"/>
                        <w:right w:val="none" w:sz="0" w:space="0" w:color="auto"/>
                      </w:divBdr>
                      <w:divsChild>
                        <w:div w:id="1621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00051">
              <w:marLeft w:val="0"/>
              <w:marRight w:val="0"/>
              <w:marTop w:val="0"/>
              <w:marBottom w:val="0"/>
              <w:divBdr>
                <w:top w:val="none" w:sz="0" w:space="0" w:color="auto"/>
                <w:left w:val="none" w:sz="0" w:space="0" w:color="auto"/>
                <w:bottom w:val="none" w:sz="0" w:space="0" w:color="auto"/>
                <w:right w:val="none" w:sz="0" w:space="0" w:color="auto"/>
              </w:divBdr>
              <w:divsChild>
                <w:div w:id="538788660">
                  <w:marLeft w:val="0"/>
                  <w:marRight w:val="0"/>
                  <w:marTop w:val="0"/>
                  <w:marBottom w:val="0"/>
                  <w:divBdr>
                    <w:top w:val="none" w:sz="0" w:space="0" w:color="auto"/>
                    <w:left w:val="none" w:sz="0" w:space="0" w:color="auto"/>
                    <w:bottom w:val="none" w:sz="0" w:space="0" w:color="auto"/>
                    <w:right w:val="none" w:sz="0" w:space="0" w:color="auto"/>
                  </w:divBdr>
                  <w:divsChild>
                    <w:div w:id="1446391662">
                      <w:marLeft w:val="0"/>
                      <w:marRight w:val="0"/>
                      <w:marTop w:val="0"/>
                      <w:marBottom w:val="0"/>
                      <w:divBdr>
                        <w:top w:val="none" w:sz="0" w:space="0" w:color="auto"/>
                        <w:left w:val="none" w:sz="0" w:space="0" w:color="auto"/>
                        <w:bottom w:val="none" w:sz="0" w:space="0" w:color="auto"/>
                        <w:right w:val="none" w:sz="0" w:space="0" w:color="auto"/>
                      </w:divBdr>
                      <w:divsChild>
                        <w:div w:id="4071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501">
              <w:marLeft w:val="0"/>
              <w:marRight w:val="0"/>
              <w:marTop w:val="0"/>
              <w:marBottom w:val="0"/>
              <w:divBdr>
                <w:top w:val="none" w:sz="0" w:space="0" w:color="auto"/>
                <w:left w:val="none" w:sz="0" w:space="0" w:color="auto"/>
                <w:bottom w:val="none" w:sz="0" w:space="0" w:color="auto"/>
                <w:right w:val="none" w:sz="0" w:space="0" w:color="auto"/>
              </w:divBdr>
              <w:divsChild>
                <w:div w:id="65811826">
                  <w:marLeft w:val="0"/>
                  <w:marRight w:val="0"/>
                  <w:marTop w:val="0"/>
                  <w:marBottom w:val="0"/>
                  <w:divBdr>
                    <w:top w:val="none" w:sz="0" w:space="0" w:color="auto"/>
                    <w:left w:val="none" w:sz="0" w:space="0" w:color="auto"/>
                    <w:bottom w:val="none" w:sz="0" w:space="0" w:color="auto"/>
                    <w:right w:val="none" w:sz="0" w:space="0" w:color="auto"/>
                  </w:divBdr>
                  <w:divsChild>
                    <w:div w:id="1210843213">
                      <w:marLeft w:val="0"/>
                      <w:marRight w:val="0"/>
                      <w:marTop w:val="0"/>
                      <w:marBottom w:val="0"/>
                      <w:divBdr>
                        <w:top w:val="none" w:sz="0" w:space="0" w:color="auto"/>
                        <w:left w:val="none" w:sz="0" w:space="0" w:color="auto"/>
                        <w:bottom w:val="none" w:sz="0" w:space="0" w:color="auto"/>
                        <w:right w:val="none" w:sz="0" w:space="0" w:color="auto"/>
                      </w:divBdr>
                      <w:divsChild>
                        <w:div w:id="7366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6333">
              <w:marLeft w:val="0"/>
              <w:marRight w:val="0"/>
              <w:marTop w:val="0"/>
              <w:marBottom w:val="0"/>
              <w:divBdr>
                <w:top w:val="none" w:sz="0" w:space="0" w:color="auto"/>
                <w:left w:val="none" w:sz="0" w:space="0" w:color="auto"/>
                <w:bottom w:val="none" w:sz="0" w:space="0" w:color="auto"/>
                <w:right w:val="none" w:sz="0" w:space="0" w:color="auto"/>
              </w:divBdr>
              <w:divsChild>
                <w:div w:id="38285175">
                  <w:marLeft w:val="0"/>
                  <w:marRight w:val="0"/>
                  <w:marTop w:val="0"/>
                  <w:marBottom w:val="0"/>
                  <w:divBdr>
                    <w:top w:val="none" w:sz="0" w:space="0" w:color="auto"/>
                    <w:left w:val="none" w:sz="0" w:space="0" w:color="auto"/>
                    <w:bottom w:val="none" w:sz="0" w:space="0" w:color="auto"/>
                    <w:right w:val="none" w:sz="0" w:space="0" w:color="auto"/>
                  </w:divBdr>
                  <w:divsChild>
                    <w:div w:id="1406028705">
                      <w:marLeft w:val="0"/>
                      <w:marRight w:val="0"/>
                      <w:marTop w:val="0"/>
                      <w:marBottom w:val="0"/>
                      <w:divBdr>
                        <w:top w:val="none" w:sz="0" w:space="0" w:color="auto"/>
                        <w:left w:val="none" w:sz="0" w:space="0" w:color="auto"/>
                        <w:bottom w:val="none" w:sz="0" w:space="0" w:color="auto"/>
                        <w:right w:val="none" w:sz="0" w:space="0" w:color="auto"/>
                      </w:divBdr>
                      <w:divsChild>
                        <w:div w:id="13556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51480">
              <w:marLeft w:val="0"/>
              <w:marRight w:val="0"/>
              <w:marTop w:val="0"/>
              <w:marBottom w:val="0"/>
              <w:divBdr>
                <w:top w:val="none" w:sz="0" w:space="0" w:color="auto"/>
                <w:left w:val="none" w:sz="0" w:space="0" w:color="auto"/>
                <w:bottom w:val="none" w:sz="0" w:space="0" w:color="auto"/>
                <w:right w:val="none" w:sz="0" w:space="0" w:color="auto"/>
              </w:divBdr>
              <w:divsChild>
                <w:div w:id="108621995">
                  <w:marLeft w:val="0"/>
                  <w:marRight w:val="0"/>
                  <w:marTop w:val="0"/>
                  <w:marBottom w:val="0"/>
                  <w:divBdr>
                    <w:top w:val="none" w:sz="0" w:space="0" w:color="auto"/>
                    <w:left w:val="none" w:sz="0" w:space="0" w:color="auto"/>
                    <w:bottom w:val="none" w:sz="0" w:space="0" w:color="auto"/>
                    <w:right w:val="none" w:sz="0" w:space="0" w:color="auto"/>
                  </w:divBdr>
                  <w:divsChild>
                    <w:div w:id="1304578523">
                      <w:marLeft w:val="0"/>
                      <w:marRight w:val="0"/>
                      <w:marTop w:val="0"/>
                      <w:marBottom w:val="0"/>
                      <w:divBdr>
                        <w:top w:val="none" w:sz="0" w:space="0" w:color="auto"/>
                        <w:left w:val="none" w:sz="0" w:space="0" w:color="auto"/>
                        <w:bottom w:val="none" w:sz="0" w:space="0" w:color="auto"/>
                        <w:right w:val="none" w:sz="0" w:space="0" w:color="auto"/>
                      </w:divBdr>
                      <w:divsChild>
                        <w:div w:id="12092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6519">
          <w:marLeft w:val="0"/>
          <w:marRight w:val="0"/>
          <w:marTop w:val="0"/>
          <w:marBottom w:val="0"/>
          <w:divBdr>
            <w:top w:val="none" w:sz="0" w:space="0" w:color="auto"/>
            <w:left w:val="none" w:sz="0" w:space="0" w:color="auto"/>
            <w:bottom w:val="none" w:sz="0" w:space="0" w:color="auto"/>
            <w:right w:val="none" w:sz="0" w:space="0" w:color="auto"/>
          </w:divBdr>
          <w:divsChild>
            <w:div w:id="414480745">
              <w:marLeft w:val="0"/>
              <w:marRight w:val="0"/>
              <w:marTop w:val="0"/>
              <w:marBottom w:val="0"/>
              <w:divBdr>
                <w:top w:val="none" w:sz="0" w:space="0" w:color="auto"/>
                <w:left w:val="none" w:sz="0" w:space="0" w:color="auto"/>
                <w:bottom w:val="none" w:sz="0" w:space="0" w:color="auto"/>
                <w:right w:val="none" w:sz="0" w:space="0" w:color="auto"/>
              </w:divBdr>
              <w:divsChild>
                <w:div w:id="342438569">
                  <w:marLeft w:val="0"/>
                  <w:marRight w:val="0"/>
                  <w:marTop w:val="0"/>
                  <w:marBottom w:val="0"/>
                  <w:divBdr>
                    <w:top w:val="none" w:sz="0" w:space="0" w:color="auto"/>
                    <w:left w:val="none" w:sz="0" w:space="0" w:color="auto"/>
                    <w:bottom w:val="none" w:sz="0" w:space="0" w:color="auto"/>
                    <w:right w:val="none" w:sz="0" w:space="0" w:color="auto"/>
                  </w:divBdr>
                  <w:divsChild>
                    <w:div w:id="622224828">
                      <w:marLeft w:val="0"/>
                      <w:marRight w:val="0"/>
                      <w:marTop w:val="0"/>
                      <w:marBottom w:val="0"/>
                      <w:divBdr>
                        <w:top w:val="none" w:sz="0" w:space="0" w:color="auto"/>
                        <w:left w:val="none" w:sz="0" w:space="0" w:color="auto"/>
                        <w:bottom w:val="none" w:sz="0" w:space="0" w:color="auto"/>
                        <w:right w:val="none" w:sz="0" w:space="0" w:color="auto"/>
                      </w:divBdr>
                      <w:divsChild>
                        <w:div w:id="9526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6798">
              <w:marLeft w:val="0"/>
              <w:marRight w:val="0"/>
              <w:marTop w:val="0"/>
              <w:marBottom w:val="0"/>
              <w:divBdr>
                <w:top w:val="none" w:sz="0" w:space="0" w:color="auto"/>
                <w:left w:val="none" w:sz="0" w:space="0" w:color="auto"/>
                <w:bottom w:val="none" w:sz="0" w:space="0" w:color="auto"/>
                <w:right w:val="none" w:sz="0" w:space="0" w:color="auto"/>
              </w:divBdr>
              <w:divsChild>
                <w:div w:id="327682910">
                  <w:marLeft w:val="0"/>
                  <w:marRight w:val="0"/>
                  <w:marTop w:val="0"/>
                  <w:marBottom w:val="0"/>
                  <w:divBdr>
                    <w:top w:val="none" w:sz="0" w:space="0" w:color="auto"/>
                    <w:left w:val="none" w:sz="0" w:space="0" w:color="auto"/>
                    <w:bottom w:val="none" w:sz="0" w:space="0" w:color="auto"/>
                    <w:right w:val="none" w:sz="0" w:space="0" w:color="auto"/>
                  </w:divBdr>
                  <w:divsChild>
                    <w:div w:id="714355706">
                      <w:marLeft w:val="0"/>
                      <w:marRight w:val="0"/>
                      <w:marTop w:val="0"/>
                      <w:marBottom w:val="0"/>
                      <w:divBdr>
                        <w:top w:val="none" w:sz="0" w:space="0" w:color="auto"/>
                        <w:left w:val="none" w:sz="0" w:space="0" w:color="auto"/>
                        <w:bottom w:val="none" w:sz="0" w:space="0" w:color="auto"/>
                        <w:right w:val="none" w:sz="0" w:space="0" w:color="auto"/>
                      </w:divBdr>
                      <w:divsChild>
                        <w:div w:id="16928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78483">
              <w:marLeft w:val="0"/>
              <w:marRight w:val="0"/>
              <w:marTop w:val="0"/>
              <w:marBottom w:val="0"/>
              <w:divBdr>
                <w:top w:val="none" w:sz="0" w:space="0" w:color="auto"/>
                <w:left w:val="none" w:sz="0" w:space="0" w:color="auto"/>
                <w:bottom w:val="none" w:sz="0" w:space="0" w:color="auto"/>
                <w:right w:val="none" w:sz="0" w:space="0" w:color="auto"/>
              </w:divBdr>
              <w:divsChild>
                <w:div w:id="529537000">
                  <w:marLeft w:val="0"/>
                  <w:marRight w:val="0"/>
                  <w:marTop w:val="0"/>
                  <w:marBottom w:val="0"/>
                  <w:divBdr>
                    <w:top w:val="none" w:sz="0" w:space="0" w:color="auto"/>
                    <w:left w:val="none" w:sz="0" w:space="0" w:color="auto"/>
                    <w:bottom w:val="none" w:sz="0" w:space="0" w:color="auto"/>
                    <w:right w:val="none" w:sz="0" w:space="0" w:color="auto"/>
                  </w:divBdr>
                  <w:divsChild>
                    <w:div w:id="2045665040">
                      <w:marLeft w:val="0"/>
                      <w:marRight w:val="0"/>
                      <w:marTop w:val="0"/>
                      <w:marBottom w:val="0"/>
                      <w:divBdr>
                        <w:top w:val="none" w:sz="0" w:space="0" w:color="auto"/>
                        <w:left w:val="none" w:sz="0" w:space="0" w:color="auto"/>
                        <w:bottom w:val="none" w:sz="0" w:space="0" w:color="auto"/>
                        <w:right w:val="none" w:sz="0" w:space="0" w:color="auto"/>
                      </w:divBdr>
                      <w:divsChild>
                        <w:div w:id="3609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8097">
              <w:marLeft w:val="0"/>
              <w:marRight w:val="0"/>
              <w:marTop w:val="0"/>
              <w:marBottom w:val="0"/>
              <w:divBdr>
                <w:top w:val="none" w:sz="0" w:space="0" w:color="auto"/>
                <w:left w:val="none" w:sz="0" w:space="0" w:color="auto"/>
                <w:bottom w:val="none" w:sz="0" w:space="0" w:color="auto"/>
                <w:right w:val="none" w:sz="0" w:space="0" w:color="auto"/>
              </w:divBdr>
              <w:divsChild>
                <w:div w:id="98377903">
                  <w:marLeft w:val="0"/>
                  <w:marRight w:val="0"/>
                  <w:marTop w:val="0"/>
                  <w:marBottom w:val="0"/>
                  <w:divBdr>
                    <w:top w:val="none" w:sz="0" w:space="0" w:color="auto"/>
                    <w:left w:val="none" w:sz="0" w:space="0" w:color="auto"/>
                    <w:bottom w:val="none" w:sz="0" w:space="0" w:color="auto"/>
                    <w:right w:val="none" w:sz="0" w:space="0" w:color="auto"/>
                  </w:divBdr>
                  <w:divsChild>
                    <w:div w:id="242182034">
                      <w:marLeft w:val="0"/>
                      <w:marRight w:val="0"/>
                      <w:marTop w:val="0"/>
                      <w:marBottom w:val="0"/>
                      <w:divBdr>
                        <w:top w:val="none" w:sz="0" w:space="0" w:color="auto"/>
                        <w:left w:val="none" w:sz="0" w:space="0" w:color="auto"/>
                        <w:bottom w:val="none" w:sz="0" w:space="0" w:color="auto"/>
                        <w:right w:val="none" w:sz="0" w:space="0" w:color="auto"/>
                      </w:divBdr>
                      <w:divsChild>
                        <w:div w:id="15511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339453">
          <w:marLeft w:val="0"/>
          <w:marRight w:val="0"/>
          <w:marTop w:val="0"/>
          <w:marBottom w:val="0"/>
          <w:divBdr>
            <w:top w:val="none" w:sz="0" w:space="0" w:color="auto"/>
            <w:left w:val="none" w:sz="0" w:space="0" w:color="auto"/>
            <w:bottom w:val="none" w:sz="0" w:space="0" w:color="auto"/>
            <w:right w:val="none" w:sz="0" w:space="0" w:color="auto"/>
          </w:divBdr>
          <w:divsChild>
            <w:div w:id="73937604">
              <w:marLeft w:val="0"/>
              <w:marRight w:val="0"/>
              <w:marTop w:val="0"/>
              <w:marBottom w:val="0"/>
              <w:divBdr>
                <w:top w:val="none" w:sz="0" w:space="0" w:color="auto"/>
                <w:left w:val="none" w:sz="0" w:space="0" w:color="auto"/>
                <w:bottom w:val="none" w:sz="0" w:space="0" w:color="auto"/>
                <w:right w:val="none" w:sz="0" w:space="0" w:color="auto"/>
              </w:divBdr>
              <w:divsChild>
                <w:div w:id="1986858378">
                  <w:marLeft w:val="0"/>
                  <w:marRight w:val="0"/>
                  <w:marTop w:val="0"/>
                  <w:marBottom w:val="0"/>
                  <w:divBdr>
                    <w:top w:val="none" w:sz="0" w:space="0" w:color="auto"/>
                    <w:left w:val="none" w:sz="0" w:space="0" w:color="auto"/>
                    <w:bottom w:val="none" w:sz="0" w:space="0" w:color="auto"/>
                    <w:right w:val="none" w:sz="0" w:space="0" w:color="auto"/>
                  </w:divBdr>
                  <w:divsChild>
                    <w:div w:id="922686538">
                      <w:marLeft w:val="0"/>
                      <w:marRight w:val="0"/>
                      <w:marTop w:val="0"/>
                      <w:marBottom w:val="0"/>
                      <w:divBdr>
                        <w:top w:val="none" w:sz="0" w:space="0" w:color="auto"/>
                        <w:left w:val="none" w:sz="0" w:space="0" w:color="auto"/>
                        <w:bottom w:val="none" w:sz="0" w:space="0" w:color="auto"/>
                        <w:right w:val="none" w:sz="0" w:space="0" w:color="auto"/>
                      </w:divBdr>
                      <w:divsChild>
                        <w:div w:id="20526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541">
              <w:marLeft w:val="0"/>
              <w:marRight w:val="0"/>
              <w:marTop w:val="0"/>
              <w:marBottom w:val="0"/>
              <w:divBdr>
                <w:top w:val="none" w:sz="0" w:space="0" w:color="auto"/>
                <w:left w:val="none" w:sz="0" w:space="0" w:color="auto"/>
                <w:bottom w:val="none" w:sz="0" w:space="0" w:color="auto"/>
                <w:right w:val="none" w:sz="0" w:space="0" w:color="auto"/>
              </w:divBdr>
              <w:divsChild>
                <w:div w:id="289360321">
                  <w:marLeft w:val="0"/>
                  <w:marRight w:val="0"/>
                  <w:marTop w:val="0"/>
                  <w:marBottom w:val="0"/>
                  <w:divBdr>
                    <w:top w:val="none" w:sz="0" w:space="0" w:color="auto"/>
                    <w:left w:val="none" w:sz="0" w:space="0" w:color="auto"/>
                    <w:bottom w:val="none" w:sz="0" w:space="0" w:color="auto"/>
                    <w:right w:val="none" w:sz="0" w:space="0" w:color="auto"/>
                  </w:divBdr>
                  <w:divsChild>
                    <w:div w:id="1082801457">
                      <w:marLeft w:val="0"/>
                      <w:marRight w:val="0"/>
                      <w:marTop w:val="0"/>
                      <w:marBottom w:val="0"/>
                      <w:divBdr>
                        <w:top w:val="none" w:sz="0" w:space="0" w:color="auto"/>
                        <w:left w:val="none" w:sz="0" w:space="0" w:color="auto"/>
                        <w:bottom w:val="none" w:sz="0" w:space="0" w:color="auto"/>
                        <w:right w:val="none" w:sz="0" w:space="0" w:color="auto"/>
                      </w:divBdr>
                      <w:divsChild>
                        <w:div w:id="706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1916">
              <w:marLeft w:val="0"/>
              <w:marRight w:val="0"/>
              <w:marTop w:val="0"/>
              <w:marBottom w:val="0"/>
              <w:divBdr>
                <w:top w:val="none" w:sz="0" w:space="0" w:color="auto"/>
                <w:left w:val="none" w:sz="0" w:space="0" w:color="auto"/>
                <w:bottom w:val="none" w:sz="0" w:space="0" w:color="auto"/>
                <w:right w:val="none" w:sz="0" w:space="0" w:color="auto"/>
              </w:divBdr>
              <w:divsChild>
                <w:div w:id="1664160950">
                  <w:marLeft w:val="0"/>
                  <w:marRight w:val="0"/>
                  <w:marTop w:val="0"/>
                  <w:marBottom w:val="0"/>
                  <w:divBdr>
                    <w:top w:val="none" w:sz="0" w:space="0" w:color="auto"/>
                    <w:left w:val="none" w:sz="0" w:space="0" w:color="auto"/>
                    <w:bottom w:val="none" w:sz="0" w:space="0" w:color="auto"/>
                    <w:right w:val="none" w:sz="0" w:space="0" w:color="auto"/>
                  </w:divBdr>
                  <w:divsChild>
                    <w:div w:id="1478952362">
                      <w:marLeft w:val="0"/>
                      <w:marRight w:val="0"/>
                      <w:marTop w:val="0"/>
                      <w:marBottom w:val="0"/>
                      <w:divBdr>
                        <w:top w:val="none" w:sz="0" w:space="0" w:color="auto"/>
                        <w:left w:val="none" w:sz="0" w:space="0" w:color="auto"/>
                        <w:bottom w:val="none" w:sz="0" w:space="0" w:color="auto"/>
                        <w:right w:val="none" w:sz="0" w:space="0" w:color="auto"/>
                      </w:divBdr>
                      <w:divsChild>
                        <w:div w:id="3575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6270">
              <w:marLeft w:val="0"/>
              <w:marRight w:val="0"/>
              <w:marTop w:val="0"/>
              <w:marBottom w:val="0"/>
              <w:divBdr>
                <w:top w:val="none" w:sz="0" w:space="0" w:color="auto"/>
                <w:left w:val="none" w:sz="0" w:space="0" w:color="auto"/>
                <w:bottom w:val="none" w:sz="0" w:space="0" w:color="auto"/>
                <w:right w:val="none" w:sz="0" w:space="0" w:color="auto"/>
              </w:divBdr>
              <w:divsChild>
                <w:div w:id="1106773520">
                  <w:marLeft w:val="0"/>
                  <w:marRight w:val="0"/>
                  <w:marTop w:val="0"/>
                  <w:marBottom w:val="0"/>
                  <w:divBdr>
                    <w:top w:val="none" w:sz="0" w:space="0" w:color="auto"/>
                    <w:left w:val="none" w:sz="0" w:space="0" w:color="auto"/>
                    <w:bottom w:val="none" w:sz="0" w:space="0" w:color="auto"/>
                    <w:right w:val="none" w:sz="0" w:space="0" w:color="auto"/>
                  </w:divBdr>
                  <w:divsChild>
                    <w:div w:id="866678814">
                      <w:marLeft w:val="0"/>
                      <w:marRight w:val="0"/>
                      <w:marTop w:val="0"/>
                      <w:marBottom w:val="0"/>
                      <w:divBdr>
                        <w:top w:val="none" w:sz="0" w:space="0" w:color="auto"/>
                        <w:left w:val="none" w:sz="0" w:space="0" w:color="auto"/>
                        <w:bottom w:val="none" w:sz="0" w:space="0" w:color="auto"/>
                        <w:right w:val="none" w:sz="0" w:space="0" w:color="auto"/>
                      </w:divBdr>
                      <w:divsChild>
                        <w:div w:id="19906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5280">
              <w:marLeft w:val="0"/>
              <w:marRight w:val="0"/>
              <w:marTop w:val="0"/>
              <w:marBottom w:val="0"/>
              <w:divBdr>
                <w:top w:val="none" w:sz="0" w:space="0" w:color="auto"/>
                <w:left w:val="none" w:sz="0" w:space="0" w:color="auto"/>
                <w:bottom w:val="none" w:sz="0" w:space="0" w:color="auto"/>
                <w:right w:val="none" w:sz="0" w:space="0" w:color="auto"/>
              </w:divBdr>
              <w:divsChild>
                <w:div w:id="1290159687">
                  <w:marLeft w:val="0"/>
                  <w:marRight w:val="0"/>
                  <w:marTop w:val="0"/>
                  <w:marBottom w:val="0"/>
                  <w:divBdr>
                    <w:top w:val="none" w:sz="0" w:space="0" w:color="auto"/>
                    <w:left w:val="none" w:sz="0" w:space="0" w:color="auto"/>
                    <w:bottom w:val="none" w:sz="0" w:space="0" w:color="auto"/>
                    <w:right w:val="none" w:sz="0" w:space="0" w:color="auto"/>
                  </w:divBdr>
                  <w:divsChild>
                    <w:div w:id="407770028">
                      <w:marLeft w:val="0"/>
                      <w:marRight w:val="0"/>
                      <w:marTop w:val="0"/>
                      <w:marBottom w:val="0"/>
                      <w:divBdr>
                        <w:top w:val="none" w:sz="0" w:space="0" w:color="auto"/>
                        <w:left w:val="none" w:sz="0" w:space="0" w:color="auto"/>
                        <w:bottom w:val="none" w:sz="0" w:space="0" w:color="auto"/>
                        <w:right w:val="none" w:sz="0" w:space="0" w:color="auto"/>
                      </w:divBdr>
                      <w:divsChild>
                        <w:div w:id="319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7156">
              <w:marLeft w:val="0"/>
              <w:marRight w:val="0"/>
              <w:marTop w:val="0"/>
              <w:marBottom w:val="0"/>
              <w:divBdr>
                <w:top w:val="none" w:sz="0" w:space="0" w:color="auto"/>
                <w:left w:val="none" w:sz="0" w:space="0" w:color="auto"/>
                <w:bottom w:val="none" w:sz="0" w:space="0" w:color="auto"/>
                <w:right w:val="none" w:sz="0" w:space="0" w:color="auto"/>
              </w:divBdr>
              <w:divsChild>
                <w:div w:id="268320797">
                  <w:marLeft w:val="0"/>
                  <w:marRight w:val="0"/>
                  <w:marTop w:val="0"/>
                  <w:marBottom w:val="0"/>
                  <w:divBdr>
                    <w:top w:val="none" w:sz="0" w:space="0" w:color="auto"/>
                    <w:left w:val="none" w:sz="0" w:space="0" w:color="auto"/>
                    <w:bottom w:val="none" w:sz="0" w:space="0" w:color="auto"/>
                    <w:right w:val="none" w:sz="0" w:space="0" w:color="auto"/>
                  </w:divBdr>
                  <w:divsChild>
                    <w:div w:id="1593467831">
                      <w:marLeft w:val="0"/>
                      <w:marRight w:val="0"/>
                      <w:marTop w:val="0"/>
                      <w:marBottom w:val="0"/>
                      <w:divBdr>
                        <w:top w:val="none" w:sz="0" w:space="0" w:color="auto"/>
                        <w:left w:val="none" w:sz="0" w:space="0" w:color="auto"/>
                        <w:bottom w:val="none" w:sz="0" w:space="0" w:color="auto"/>
                        <w:right w:val="none" w:sz="0" w:space="0" w:color="auto"/>
                      </w:divBdr>
                      <w:divsChild>
                        <w:div w:id="19139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4185">
              <w:marLeft w:val="0"/>
              <w:marRight w:val="0"/>
              <w:marTop w:val="0"/>
              <w:marBottom w:val="0"/>
              <w:divBdr>
                <w:top w:val="none" w:sz="0" w:space="0" w:color="auto"/>
                <w:left w:val="none" w:sz="0" w:space="0" w:color="auto"/>
                <w:bottom w:val="none" w:sz="0" w:space="0" w:color="auto"/>
                <w:right w:val="none" w:sz="0" w:space="0" w:color="auto"/>
              </w:divBdr>
              <w:divsChild>
                <w:div w:id="948972842">
                  <w:marLeft w:val="0"/>
                  <w:marRight w:val="0"/>
                  <w:marTop w:val="0"/>
                  <w:marBottom w:val="0"/>
                  <w:divBdr>
                    <w:top w:val="none" w:sz="0" w:space="0" w:color="auto"/>
                    <w:left w:val="none" w:sz="0" w:space="0" w:color="auto"/>
                    <w:bottom w:val="none" w:sz="0" w:space="0" w:color="auto"/>
                    <w:right w:val="none" w:sz="0" w:space="0" w:color="auto"/>
                  </w:divBdr>
                  <w:divsChild>
                    <w:div w:id="495075948">
                      <w:marLeft w:val="0"/>
                      <w:marRight w:val="0"/>
                      <w:marTop w:val="0"/>
                      <w:marBottom w:val="0"/>
                      <w:divBdr>
                        <w:top w:val="none" w:sz="0" w:space="0" w:color="auto"/>
                        <w:left w:val="none" w:sz="0" w:space="0" w:color="auto"/>
                        <w:bottom w:val="none" w:sz="0" w:space="0" w:color="auto"/>
                        <w:right w:val="none" w:sz="0" w:space="0" w:color="auto"/>
                      </w:divBdr>
                      <w:divsChild>
                        <w:div w:id="862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3044">
              <w:marLeft w:val="0"/>
              <w:marRight w:val="0"/>
              <w:marTop w:val="0"/>
              <w:marBottom w:val="0"/>
              <w:divBdr>
                <w:top w:val="none" w:sz="0" w:space="0" w:color="auto"/>
                <w:left w:val="none" w:sz="0" w:space="0" w:color="auto"/>
                <w:bottom w:val="none" w:sz="0" w:space="0" w:color="auto"/>
                <w:right w:val="none" w:sz="0" w:space="0" w:color="auto"/>
              </w:divBdr>
              <w:divsChild>
                <w:div w:id="319357626">
                  <w:marLeft w:val="0"/>
                  <w:marRight w:val="0"/>
                  <w:marTop w:val="0"/>
                  <w:marBottom w:val="0"/>
                  <w:divBdr>
                    <w:top w:val="none" w:sz="0" w:space="0" w:color="auto"/>
                    <w:left w:val="none" w:sz="0" w:space="0" w:color="auto"/>
                    <w:bottom w:val="none" w:sz="0" w:space="0" w:color="auto"/>
                    <w:right w:val="none" w:sz="0" w:space="0" w:color="auto"/>
                  </w:divBdr>
                  <w:divsChild>
                    <w:div w:id="581641676">
                      <w:marLeft w:val="0"/>
                      <w:marRight w:val="0"/>
                      <w:marTop w:val="0"/>
                      <w:marBottom w:val="0"/>
                      <w:divBdr>
                        <w:top w:val="none" w:sz="0" w:space="0" w:color="auto"/>
                        <w:left w:val="none" w:sz="0" w:space="0" w:color="auto"/>
                        <w:bottom w:val="none" w:sz="0" w:space="0" w:color="auto"/>
                        <w:right w:val="none" w:sz="0" w:space="0" w:color="auto"/>
                      </w:divBdr>
                      <w:divsChild>
                        <w:div w:id="7117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29062">
              <w:marLeft w:val="0"/>
              <w:marRight w:val="0"/>
              <w:marTop w:val="0"/>
              <w:marBottom w:val="0"/>
              <w:divBdr>
                <w:top w:val="none" w:sz="0" w:space="0" w:color="auto"/>
                <w:left w:val="none" w:sz="0" w:space="0" w:color="auto"/>
                <w:bottom w:val="none" w:sz="0" w:space="0" w:color="auto"/>
                <w:right w:val="none" w:sz="0" w:space="0" w:color="auto"/>
              </w:divBdr>
              <w:divsChild>
                <w:div w:id="1586377423">
                  <w:marLeft w:val="0"/>
                  <w:marRight w:val="0"/>
                  <w:marTop w:val="0"/>
                  <w:marBottom w:val="0"/>
                  <w:divBdr>
                    <w:top w:val="none" w:sz="0" w:space="0" w:color="auto"/>
                    <w:left w:val="none" w:sz="0" w:space="0" w:color="auto"/>
                    <w:bottom w:val="none" w:sz="0" w:space="0" w:color="auto"/>
                    <w:right w:val="none" w:sz="0" w:space="0" w:color="auto"/>
                  </w:divBdr>
                  <w:divsChild>
                    <w:div w:id="1813981413">
                      <w:marLeft w:val="0"/>
                      <w:marRight w:val="0"/>
                      <w:marTop w:val="0"/>
                      <w:marBottom w:val="0"/>
                      <w:divBdr>
                        <w:top w:val="none" w:sz="0" w:space="0" w:color="auto"/>
                        <w:left w:val="none" w:sz="0" w:space="0" w:color="auto"/>
                        <w:bottom w:val="none" w:sz="0" w:space="0" w:color="auto"/>
                        <w:right w:val="none" w:sz="0" w:space="0" w:color="auto"/>
                      </w:divBdr>
                      <w:divsChild>
                        <w:div w:id="2106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17660">
              <w:marLeft w:val="0"/>
              <w:marRight w:val="0"/>
              <w:marTop w:val="0"/>
              <w:marBottom w:val="0"/>
              <w:divBdr>
                <w:top w:val="none" w:sz="0" w:space="0" w:color="auto"/>
                <w:left w:val="none" w:sz="0" w:space="0" w:color="auto"/>
                <w:bottom w:val="none" w:sz="0" w:space="0" w:color="auto"/>
                <w:right w:val="none" w:sz="0" w:space="0" w:color="auto"/>
              </w:divBdr>
              <w:divsChild>
                <w:div w:id="675765864">
                  <w:marLeft w:val="0"/>
                  <w:marRight w:val="0"/>
                  <w:marTop w:val="0"/>
                  <w:marBottom w:val="0"/>
                  <w:divBdr>
                    <w:top w:val="none" w:sz="0" w:space="0" w:color="auto"/>
                    <w:left w:val="none" w:sz="0" w:space="0" w:color="auto"/>
                    <w:bottom w:val="none" w:sz="0" w:space="0" w:color="auto"/>
                    <w:right w:val="none" w:sz="0" w:space="0" w:color="auto"/>
                  </w:divBdr>
                  <w:divsChild>
                    <w:div w:id="182210640">
                      <w:marLeft w:val="0"/>
                      <w:marRight w:val="0"/>
                      <w:marTop w:val="0"/>
                      <w:marBottom w:val="0"/>
                      <w:divBdr>
                        <w:top w:val="none" w:sz="0" w:space="0" w:color="auto"/>
                        <w:left w:val="none" w:sz="0" w:space="0" w:color="auto"/>
                        <w:bottom w:val="none" w:sz="0" w:space="0" w:color="auto"/>
                        <w:right w:val="none" w:sz="0" w:space="0" w:color="auto"/>
                      </w:divBdr>
                      <w:divsChild>
                        <w:div w:id="5920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04449">
              <w:marLeft w:val="0"/>
              <w:marRight w:val="0"/>
              <w:marTop w:val="0"/>
              <w:marBottom w:val="0"/>
              <w:divBdr>
                <w:top w:val="none" w:sz="0" w:space="0" w:color="auto"/>
                <w:left w:val="none" w:sz="0" w:space="0" w:color="auto"/>
                <w:bottom w:val="none" w:sz="0" w:space="0" w:color="auto"/>
                <w:right w:val="none" w:sz="0" w:space="0" w:color="auto"/>
              </w:divBdr>
              <w:divsChild>
                <w:div w:id="269168105">
                  <w:marLeft w:val="0"/>
                  <w:marRight w:val="0"/>
                  <w:marTop w:val="0"/>
                  <w:marBottom w:val="0"/>
                  <w:divBdr>
                    <w:top w:val="none" w:sz="0" w:space="0" w:color="auto"/>
                    <w:left w:val="none" w:sz="0" w:space="0" w:color="auto"/>
                    <w:bottom w:val="none" w:sz="0" w:space="0" w:color="auto"/>
                    <w:right w:val="none" w:sz="0" w:space="0" w:color="auto"/>
                  </w:divBdr>
                  <w:divsChild>
                    <w:div w:id="321277301">
                      <w:marLeft w:val="0"/>
                      <w:marRight w:val="0"/>
                      <w:marTop w:val="0"/>
                      <w:marBottom w:val="0"/>
                      <w:divBdr>
                        <w:top w:val="none" w:sz="0" w:space="0" w:color="auto"/>
                        <w:left w:val="none" w:sz="0" w:space="0" w:color="auto"/>
                        <w:bottom w:val="none" w:sz="0" w:space="0" w:color="auto"/>
                        <w:right w:val="none" w:sz="0" w:space="0" w:color="auto"/>
                      </w:divBdr>
                      <w:divsChild>
                        <w:div w:id="16650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15455">
              <w:marLeft w:val="0"/>
              <w:marRight w:val="0"/>
              <w:marTop w:val="0"/>
              <w:marBottom w:val="0"/>
              <w:divBdr>
                <w:top w:val="none" w:sz="0" w:space="0" w:color="auto"/>
                <w:left w:val="none" w:sz="0" w:space="0" w:color="auto"/>
                <w:bottom w:val="none" w:sz="0" w:space="0" w:color="auto"/>
                <w:right w:val="none" w:sz="0" w:space="0" w:color="auto"/>
              </w:divBdr>
              <w:divsChild>
                <w:div w:id="931549479">
                  <w:marLeft w:val="0"/>
                  <w:marRight w:val="0"/>
                  <w:marTop w:val="0"/>
                  <w:marBottom w:val="0"/>
                  <w:divBdr>
                    <w:top w:val="none" w:sz="0" w:space="0" w:color="auto"/>
                    <w:left w:val="none" w:sz="0" w:space="0" w:color="auto"/>
                    <w:bottom w:val="none" w:sz="0" w:space="0" w:color="auto"/>
                    <w:right w:val="none" w:sz="0" w:space="0" w:color="auto"/>
                  </w:divBdr>
                  <w:divsChild>
                    <w:div w:id="774638434">
                      <w:marLeft w:val="0"/>
                      <w:marRight w:val="0"/>
                      <w:marTop w:val="0"/>
                      <w:marBottom w:val="0"/>
                      <w:divBdr>
                        <w:top w:val="none" w:sz="0" w:space="0" w:color="auto"/>
                        <w:left w:val="none" w:sz="0" w:space="0" w:color="auto"/>
                        <w:bottom w:val="none" w:sz="0" w:space="0" w:color="auto"/>
                        <w:right w:val="none" w:sz="0" w:space="0" w:color="auto"/>
                      </w:divBdr>
                      <w:divsChild>
                        <w:div w:id="8668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64613">
              <w:marLeft w:val="0"/>
              <w:marRight w:val="0"/>
              <w:marTop w:val="0"/>
              <w:marBottom w:val="0"/>
              <w:divBdr>
                <w:top w:val="none" w:sz="0" w:space="0" w:color="auto"/>
                <w:left w:val="none" w:sz="0" w:space="0" w:color="auto"/>
                <w:bottom w:val="none" w:sz="0" w:space="0" w:color="auto"/>
                <w:right w:val="none" w:sz="0" w:space="0" w:color="auto"/>
              </w:divBdr>
              <w:divsChild>
                <w:div w:id="777530123">
                  <w:marLeft w:val="0"/>
                  <w:marRight w:val="0"/>
                  <w:marTop w:val="0"/>
                  <w:marBottom w:val="0"/>
                  <w:divBdr>
                    <w:top w:val="none" w:sz="0" w:space="0" w:color="auto"/>
                    <w:left w:val="none" w:sz="0" w:space="0" w:color="auto"/>
                    <w:bottom w:val="none" w:sz="0" w:space="0" w:color="auto"/>
                    <w:right w:val="none" w:sz="0" w:space="0" w:color="auto"/>
                  </w:divBdr>
                  <w:divsChild>
                    <w:div w:id="343754438">
                      <w:marLeft w:val="0"/>
                      <w:marRight w:val="0"/>
                      <w:marTop w:val="0"/>
                      <w:marBottom w:val="0"/>
                      <w:divBdr>
                        <w:top w:val="none" w:sz="0" w:space="0" w:color="auto"/>
                        <w:left w:val="none" w:sz="0" w:space="0" w:color="auto"/>
                        <w:bottom w:val="none" w:sz="0" w:space="0" w:color="auto"/>
                        <w:right w:val="none" w:sz="0" w:space="0" w:color="auto"/>
                      </w:divBdr>
                      <w:divsChild>
                        <w:div w:id="104367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39487">
              <w:marLeft w:val="0"/>
              <w:marRight w:val="0"/>
              <w:marTop w:val="0"/>
              <w:marBottom w:val="0"/>
              <w:divBdr>
                <w:top w:val="none" w:sz="0" w:space="0" w:color="auto"/>
                <w:left w:val="none" w:sz="0" w:space="0" w:color="auto"/>
                <w:bottom w:val="none" w:sz="0" w:space="0" w:color="auto"/>
                <w:right w:val="none" w:sz="0" w:space="0" w:color="auto"/>
              </w:divBdr>
              <w:divsChild>
                <w:div w:id="1282688845">
                  <w:marLeft w:val="0"/>
                  <w:marRight w:val="0"/>
                  <w:marTop w:val="0"/>
                  <w:marBottom w:val="0"/>
                  <w:divBdr>
                    <w:top w:val="none" w:sz="0" w:space="0" w:color="auto"/>
                    <w:left w:val="none" w:sz="0" w:space="0" w:color="auto"/>
                    <w:bottom w:val="none" w:sz="0" w:space="0" w:color="auto"/>
                    <w:right w:val="none" w:sz="0" w:space="0" w:color="auto"/>
                  </w:divBdr>
                  <w:divsChild>
                    <w:div w:id="1094932575">
                      <w:marLeft w:val="0"/>
                      <w:marRight w:val="0"/>
                      <w:marTop w:val="0"/>
                      <w:marBottom w:val="0"/>
                      <w:divBdr>
                        <w:top w:val="none" w:sz="0" w:space="0" w:color="auto"/>
                        <w:left w:val="none" w:sz="0" w:space="0" w:color="auto"/>
                        <w:bottom w:val="none" w:sz="0" w:space="0" w:color="auto"/>
                        <w:right w:val="none" w:sz="0" w:space="0" w:color="auto"/>
                      </w:divBdr>
                      <w:divsChild>
                        <w:div w:id="6873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76200">
              <w:marLeft w:val="0"/>
              <w:marRight w:val="0"/>
              <w:marTop w:val="0"/>
              <w:marBottom w:val="0"/>
              <w:divBdr>
                <w:top w:val="none" w:sz="0" w:space="0" w:color="auto"/>
                <w:left w:val="none" w:sz="0" w:space="0" w:color="auto"/>
                <w:bottom w:val="none" w:sz="0" w:space="0" w:color="auto"/>
                <w:right w:val="none" w:sz="0" w:space="0" w:color="auto"/>
              </w:divBdr>
              <w:divsChild>
                <w:div w:id="439758741">
                  <w:marLeft w:val="0"/>
                  <w:marRight w:val="0"/>
                  <w:marTop w:val="0"/>
                  <w:marBottom w:val="0"/>
                  <w:divBdr>
                    <w:top w:val="none" w:sz="0" w:space="0" w:color="auto"/>
                    <w:left w:val="none" w:sz="0" w:space="0" w:color="auto"/>
                    <w:bottom w:val="none" w:sz="0" w:space="0" w:color="auto"/>
                    <w:right w:val="none" w:sz="0" w:space="0" w:color="auto"/>
                  </w:divBdr>
                  <w:divsChild>
                    <w:div w:id="707724903">
                      <w:marLeft w:val="0"/>
                      <w:marRight w:val="0"/>
                      <w:marTop w:val="0"/>
                      <w:marBottom w:val="0"/>
                      <w:divBdr>
                        <w:top w:val="none" w:sz="0" w:space="0" w:color="auto"/>
                        <w:left w:val="none" w:sz="0" w:space="0" w:color="auto"/>
                        <w:bottom w:val="none" w:sz="0" w:space="0" w:color="auto"/>
                        <w:right w:val="none" w:sz="0" w:space="0" w:color="auto"/>
                      </w:divBdr>
                      <w:divsChild>
                        <w:div w:id="1316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27603">
          <w:marLeft w:val="0"/>
          <w:marRight w:val="0"/>
          <w:marTop w:val="0"/>
          <w:marBottom w:val="0"/>
          <w:divBdr>
            <w:top w:val="none" w:sz="0" w:space="0" w:color="auto"/>
            <w:left w:val="none" w:sz="0" w:space="0" w:color="auto"/>
            <w:bottom w:val="none" w:sz="0" w:space="0" w:color="auto"/>
            <w:right w:val="none" w:sz="0" w:space="0" w:color="auto"/>
          </w:divBdr>
          <w:divsChild>
            <w:div w:id="25838660">
              <w:marLeft w:val="0"/>
              <w:marRight w:val="0"/>
              <w:marTop w:val="0"/>
              <w:marBottom w:val="0"/>
              <w:divBdr>
                <w:top w:val="none" w:sz="0" w:space="0" w:color="auto"/>
                <w:left w:val="none" w:sz="0" w:space="0" w:color="auto"/>
                <w:bottom w:val="none" w:sz="0" w:space="0" w:color="auto"/>
                <w:right w:val="none" w:sz="0" w:space="0" w:color="auto"/>
              </w:divBdr>
              <w:divsChild>
                <w:div w:id="238490562">
                  <w:marLeft w:val="0"/>
                  <w:marRight w:val="0"/>
                  <w:marTop w:val="0"/>
                  <w:marBottom w:val="0"/>
                  <w:divBdr>
                    <w:top w:val="none" w:sz="0" w:space="0" w:color="auto"/>
                    <w:left w:val="none" w:sz="0" w:space="0" w:color="auto"/>
                    <w:bottom w:val="none" w:sz="0" w:space="0" w:color="auto"/>
                    <w:right w:val="none" w:sz="0" w:space="0" w:color="auto"/>
                  </w:divBdr>
                  <w:divsChild>
                    <w:div w:id="734550553">
                      <w:marLeft w:val="0"/>
                      <w:marRight w:val="0"/>
                      <w:marTop w:val="0"/>
                      <w:marBottom w:val="0"/>
                      <w:divBdr>
                        <w:top w:val="none" w:sz="0" w:space="0" w:color="auto"/>
                        <w:left w:val="none" w:sz="0" w:space="0" w:color="auto"/>
                        <w:bottom w:val="none" w:sz="0" w:space="0" w:color="auto"/>
                        <w:right w:val="none" w:sz="0" w:space="0" w:color="auto"/>
                      </w:divBdr>
                      <w:divsChild>
                        <w:div w:id="17986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8712">
              <w:marLeft w:val="0"/>
              <w:marRight w:val="0"/>
              <w:marTop w:val="0"/>
              <w:marBottom w:val="0"/>
              <w:divBdr>
                <w:top w:val="none" w:sz="0" w:space="0" w:color="auto"/>
                <w:left w:val="none" w:sz="0" w:space="0" w:color="auto"/>
                <w:bottom w:val="none" w:sz="0" w:space="0" w:color="auto"/>
                <w:right w:val="none" w:sz="0" w:space="0" w:color="auto"/>
              </w:divBdr>
              <w:divsChild>
                <w:div w:id="416096922">
                  <w:marLeft w:val="0"/>
                  <w:marRight w:val="0"/>
                  <w:marTop w:val="0"/>
                  <w:marBottom w:val="0"/>
                  <w:divBdr>
                    <w:top w:val="none" w:sz="0" w:space="0" w:color="auto"/>
                    <w:left w:val="none" w:sz="0" w:space="0" w:color="auto"/>
                    <w:bottom w:val="none" w:sz="0" w:space="0" w:color="auto"/>
                    <w:right w:val="none" w:sz="0" w:space="0" w:color="auto"/>
                  </w:divBdr>
                  <w:divsChild>
                    <w:div w:id="160395152">
                      <w:marLeft w:val="0"/>
                      <w:marRight w:val="0"/>
                      <w:marTop w:val="0"/>
                      <w:marBottom w:val="0"/>
                      <w:divBdr>
                        <w:top w:val="none" w:sz="0" w:space="0" w:color="auto"/>
                        <w:left w:val="none" w:sz="0" w:space="0" w:color="auto"/>
                        <w:bottom w:val="none" w:sz="0" w:space="0" w:color="auto"/>
                        <w:right w:val="none" w:sz="0" w:space="0" w:color="auto"/>
                      </w:divBdr>
                      <w:divsChild>
                        <w:div w:id="3700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09868">
              <w:marLeft w:val="0"/>
              <w:marRight w:val="0"/>
              <w:marTop w:val="0"/>
              <w:marBottom w:val="0"/>
              <w:divBdr>
                <w:top w:val="none" w:sz="0" w:space="0" w:color="auto"/>
                <w:left w:val="none" w:sz="0" w:space="0" w:color="auto"/>
                <w:bottom w:val="none" w:sz="0" w:space="0" w:color="auto"/>
                <w:right w:val="none" w:sz="0" w:space="0" w:color="auto"/>
              </w:divBdr>
              <w:divsChild>
                <w:div w:id="1531455634">
                  <w:marLeft w:val="0"/>
                  <w:marRight w:val="0"/>
                  <w:marTop w:val="0"/>
                  <w:marBottom w:val="0"/>
                  <w:divBdr>
                    <w:top w:val="none" w:sz="0" w:space="0" w:color="auto"/>
                    <w:left w:val="none" w:sz="0" w:space="0" w:color="auto"/>
                    <w:bottom w:val="none" w:sz="0" w:space="0" w:color="auto"/>
                    <w:right w:val="none" w:sz="0" w:space="0" w:color="auto"/>
                  </w:divBdr>
                  <w:divsChild>
                    <w:div w:id="1409228331">
                      <w:marLeft w:val="0"/>
                      <w:marRight w:val="0"/>
                      <w:marTop w:val="0"/>
                      <w:marBottom w:val="0"/>
                      <w:divBdr>
                        <w:top w:val="none" w:sz="0" w:space="0" w:color="auto"/>
                        <w:left w:val="none" w:sz="0" w:space="0" w:color="auto"/>
                        <w:bottom w:val="none" w:sz="0" w:space="0" w:color="auto"/>
                        <w:right w:val="none" w:sz="0" w:space="0" w:color="auto"/>
                      </w:divBdr>
                      <w:divsChild>
                        <w:div w:id="20486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90300">
              <w:marLeft w:val="0"/>
              <w:marRight w:val="0"/>
              <w:marTop w:val="0"/>
              <w:marBottom w:val="0"/>
              <w:divBdr>
                <w:top w:val="none" w:sz="0" w:space="0" w:color="auto"/>
                <w:left w:val="none" w:sz="0" w:space="0" w:color="auto"/>
                <w:bottom w:val="none" w:sz="0" w:space="0" w:color="auto"/>
                <w:right w:val="none" w:sz="0" w:space="0" w:color="auto"/>
              </w:divBdr>
              <w:divsChild>
                <w:div w:id="1873225211">
                  <w:marLeft w:val="0"/>
                  <w:marRight w:val="0"/>
                  <w:marTop w:val="0"/>
                  <w:marBottom w:val="0"/>
                  <w:divBdr>
                    <w:top w:val="none" w:sz="0" w:space="0" w:color="auto"/>
                    <w:left w:val="none" w:sz="0" w:space="0" w:color="auto"/>
                    <w:bottom w:val="none" w:sz="0" w:space="0" w:color="auto"/>
                    <w:right w:val="none" w:sz="0" w:space="0" w:color="auto"/>
                  </w:divBdr>
                  <w:divsChild>
                    <w:div w:id="741216867">
                      <w:marLeft w:val="0"/>
                      <w:marRight w:val="0"/>
                      <w:marTop w:val="0"/>
                      <w:marBottom w:val="0"/>
                      <w:divBdr>
                        <w:top w:val="none" w:sz="0" w:space="0" w:color="auto"/>
                        <w:left w:val="none" w:sz="0" w:space="0" w:color="auto"/>
                        <w:bottom w:val="none" w:sz="0" w:space="0" w:color="auto"/>
                        <w:right w:val="none" w:sz="0" w:space="0" w:color="auto"/>
                      </w:divBdr>
                      <w:divsChild>
                        <w:div w:id="8306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29819">
              <w:marLeft w:val="0"/>
              <w:marRight w:val="0"/>
              <w:marTop w:val="0"/>
              <w:marBottom w:val="0"/>
              <w:divBdr>
                <w:top w:val="none" w:sz="0" w:space="0" w:color="auto"/>
                <w:left w:val="none" w:sz="0" w:space="0" w:color="auto"/>
                <w:bottom w:val="none" w:sz="0" w:space="0" w:color="auto"/>
                <w:right w:val="none" w:sz="0" w:space="0" w:color="auto"/>
              </w:divBdr>
              <w:divsChild>
                <w:div w:id="1728410483">
                  <w:marLeft w:val="0"/>
                  <w:marRight w:val="0"/>
                  <w:marTop w:val="0"/>
                  <w:marBottom w:val="0"/>
                  <w:divBdr>
                    <w:top w:val="none" w:sz="0" w:space="0" w:color="auto"/>
                    <w:left w:val="none" w:sz="0" w:space="0" w:color="auto"/>
                    <w:bottom w:val="none" w:sz="0" w:space="0" w:color="auto"/>
                    <w:right w:val="none" w:sz="0" w:space="0" w:color="auto"/>
                  </w:divBdr>
                  <w:divsChild>
                    <w:div w:id="1076363443">
                      <w:marLeft w:val="0"/>
                      <w:marRight w:val="0"/>
                      <w:marTop w:val="0"/>
                      <w:marBottom w:val="0"/>
                      <w:divBdr>
                        <w:top w:val="none" w:sz="0" w:space="0" w:color="auto"/>
                        <w:left w:val="none" w:sz="0" w:space="0" w:color="auto"/>
                        <w:bottom w:val="none" w:sz="0" w:space="0" w:color="auto"/>
                        <w:right w:val="none" w:sz="0" w:space="0" w:color="auto"/>
                      </w:divBdr>
                      <w:divsChild>
                        <w:div w:id="17201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03823">
              <w:marLeft w:val="0"/>
              <w:marRight w:val="0"/>
              <w:marTop w:val="0"/>
              <w:marBottom w:val="0"/>
              <w:divBdr>
                <w:top w:val="none" w:sz="0" w:space="0" w:color="auto"/>
                <w:left w:val="none" w:sz="0" w:space="0" w:color="auto"/>
                <w:bottom w:val="none" w:sz="0" w:space="0" w:color="auto"/>
                <w:right w:val="none" w:sz="0" w:space="0" w:color="auto"/>
              </w:divBdr>
              <w:divsChild>
                <w:div w:id="747191028">
                  <w:marLeft w:val="0"/>
                  <w:marRight w:val="0"/>
                  <w:marTop w:val="0"/>
                  <w:marBottom w:val="0"/>
                  <w:divBdr>
                    <w:top w:val="none" w:sz="0" w:space="0" w:color="auto"/>
                    <w:left w:val="none" w:sz="0" w:space="0" w:color="auto"/>
                    <w:bottom w:val="none" w:sz="0" w:space="0" w:color="auto"/>
                    <w:right w:val="none" w:sz="0" w:space="0" w:color="auto"/>
                  </w:divBdr>
                  <w:divsChild>
                    <w:div w:id="887688017">
                      <w:marLeft w:val="0"/>
                      <w:marRight w:val="0"/>
                      <w:marTop w:val="0"/>
                      <w:marBottom w:val="0"/>
                      <w:divBdr>
                        <w:top w:val="none" w:sz="0" w:space="0" w:color="auto"/>
                        <w:left w:val="none" w:sz="0" w:space="0" w:color="auto"/>
                        <w:bottom w:val="none" w:sz="0" w:space="0" w:color="auto"/>
                        <w:right w:val="none" w:sz="0" w:space="0" w:color="auto"/>
                      </w:divBdr>
                      <w:divsChild>
                        <w:div w:id="8152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0741">
              <w:marLeft w:val="0"/>
              <w:marRight w:val="0"/>
              <w:marTop w:val="0"/>
              <w:marBottom w:val="0"/>
              <w:divBdr>
                <w:top w:val="none" w:sz="0" w:space="0" w:color="auto"/>
                <w:left w:val="none" w:sz="0" w:space="0" w:color="auto"/>
                <w:bottom w:val="none" w:sz="0" w:space="0" w:color="auto"/>
                <w:right w:val="none" w:sz="0" w:space="0" w:color="auto"/>
              </w:divBdr>
              <w:divsChild>
                <w:div w:id="949161065">
                  <w:marLeft w:val="0"/>
                  <w:marRight w:val="0"/>
                  <w:marTop w:val="0"/>
                  <w:marBottom w:val="0"/>
                  <w:divBdr>
                    <w:top w:val="none" w:sz="0" w:space="0" w:color="auto"/>
                    <w:left w:val="none" w:sz="0" w:space="0" w:color="auto"/>
                    <w:bottom w:val="none" w:sz="0" w:space="0" w:color="auto"/>
                    <w:right w:val="none" w:sz="0" w:space="0" w:color="auto"/>
                  </w:divBdr>
                  <w:divsChild>
                    <w:div w:id="892816344">
                      <w:marLeft w:val="0"/>
                      <w:marRight w:val="0"/>
                      <w:marTop w:val="0"/>
                      <w:marBottom w:val="0"/>
                      <w:divBdr>
                        <w:top w:val="none" w:sz="0" w:space="0" w:color="auto"/>
                        <w:left w:val="none" w:sz="0" w:space="0" w:color="auto"/>
                        <w:bottom w:val="none" w:sz="0" w:space="0" w:color="auto"/>
                        <w:right w:val="none" w:sz="0" w:space="0" w:color="auto"/>
                      </w:divBdr>
                      <w:divsChild>
                        <w:div w:id="4039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7735">
              <w:marLeft w:val="0"/>
              <w:marRight w:val="0"/>
              <w:marTop w:val="0"/>
              <w:marBottom w:val="0"/>
              <w:divBdr>
                <w:top w:val="none" w:sz="0" w:space="0" w:color="auto"/>
                <w:left w:val="none" w:sz="0" w:space="0" w:color="auto"/>
                <w:bottom w:val="none" w:sz="0" w:space="0" w:color="auto"/>
                <w:right w:val="none" w:sz="0" w:space="0" w:color="auto"/>
              </w:divBdr>
              <w:divsChild>
                <w:div w:id="1644046047">
                  <w:marLeft w:val="0"/>
                  <w:marRight w:val="0"/>
                  <w:marTop w:val="0"/>
                  <w:marBottom w:val="0"/>
                  <w:divBdr>
                    <w:top w:val="none" w:sz="0" w:space="0" w:color="auto"/>
                    <w:left w:val="none" w:sz="0" w:space="0" w:color="auto"/>
                    <w:bottom w:val="none" w:sz="0" w:space="0" w:color="auto"/>
                    <w:right w:val="none" w:sz="0" w:space="0" w:color="auto"/>
                  </w:divBdr>
                  <w:divsChild>
                    <w:div w:id="1051923510">
                      <w:marLeft w:val="0"/>
                      <w:marRight w:val="0"/>
                      <w:marTop w:val="0"/>
                      <w:marBottom w:val="0"/>
                      <w:divBdr>
                        <w:top w:val="none" w:sz="0" w:space="0" w:color="auto"/>
                        <w:left w:val="none" w:sz="0" w:space="0" w:color="auto"/>
                        <w:bottom w:val="none" w:sz="0" w:space="0" w:color="auto"/>
                        <w:right w:val="none" w:sz="0" w:space="0" w:color="auto"/>
                      </w:divBdr>
                      <w:divsChild>
                        <w:div w:id="21047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45331">
              <w:marLeft w:val="0"/>
              <w:marRight w:val="0"/>
              <w:marTop w:val="0"/>
              <w:marBottom w:val="0"/>
              <w:divBdr>
                <w:top w:val="none" w:sz="0" w:space="0" w:color="auto"/>
                <w:left w:val="none" w:sz="0" w:space="0" w:color="auto"/>
                <w:bottom w:val="none" w:sz="0" w:space="0" w:color="auto"/>
                <w:right w:val="none" w:sz="0" w:space="0" w:color="auto"/>
              </w:divBdr>
              <w:divsChild>
                <w:div w:id="2066835543">
                  <w:marLeft w:val="0"/>
                  <w:marRight w:val="0"/>
                  <w:marTop w:val="0"/>
                  <w:marBottom w:val="0"/>
                  <w:divBdr>
                    <w:top w:val="none" w:sz="0" w:space="0" w:color="auto"/>
                    <w:left w:val="none" w:sz="0" w:space="0" w:color="auto"/>
                    <w:bottom w:val="none" w:sz="0" w:space="0" w:color="auto"/>
                    <w:right w:val="none" w:sz="0" w:space="0" w:color="auto"/>
                  </w:divBdr>
                  <w:divsChild>
                    <w:div w:id="2038846650">
                      <w:marLeft w:val="0"/>
                      <w:marRight w:val="0"/>
                      <w:marTop w:val="0"/>
                      <w:marBottom w:val="0"/>
                      <w:divBdr>
                        <w:top w:val="none" w:sz="0" w:space="0" w:color="auto"/>
                        <w:left w:val="none" w:sz="0" w:space="0" w:color="auto"/>
                        <w:bottom w:val="none" w:sz="0" w:space="0" w:color="auto"/>
                        <w:right w:val="none" w:sz="0" w:space="0" w:color="auto"/>
                      </w:divBdr>
                      <w:divsChild>
                        <w:div w:id="759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168245">
          <w:marLeft w:val="0"/>
          <w:marRight w:val="0"/>
          <w:marTop w:val="0"/>
          <w:marBottom w:val="0"/>
          <w:divBdr>
            <w:top w:val="none" w:sz="0" w:space="0" w:color="auto"/>
            <w:left w:val="none" w:sz="0" w:space="0" w:color="auto"/>
            <w:bottom w:val="none" w:sz="0" w:space="0" w:color="auto"/>
            <w:right w:val="none" w:sz="0" w:space="0" w:color="auto"/>
          </w:divBdr>
          <w:divsChild>
            <w:div w:id="320040310">
              <w:marLeft w:val="0"/>
              <w:marRight w:val="0"/>
              <w:marTop w:val="0"/>
              <w:marBottom w:val="0"/>
              <w:divBdr>
                <w:top w:val="none" w:sz="0" w:space="0" w:color="auto"/>
                <w:left w:val="none" w:sz="0" w:space="0" w:color="auto"/>
                <w:bottom w:val="none" w:sz="0" w:space="0" w:color="auto"/>
                <w:right w:val="none" w:sz="0" w:space="0" w:color="auto"/>
              </w:divBdr>
              <w:divsChild>
                <w:div w:id="1213346486">
                  <w:marLeft w:val="0"/>
                  <w:marRight w:val="0"/>
                  <w:marTop w:val="0"/>
                  <w:marBottom w:val="0"/>
                  <w:divBdr>
                    <w:top w:val="none" w:sz="0" w:space="0" w:color="auto"/>
                    <w:left w:val="none" w:sz="0" w:space="0" w:color="auto"/>
                    <w:bottom w:val="none" w:sz="0" w:space="0" w:color="auto"/>
                    <w:right w:val="none" w:sz="0" w:space="0" w:color="auto"/>
                  </w:divBdr>
                  <w:divsChild>
                    <w:div w:id="485825853">
                      <w:marLeft w:val="0"/>
                      <w:marRight w:val="0"/>
                      <w:marTop w:val="0"/>
                      <w:marBottom w:val="0"/>
                      <w:divBdr>
                        <w:top w:val="none" w:sz="0" w:space="0" w:color="auto"/>
                        <w:left w:val="none" w:sz="0" w:space="0" w:color="auto"/>
                        <w:bottom w:val="none" w:sz="0" w:space="0" w:color="auto"/>
                        <w:right w:val="none" w:sz="0" w:space="0" w:color="auto"/>
                      </w:divBdr>
                      <w:divsChild>
                        <w:div w:id="525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86842">
              <w:marLeft w:val="0"/>
              <w:marRight w:val="0"/>
              <w:marTop w:val="0"/>
              <w:marBottom w:val="0"/>
              <w:divBdr>
                <w:top w:val="none" w:sz="0" w:space="0" w:color="auto"/>
                <w:left w:val="none" w:sz="0" w:space="0" w:color="auto"/>
                <w:bottom w:val="none" w:sz="0" w:space="0" w:color="auto"/>
                <w:right w:val="none" w:sz="0" w:space="0" w:color="auto"/>
              </w:divBdr>
              <w:divsChild>
                <w:div w:id="1849523306">
                  <w:marLeft w:val="0"/>
                  <w:marRight w:val="0"/>
                  <w:marTop w:val="0"/>
                  <w:marBottom w:val="0"/>
                  <w:divBdr>
                    <w:top w:val="none" w:sz="0" w:space="0" w:color="auto"/>
                    <w:left w:val="none" w:sz="0" w:space="0" w:color="auto"/>
                    <w:bottom w:val="none" w:sz="0" w:space="0" w:color="auto"/>
                    <w:right w:val="none" w:sz="0" w:space="0" w:color="auto"/>
                  </w:divBdr>
                  <w:divsChild>
                    <w:div w:id="1836141419">
                      <w:marLeft w:val="0"/>
                      <w:marRight w:val="0"/>
                      <w:marTop w:val="0"/>
                      <w:marBottom w:val="0"/>
                      <w:divBdr>
                        <w:top w:val="none" w:sz="0" w:space="0" w:color="auto"/>
                        <w:left w:val="none" w:sz="0" w:space="0" w:color="auto"/>
                        <w:bottom w:val="none" w:sz="0" w:space="0" w:color="auto"/>
                        <w:right w:val="none" w:sz="0" w:space="0" w:color="auto"/>
                      </w:divBdr>
                      <w:divsChild>
                        <w:div w:id="1651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6736">
              <w:marLeft w:val="0"/>
              <w:marRight w:val="0"/>
              <w:marTop w:val="0"/>
              <w:marBottom w:val="0"/>
              <w:divBdr>
                <w:top w:val="none" w:sz="0" w:space="0" w:color="auto"/>
                <w:left w:val="none" w:sz="0" w:space="0" w:color="auto"/>
                <w:bottom w:val="none" w:sz="0" w:space="0" w:color="auto"/>
                <w:right w:val="none" w:sz="0" w:space="0" w:color="auto"/>
              </w:divBdr>
              <w:divsChild>
                <w:div w:id="1890454523">
                  <w:marLeft w:val="0"/>
                  <w:marRight w:val="0"/>
                  <w:marTop w:val="0"/>
                  <w:marBottom w:val="0"/>
                  <w:divBdr>
                    <w:top w:val="none" w:sz="0" w:space="0" w:color="auto"/>
                    <w:left w:val="none" w:sz="0" w:space="0" w:color="auto"/>
                    <w:bottom w:val="none" w:sz="0" w:space="0" w:color="auto"/>
                    <w:right w:val="none" w:sz="0" w:space="0" w:color="auto"/>
                  </w:divBdr>
                  <w:divsChild>
                    <w:div w:id="1194998214">
                      <w:marLeft w:val="0"/>
                      <w:marRight w:val="0"/>
                      <w:marTop w:val="0"/>
                      <w:marBottom w:val="0"/>
                      <w:divBdr>
                        <w:top w:val="none" w:sz="0" w:space="0" w:color="auto"/>
                        <w:left w:val="none" w:sz="0" w:space="0" w:color="auto"/>
                        <w:bottom w:val="none" w:sz="0" w:space="0" w:color="auto"/>
                        <w:right w:val="none" w:sz="0" w:space="0" w:color="auto"/>
                      </w:divBdr>
                      <w:divsChild>
                        <w:div w:id="429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5681">
              <w:marLeft w:val="0"/>
              <w:marRight w:val="0"/>
              <w:marTop w:val="0"/>
              <w:marBottom w:val="0"/>
              <w:divBdr>
                <w:top w:val="none" w:sz="0" w:space="0" w:color="auto"/>
                <w:left w:val="none" w:sz="0" w:space="0" w:color="auto"/>
                <w:bottom w:val="none" w:sz="0" w:space="0" w:color="auto"/>
                <w:right w:val="none" w:sz="0" w:space="0" w:color="auto"/>
              </w:divBdr>
              <w:divsChild>
                <w:div w:id="878594688">
                  <w:marLeft w:val="0"/>
                  <w:marRight w:val="0"/>
                  <w:marTop w:val="0"/>
                  <w:marBottom w:val="0"/>
                  <w:divBdr>
                    <w:top w:val="none" w:sz="0" w:space="0" w:color="auto"/>
                    <w:left w:val="none" w:sz="0" w:space="0" w:color="auto"/>
                    <w:bottom w:val="none" w:sz="0" w:space="0" w:color="auto"/>
                    <w:right w:val="none" w:sz="0" w:space="0" w:color="auto"/>
                  </w:divBdr>
                  <w:divsChild>
                    <w:div w:id="351538528">
                      <w:marLeft w:val="0"/>
                      <w:marRight w:val="0"/>
                      <w:marTop w:val="0"/>
                      <w:marBottom w:val="0"/>
                      <w:divBdr>
                        <w:top w:val="none" w:sz="0" w:space="0" w:color="auto"/>
                        <w:left w:val="none" w:sz="0" w:space="0" w:color="auto"/>
                        <w:bottom w:val="none" w:sz="0" w:space="0" w:color="auto"/>
                        <w:right w:val="none" w:sz="0" w:space="0" w:color="auto"/>
                      </w:divBdr>
                      <w:divsChild>
                        <w:div w:id="9630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7195">
              <w:marLeft w:val="0"/>
              <w:marRight w:val="0"/>
              <w:marTop w:val="0"/>
              <w:marBottom w:val="0"/>
              <w:divBdr>
                <w:top w:val="none" w:sz="0" w:space="0" w:color="auto"/>
                <w:left w:val="none" w:sz="0" w:space="0" w:color="auto"/>
                <w:bottom w:val="none" w:sz="0" w:space="0" w:color="auto"/>
                <w:right w:val="none" w:sz="0" w:space="0" w:color="auto"/>
              </w:divBdr>
              <w:divsChild>
                <w:div w:id="841090501">
                  <w:marLeft w:val="0"/>
                  <w:marRight w:val="0"/>
                  <w:marTop w:val="0"/>
                  <w:marBottom w:val="0"/>
                  <w:divBdr>
                    <w:top w:val="none" w:sz="0" w:space="0" w:color="auto"/>
                    <w:left w:val="none" w:sz="0" w:space="0" w:color="auto"/>
                    <w:bottom w:val="none" w:sz="0" w:space="0" w:color="auto"/>
                    <w:right w:val="none" w:sz="0" w:space="0" w:color="auto"/>
                  </w:divBdr>
                  <w:divsChild>
                    <w:div w:id="661200279">
                      <w:marLeft w:val="0"/>
                      <w:marRight w:val="0"/>
                      <w:marTop w:val="0"/>
                      <w:marBottom w:val="0"/>
                      <w:divBdr>
                        <w:top w:val="none" w:sz="0" w:space="0" w:color="auto"/>
                        <w:left w:val="none" w:sz="0" w:space="0" w:color="auto"/>
                        <w:bottom w:val="none" w:sz="0" w:space="0" w:color="auto"/>
                        <w:right w:val="none" w:sz="0" w:space="0" w:color="auto"/>
                      </w:divBdr>
                      <w:divsChild>
                        <w:div w:id="17290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72287">
      <w:bodyDiv w:val="1"/>
      <w:marLeft w:val="0"/>
      <w:marRight w:val="0"/>
      <w:marTop w:val="0"/>
      <w:marBottom w:val="0"/>
      <w:divBdr>
        <w:top w:val="none" w:sz="0" w:space="0" w:color="auto"/>
        <w:left w:val="none" w:sz="0" w:space="0" w:color="auto"/>
        <w:bottom w:val="none" w:sz="0" w:space="0" w:color="auto"/>
        <w:right w:val="none" w:sz="0" w:space="0" w:color="auto"/>
      </w:divBdr>
    </w:div>
    <w:div w:id="83769387">
      <w:bodyDiv w:val="1"/>
      <w:marLeft w:val="0"/>
      <w:marRight w:val="0"/>
      <w:marTop w:val="0"/>
      <w:marBottom w:val="0"/>
      <w:divBdr>
        <w:top w:val="none" w:sz="0" w:space="0" w:color="auto"/>
        <w:left w:val="none" w:sz="0" w:space="0" w:color="auto"/>
        <w:bottom w:val="none" w:sz="0" w:space="0" w:color="auto"/>
        <w:right w:val="none" w:sz="0" w:space="0" w:color="auto"/>
      </w:divBdr>
    </w:div>
    <w:div w:id="140343444">
      <w:bodyDiv w:val="1"/>
      <w:marLeft w:val="0"/>
      <w:marRight w:val="0"/>
      <w:marTop w:val="0"/>
      <w:marBottom w:val="0"/>
      <w:divBdr>
        <w:top w:val="none" w:sz="0" w:space="0" w:color="auto"/>
        <w:left w:val="none" w:sz="0" w:space="0" w:color="auto"/>
        <w:bottom w:val="none" w:sz="0" w:space="0" w:color="auto"/>
        <w:right w:val="none" w:sz="0" w:space="0" w:color="auto"/>
      </w:divBdr>
    </w:div>
    <w:div w:id="199365395">
      <w:bodyDiv w:val="1"/>
      <w:marLeft w:val="0"/>
      <w:marRight w:val="0"/>
      <w:marTop w:val="0"/>
      <w:marBottom w:val="0"/>
      <w:divBdr>
        <w:top w:val="none" w:sz="0" w:space="0" w:color="auto"/>
        <w:left w:val="none" w:sz="0" w:space="0" w:color="auto"/>
        <w:bottom w:val="none" w:sz="0" w:space="0" w:color="auto"/>
        <w:right w:val="none" w:sz="0" w:space="0" w:color="auto"/>
      </w:divBdr>
      <w:divsChild>
        <w:div w:id="92942550">
          <w:marLeft w:val="0"/>
          <w:marRight w:val="0"/>
          <w:marTop w:val="0"/>
          <w:marBottom w:val="0"/>
          <w:divBdr>
            <w:top w:val="none" w:sz="0" w:space="0" w:color="auto"/>
            <w:left w:val="none" w:sz="0" w:space="0" w:color="auto"/>
            <w:bottom w:val="none" w:sz="0" w:space="0" w:color="auto"/>
            <w:right w:val="none" w:sz="0" w:space="0" w:color="auto"/>
          </w:divBdr>
        </w:div>
        <w:div w:id="219681154">
          <w:marLeft w:val="0"/>
          <w:marRight w:val="0"/>
          <w:marTop w:val="0"/>
          <w:marBottom w:val="0"/>
          <w:divBdr>
            <w:top w:val="none" w:sz="0" w:space="0" w:color="auto"/>
            <w:left w:val="none" w:sz="0" w:space="0" w:color="auto"/>
            <w:bottom w:val="none" w:sz="0" w:space="0" w:color="auto"/>
            <w:right w:val="none" w:sz="0" w:space="0" w:color="auto"/>
          </w:divBdr>
        </w:div>
        <w:div w:id="575094448">
          <w:marLeft w:val="0"/>
          <w:marRight w:val="0"/>
          <w:marTop w:val="0"/>
          <w:marBottom w:val="0"/>
          <w:divBdr>
            <w:top w:val="none" w:sz="0" w:space="0" w:color="auto"/>
            <w:left w:val="none" w:sz="0" w:space="0" w:color="auto"/>
            <w:bottom w:val="none" w:sz="0" w:space="0" w:color="auto"/>
            <w:right w:val="none" w:sz="0" w:space="0" w:color="auto"/>
          </w:divBdr>
        </w:div>
        <w:div w:id="751699265">
          <w:marLeft w:val="0"/>
          <w:marRight w:val="0"/>
          <w:marTop w:val="0"/>
          <w:marBottom w:val="0"/>
          <w:divBdr>
            <w:top w:val="none" w:sz="0" w:space="0" w:color="auto"/>
            <w:left w:val="none" w:sz="0" w:space="0" w:color="auto"/>
            <w:bottom w:val="none" w:sz="0" w:space="0" w:color="auto"/>
            <w:right w:val="none" w:sz="0" w:space="0" w:color="auto"/>
          </w:divBdr>
        </w:div>
        <w:div w:id="17321932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4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963">
      <w:bodyDiv w:val="1"/>
      <w:marLeft w:val="0"/>
      <w:marRight w:val="0"/>
      <w:marTop w:val="0"/>
      <w:marBottom w:val="0"/>
      <w:divBdr>
        <w:top w:val="none" w:sz="0" w:space="0" w:color="auto"/>
        <w:left w:val="none" w:sz="0" w:space="0" w:color="auto"/>
        <w:bottom w:val="none" w:sz="0" w:space="0" w:color="auto"/>
        <w:right w:val="none" w:sz="0" w:space="0" w:color="auto"/>
      </w:divBdr>
    </w:div>
    <w:div w:id="326061141">
      <w:bodyDiv w:val="1"/>
      <w:marLeft w:val="0"/>
      <w:marRight w:val="0"/>
      <w:marTop w:val="0"/>
      <w:marBottom w:val="0"/>
      <w:divBdr>
        <w:top w:val="none" w:sz="0" w:space="0" w:color="auto"/>
        <w:left w:val="none" w:sz="0" w:space="0" w:color="auto"/>
        <w:bottom w:val="none" w:sz="0" w:space="0" w:color="auto"/>
        <w:right w:val="none" w:sz="0" w:space="0" w:color="auto"/>
      </w:divBdr>
      <w:divsChild>
        <w:div w:id="2065635267">
          <w:marLeft w:val="0"/>
          <w:marRight w:val="0"/>
          <w:marTop w:val="0"/>
          <w:marBottom w:val="0"/>
          <w:divBdr>
            <w:top w:val="none" w:sz="0" w:space="0" w:color="auto"/>
            <w:left w:val="none" w:sz="0" w:space="0" w:color="auto"/>
            <w:bottom w:val="none" w:sz="0" w:space="0" w:color="auto"/>
            <w:right w:val="none" w:sz="0" w:space="0" w:color="auto"/>
          </w:divBdr>
          <w:divsChild>
            <w:div w:id="2101872854">
              <w:marLeft w:val="0"/>
              <w:marRight w:val="0"/>
              <w:marTop w:val="0"/>
              <w:marBottom w:val="360"/>
              <w:divBdr>
                <w:top w:val="none" w:sz="0" w:space="0" w:color="auto"/>
                <w:left w:val="none" w:sz="0" w:space="0" w:color="auto"/>
                <w:bottom w:val="none" w:sz="0" w:space="0" w:color="auto"/>
                <w:right w:val="none" w:sz="0" w:space="0" w:color="auto"/>
              </w:divBdr>
              <w:divsChild>
                <w:div w:id="1110203158">
                  <w:marLeft w:val="0"/>
                  <w:marRight w:val="0"/>
                  <w:marTop w:val="0"/>
                  <w:marBottom w:val="0"/>
                  <w:divBdr>
                    <w:top w:val="none" w:sz="0" w:space="0" w:color="auto"/>
                    <w:left w:val="none" w:sz="0" w:space="0" w:color="auto"/>
                    <w:bottom w:val="none" w:sz="0" w:space="0" w:color="auto"/>
                    <w:right w:val="none" w:sz="0" w:space="0" w:color="auto"/>
                  </w:divBdr>
                  <w:divsChild>
                    <w:div w:id="231042167">
                      <w:marLeft w:val="0"/>
                      <w:marRight w:val="0"/>
                      <w:marTop w:val="0"/>
                      <w:marBottom w:val="0"/>
                      <w:divBdr>
                        <w:top w:val="none" w:sz="0" w:space="0" w:color="auto"/>
                        <w:left w:val="none" w:sz="0" w:space="0" w:color="auto"/>
                        <w:bottom w:val="none" w:sz="0" w:space="0" w:color="auto"/>
                        <w:right w:val="none" w:sz="0" w:space="0" w:color="auto"/>
                      </w:divBdr>
                      <w:divsChild>
                        <w:div w:id="1146629197">
                          <w:marLeft w:val="0"/>
                          <w:marRight w:val="0"/>
                          <w:marTop w:val="0"/>
                          <w:marBottom w:val="0"/>
                          <w:divBdr>
                            <w:top w:val="none" w:sz="0" w:space="0" w:color="auto"/>
                            <w:left w:val="none" w:sz="0" w:space="0" w:color="auto"/>
                            <w:bottom w:val="none" w:sz="0" w:space="0" w:color="auto"/>
                            <w:right w:val="none" w:sz="0" w:space="0" w:color="auto"/>
                          </w:divBdr>
                          <w:divsChild>
                            <w:div w:id="6973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380080">
      <w:bodyDiv w:val="1"/>
      <w:marLeft w:val="0"/>
      <w:marRight w:val="0"/>
      <w:marTop w:val="0"/>
      <w:marBottom w:val="0"/>
      <w:divBdr>
        <w:top w:val="none" w:sz="0" w:space="0" w:color="auto"/>
        <w:left w:val="none" w:sz="0" w:space="0" w:color="auto"/>
        <w:bottom w:val="none" w:sz="0" w:space="0" w:color="auto"/>
        <w:right w:val="none" w:sz="0" w:space="0" w:color="auto"/>
      </w:divBdr>
    </w:div>
    <w:div w:id="371460926">
      <w:bodyDiv w:val="1"/>
      <w:marLeft w:val="0"/>
      <w:marRight w:val="0"/>
      <w:marTop w:val="0"/>
      <w:marBottom w:val="0"/>
      <w:divBdr>
        <w:top w:val="none" w:sz="0" w:space="0" w:color="auto"/>
        <w:left w:val="none" w:sz="0" w:space="0" w:color="auto"/>
        <w:bottom w:val="none" w:sz="0" w:space="0" w:color="auto"/>
        <w:right w:val="none" w:sz="0" w:space="0" w:color="auto"/>
      </w:divBdr>
    </w:div>
    <w:div w:id="480732144">
      <w:bodyDiv w:val="1"/>
      <w:marLeft w:val="0"/>
      <w:marRight w:val="0"/>
      <w:marTop w:val="0"/>
      <w:marBottom w:val="0"/>
      <w:divBdr>
        <w:top w:val="none" w:sz="0" w:space="0" w:color="auto"/>
        <w:left w:val="none" w:sz="0" w:space="0" w:color="auto"/>
        <w:bottom w:val="none" w:sz="0" w:space="0" w:color="auto"/>
        <w:right w:val="none" w:sz="0" w:space="0" w:color="auto"/>
      </w:divBdr>
    </w:div>
    <w:div w:id="495078959">
      <w:bodyDiv w:val="1"/>
      <w:marLeft w:val="0"/>
      <w:marRight w:val="0"/>
      <w:marTop w:val="0"/>
      <w:marBottom w:val="0"/>
      <w:divBdr>
        <w:top w:val="none" w:sz="0" w:space="0" w:color="auto"/>
        <w:left w:val="none" w:sz="0" w:space="0" w:color="auto"/>
        <w:bottom w:val="none" w:sz="0" w:space="0" w:color="auto"/>
        <w:right w:val="none" w:sz="0" w:space="0" w:color="auto"/>
      </w:divBdr>
      <w:divsChild>
        <w:div w:id="394396122">
          <w:marLeft w:val="360"/>
          <w:marRight w:val="0"/>
          <w:marTop w:val="200"/>
          <w:marBottom w:val="0"/>
          <w:divBdr>
            <w:top w:val="none" w:sz="0" w:space="0" w:color="auto"/>
            <w:left w:val="none" w:sz="0" w:space="0" w:color="auto"/>
            <w:bottom w:val="none" w:sz="0" w:space="0" w:color="auto"/>
            <w:right w:val="none" w:sz="0" w:space="0" w:color="auto"/>
          </w:divBdr>
        </w:div>
        <w:div w:id="546138959">
          <w:marLeft w:val="360"/>
          <w:marRight w:val="0"/>
          <w:marTop w:val="200"/>
          <w:marBottom w:val="0"/>
          <w:divBdr>
            <w:top w:val="none" w:sz="0" w:space="0" w:color="auto"/>
            <w:left w:val="none" w:sz="0" w:space="0" w:color="auto"/>
            <w:bottom w:val="none" w:sz="0" w:space="0" w:color="auto"/>
            <w:right w:val="none" w:sz="0" w:space="0" w:color="auto"/>
          </w:divBdr>
        </w:div>
        <w:div w:id="1258170860">
          <w:marLeft w:val="360"/>
          <w:marRight w:val="0"/>
          <w:marTop w:val="200"/>
          <w:marBottom w:val="0"/>
          <w:divBdr>
            <w:top w:val="none" w:sz="0" w:space="0" w:color="auto"/>
            <w:left w:val="none" w:sz="0" w:space="0" w:color="auto"/>
            <w:bottom w:val="none" w:sz="0" w:space="0" w:color="auto"/>
            <w:right w:val="none" w:sz="0" w:space="0" w:color="auto"/>
          </w:divBdr>
        </w:div>
        <w:div w:id="1298560871">
          <w:marLeft w:val="360"/>
          <w:marRight w:val="0"/>
          <w:marTop w:val="200"/>
          <w:marBottom w:val="0"/>
          <w:divBdr>
            <w:top w:val="none" w:sz="0" w:space="0" w:color="auto"/>
            <w:left w:val="none" w:sz="0" w:space="0" w:color="auto"/>
            <w:bottom w:val="none" w:sz="0" w:space="0" w:color="auto"/>
            <w:right w:val="none" w:sz="0" w:space="0" w:color="auto"/>
          </w:divBdr>
        </w:div>
        <w:div w:id="1899592228">
          <w:marLeft w:val="360"/>
          <w:marRight w:val="0"/>
          <w:marTop w:val="200"/>
          <w:marBottom w:val="0"/>
          <w:divBdr>
            <w:top w:val="none" w:sz="0" w:space="0" w:color="auto"/>
            <w:left w:val="none" w:sz="0" w:space="0" w:color="auto"/>
            <w:bottom w:val="none" w:sz="0" w:space="0" w:color="auto"/>
            <w:right w:val="none" w:sz="0" w:space="0" w:color="auto"/>
          </w:divBdr>
        </w:div>
        <w:div w:id="1981304437">
          <w:marLeft w:val="360"/>
          <w:marRight w:val="0"/>
          <w:marTop w:val="200"/>
          <w:marBottom w:val="0"/>
          <w:divBdr>
            <w:top w:val="none" w:sz="0" w:space="0" w:color="auto"/>
            <w:left w:val="none" w:sz="0" w:space="0" w:color="auto"/>
            <w:bottom w:val="none" w:sz="0" w:space="0" w:color="auto"/>
            <w:right w:val="none" w:sz="0" w:space="0" w:color="auto"/>
          </w:divBdr>
        </w:div>
        <w:div w:id="2045985891">
          <w:marLeft w:val="360"/>
          <w:marRight w:val="0"/>
          <w:marTop w:val="200"/>
          <w:marBottom w:val="0"/>
          <w:divBdr>
            <w:top w:val="none" w:sz="0" w:space="0" w:color="auto"/>
            <w:left w:val="none" w:sz="0" w:space="0" w:color="auto"/>
            <w:bottom w:val="none" w:sz="0" w:space="0" w:color="auto"/>
            <w:right w:val="none" w:sz="0" w:space="0" w:color="auto"/>
          </w:divBdr>
        </w:div>
      </w:divsChild>
    </w:div>
    <w:div w:id="564219683">
      <w:bodyDiv w:val="1"/>
      <w:marLeft w:val="0"/>
      <w:marRight w:val="0"/>
      <w:marTop w:val="0"/>
      <w:marBottom w:val="0"/>
      <w:divBdr>
        <w:top w:val="none" w:sz="0" w:space="0" w:color="auto"/>
        <w:left w:val="none" w:sz="0" w:space="0" w:color="auto"/>
        <w:bottom w:val="none" w:sz="0" w:space="0" w:color="auto"/>
        <w:right w:val="none" w:sz="0" w:space="0" w:color="auto"/>
      </w:divBdr>
      <w:divsChild>
        <w:div w:id="616373534">
          <w:marLeft w:val="360"/>
          <w:marRight w:val="0"/>
          <w:marTop w:val="200"/>
          <w:marBottom w:val="0"/>
          <w:divBdr>
            <w:top w:val="none" w:sz="0" w:space="0" w:color="auto"/>
            <w:left w:val="none" w:sz="0" w:space="0" w:color="auto"/>
            <w:bottom w:val="none" w:sz="0" w:space="0" w:color="auto"/>
            <w:right w:val="none" w:sz="0" w:space="0" w:color="auto"/>
          </w:divBdr>
        </w:div>
        <w:div w:id="1678579450">
          <w:marLeft w:val="360"/>
          <w:marRight w:val="0"/>
          <w:marTop w:val="200"/>
          <w:marBottom w:val="0"/>
          <w:divBdr>
            <w:top w:val="none" w:sz="0" w:space="0" w:color="auto"/>
            <w:left w:val="none" w:sz="0" w:space="0" w:color="auto"/>
            <w:bottom w:val="none" w:sz="0" w:space="0" w:color="auto"/>
            <w:right w:val="none" w:sz="0" w:space="0" w:color="auto"/>
          </w:divBdr>
        </w:div>
        <w:div w:id="1867210015">
          <w:marLeft w:val="360"/>
          <w:marRight w:val="0"/>
          <w:marTop w:val="200"/>
          <w:marBottom w:val="0"/>
          <w:divBdr>
            <w:top w:val="none" w:sz="0" w:space="0" w:color="auto"/>
            <w:left w:val="none" w:sz="0" w:space="0" w:color="auto"/>
            <w:bottom w:val="none" w:sz="0" w:space="0" w:color="auto"/>
            <w:right w:val="none" w:sz="0" w:space="0" w:color="auto"/>
          </w:divBdr>
        </w:div>
      </w:divsChild>
    </w:div>
    <w:div w:id="776028710">
      <w:bodyDiv w:val="1"/>
      <w:marLeft w:val="0"/>
      <w:marRight w:val="0"/>
      <w:marTop w:val="0"/>
      <w:marBottom w:val="0"/>
      <w:divBdr>
        <w:top w:val="none" w:sz="0" w:space="0" w:color="auto"/>
        <w:left w:val="none" w:sz="0" w:space="0" w:color="auto"/>
        <w:bottom w:val="none" w:sz="0" w:space="0" w:color="auto"/>
        <w:right w:val="none" w:sz="0" w:space="0" w:color="auto"/>
      </w:divBdr>
      <w:divsChild>
        <w:div w:id="1742098844">
          <w:marLeft w:val="360"/>
          <w:marRight w:val="0"/>
          <w:marTop w:val="200"/>
          <w:marBottom w:val="0"/>
          <w:divBdr>
            <w:top w:val="none" w:sz="0" w:space="0" w:color="auto"/>
            <w:left w:val="none" w:sz="0" w:space="0" w:color="auto"/>
            <w:bottom w:val="none" w:sz="0" w:space="0" w:color="auto"/>
            <w:right w:val="none" w:sz="0" w:space="0" w:color="auto"/>
          </w:divBdr>
        </w:div>
        <w:div w:id="1813207614">
          <w:marLeft w:val="360"/>
          <w:marRight w:val="0"/>
          <w:marTop w:val="200"/>
          <w:marBottom w:val="0"/>
          <w:divBdr>
            <w:top w:val="none" w:sz="0" w:space="0" w:color="auto"/>
            <w:left w:val="none" w:sz="0" w:space="0" w:color="auto"/>
            <w:bottom w:val="none" w:sz="0" w:space="0" w:color="auto"/>
            <w:right w:val="none" w:sz="0" w:space="0" w:color="auto"/>
          </w:divBdr>
        </w:div>
        <w:div w:id="1911035036">
          <w:marLeft w:val="360"/>
          <w:marRight w:val="0"/>
          <w:marTop w:val="200"/>
          <w:marBottom w:val="0"/>
          <w:divBdr>
            <w:top w:val="none" w:sz="0" w:space="0" w:color="auto"/>
            <w:left w:val="none" w:sz="0" w:space="0" w:color="auto"/>
            <w:bottom w:val="none" w:sz="0" w:space="0" w:color="auto"/>
            <w:right w:val="none" w:sz="0" w:space="0" w:color="auto"/>
          </w:divBdr>
        </w:div>
      </w:divsChild>
    </w:div>
    <w:div w:id="795410620">
      <w:bodyDiv w:val="1"/>
      <w:marLeft w:val="0"/>
      <w:marRight w:val="0"/>
      <w:marTop w:val="0"/>
      <w:marBottom w:val="0"/>
      <w:divBdr>
        <w:top w:val="none" w:sz="0" w:space="0" w:color="auto"/>
        <w:left w:val="none" w:sz="0" w:space="0" w:color="auto"/>
        <w:bottom w:val="none" w:sz="0" w:space="0" w:color="auto"/>
        <w:right w:val="none" w:sz="0" w:space="0" w:color="auto"/>
      </w:divBdr>
    </w:div>
    <w:div w:id="806316654">
      <w:bodyDiv w:val="1"/>
      <w:marLeft w:val="0"/>
      <w:marRight w:val="0"/>
      <w:marTop w:val="0"/>
      <w:marBottom w:val="0"/>
      <w:divBdr>
        <w:top w:val="none" w:sz="0" w:space="0" w:color="auto"/>
        <w:left w:val="none" w:sz="0" w:space="0" w:color="auto"/>
        <w:bottom w:val="none" w:sz="0" w:space="0" w:color="auto"/>
        <w:right w:val="none" w:sz="0" w:space="0" w:color="auto"/>
      </w:divBdr>
    </w:div>
    <w:div w:id="819426076">
      <w:bodyDiv w:val="1"/>
      <w:marLeft w:val="0"/>
      <w:marRight w:val="0"/>
      <w:marTop w:val="0"/>
      <w:marBottom w:val="0"/>
      <w:divBdr>
        <w:top w:val="none" w:sz="0" w:space="0" w:color="auto"/>
        <w:left w:val="none" w:sz="0" w:space="0" w:color="auto"/>
        <w:bottom w:val="none" w:sz="0" w:space="0" w:color="auto"/>
        <w:right w:val="none" w:sz="0" w:space="0" w:color="auto"/>
      </w:divBdr>
      <w:divsChild>
        <w:div w:id="644238824">
          <w:marLeft w:val="0"/>
          <w:marRight w:val="0"/>
          <w:marTop w:val="0"/>
          <w:marBottom w:val="0"/>
          <w:divBdr>
            <w:top w:val="none" w:sz="0" w:space="0" w:color="auto"/>
            <w:left w:val="none" w:sz="0" w:space="0" w:color="auto"/>
            <w:bottom w:val="none" w:sz="0" w:space="0" w:color="auto"/>
            <w:right w:val="none" w:sz="0" w:space="0" w:color="auto"/>
          </w:divBdr>
        </w:div>
        <w:div w:id="667832400">
          <w:marLeft w:val="0"/>
          <w:marRight w:val="0"/>
          <w:marTop w:val="0"/>
          <w:marBottom w:val="0"/>
          <w:divBdr>
            <w:top w:val="none" w:sz="0" w:space="0" w:color="auto"/>
            <w:left w:val="none" w:sz="0" w:space="0" w:color="auto"/>
            <w:bottom w:val="none" w:sz="0" w:space="0" w:color="auto"/>
            <w:right w:val="none" w:sz="0" w:space="0" w:color="auto"/>
          </w:divBdr>
        </w:div>
        <w:div w:id="978538072">
          <w:marLeft w:val="0"/>
          <w:marRight w:val="0"/>
          <w:marTop w:val="0"/>
          <w:marBottom w:val="0"/>
          <w:divBdr>
            <w:top w:val="none" w:sz="0" w:space="0" w:color="auto"/>
            <w:left w:val="none" w:sz="0" w:space="0" w:color="auto"/>
            <w:bottom w:val="none" w:sz="0" w:space="0" w:color="auto"/>
            <w:right w:val="none" w:sz="0" w:space="0" w:color="auto"/>
          </w:divBdr>
        </w:div>
        <w:div w:id="1029259677">
          <w:marLeft w:val="0"/>
          <w:marRight w:val="0"/>
          <w:marTop w:val="0"/>
          <w:marBottom w:val="0"/>
          <w:divBdr>
            <w:top w:val="none" w:sz="0" w:space="0" w:color="auto"/>
            <w:left w:val="none" w:sz="0" w:space="0" w:color="auto"/>
            <w:bottom w:val="none" w:sz="0" w:space="0" w:color="auto"/>
            <w:right w:val="none" w:sz="0" w:space="0" w:color="auto"/>
          </w:divBdr>
        </w:div>
        <w:div w:id="1051853101">
          <w:marLeft w:val="0"/>
          <w:marRight w:val="0"/>
          <w:marTop w:val="0"/>
          <w:marBottom w:val="0"/>
          <w:divBdr>
            <w:top w:val="none" w:sz="0" w:space="0" w:color="auto"/>
            <w:left w:val="none" w:sz="0" w:space="0" w:color="auto"/>
            <w:bottom w:val="none" w:sz="0" w:space="0" w:color="auto"/>
            <w:right w:val="none" w:sz="0" w:space="0" w:color="auto"/>
          </w:divBdr>
        </w:div>
        <w:div w:id="1115291687">
          <w:marLeft w:val="0"/>
          <w:marRight w:val="0"/>
          <w:marTop w:val="0"/>
          <w:marBottom w:val="0"/>
          <w:divBdr>
            <w:top w:val="none" w:sz="0" w:space="0" w:color="auto"/>
            <w:left w:val="none" w:sz="0" w:space="0" w:color="auto"/>
            <w:bottom w:val="none" w:sz="0" w:space="0" w:color="auto"/>
            <w:right w:val="none" w:sz="0" w:space="0" w:color="auto"/>
          </w:divBdr>
        </w:div>
        <w:div w:id="1574509366">
          <w:marLeft w:val="0"/>
          <w:marRight w:val="0"/>
          <w:marTop w:val="0"/>
          <w:marBottom w:val="0"/>
          <w:divBdr>
            <w:top w:val="none" w:sz="0" w:space="0" w:color="auto"/>
            <w:left w:val="none" w:sz="0" w:space="0" w:color="auto"/>
            <w:bottom w:val="none" w:sz="0" w:space="0" w:color="auto"/>
            <w:right w:val="none" w:sz="0" w:space="0" w:color="auto"/>
          </w:divBdr>
        </w:div>
        <w:div w:id="1589078190">
          <w:marLeft w:val="0"/>
          <w:marRight w:val="0"/>
          <w:marTop w:val="0"/>
          <w:marBottom w:val="0"/>
          <w:divBdr>
            <w:top w:val="none" w:sz="0" w:space="0" w:color="auto"/>
            <w:left w:val="none" w:sz="0" w:space="0" w:color="auto"/>
            <w:bottom w:val="none" w:sz="0" w:space="0" w:color="auto"/>
            <w:right w:val="none" w:sz="0" w:space="0" w:color="auto"/>
          </w:divBdr>
        </w:div>
        <w:div w:id="1936015860">
          <w:marLeft w:val="0"/>
          <w:marRight w:val="0"/>
          <w:marTop w:val="0"/>
          <w:marBottom w:val="0"/>
          <w:divBdr>
            <w:top w:val="none" w:sz="0" w:space="0" w:color="auto"/>
            <w:left w:val="none" w:sz="0" w:space="0" w:color="auto"/>
            <w:bottom w:val="none" w:sz="0" w:space="0" w:color="auto"/>
            <w:right w:val="none" w:sz="0" w:space="0" w:color="auto"/>
          </w:divBdr>
        </w:div>
        <w:div w:id="2107118421">
          <w:marLeft w:val="0"/>
          <w:marRight w:val="0"/>
          <w:marTop w:val="0"/>
          <w:marBottom w:val="0"/>
          <w:divBdr>
            <w:top w:val="none" w:sz="0" w:space="0" w:color="auto"/>
            <w:left w:val="none" w:sz="0" w:space="0" w:color="auto"/>
            <w:bottom w:val="none" w:sz="0" w:space="0" w:color="auto"/>
            <w:right w:val="none" w:sz="0" w:space="0" w:color="auto"/>
          </w:divBdr>
        </w:div>
      </w:divsChild>
    </w:div>
    <w:div w:id="894195378">
      <w:bodyDiv w:val="1"/>
      <w:marLeft w:val="0"/>
      <w:marRight w:val="0"/>
      <w:marTop w:val="0"/>
      <w:marBottom w:val="0"/>
      <w:divBdr>
        <w:top w:val="none" w:sz="0" w:space="0" w:color="auto"/>
        <w:left w:val="none" w:sz="0" w:space="0" w:color="auto"/>
        <w:bottom w:val="none" w:sz="0" w:space="0" w:color="auto"/>
        <w:right w:val="none" w:sz="0" w:space="0" w:color="auto"/>
      </w:divBdr>
    </w:div>
    <w:div w:id="943003438">
      <w:bodyDiv w:val="1"/>
      <w:marLeft w:val="0"/>
      <w:marRight w:val="0"/>
      <w:marTop w:val="0"/>
      <w:marBottom w:val="0"/>
      <w:divBdr>
        <w:top w:val="none" w:sz="0" w:space="0" w:color="auto"/>
        <w:left w:val="none" w:sz="0" w:space="0" w:color="auto"/>
        <w:bottom w:val="none" w:sz="0" w:space="0" w:color="auto"/>
        <w:right w:val="none" w:sz="0" w:space="0" w:color="auto"/>
      </w:divBdr>
    </w:div>
    <w:div w:id="1037972130">
      <w:bodyDiv w:val="1"/>
      <w:marLeft w:val="0"/>
      <w:marRight w:val="0"/>
      <w:marTop w:val="0"/>
      <w:marBottom w:val="0"/>
      <w:divBdr>
        <w:top w:val="none" w:sz="0" w:space="0" w:color="auto"/>
        <w:left w:val="none" w:sz="0" w:space="0" w:color="auto"/>
        <w:bottom w:val="none" w:sz="0" w:space="0" w:color="auto"/>
        <w:right w:val="none" w:sz="0" w:space="0" w:color="auto"/>
      </w:divBdr>
    </w:div>
    <w:div w:id="1078788822">
      <w:bodyDiv w:val="1"/>
      <w:marLeft w:val="0"/>
      <w:marRight w:val="0"/>
      <w:marTop w:val="0"/>
      <w:marBottom w:val="0"/>
      <w:divBdr>
        <w:top w:val="none" w:sz="0" w:space="0" w:color="auto"/>
        <w:left w:val="none" w:sz="0" w:space="0" w:color="auto"/>
        <w:bottom w:val="none" w:sz="0" w:space="0" w:color="auto"/>
        <w:right w:val="none" w:sz="0" w:space="0" w:color="auto"/>
      </w:divBdr>
    </w:div>
    <w:div w:id="1152672999">
      <w:bodyDiv w:val="1"/>
      <w:marLeft w:val="0"/>
      <w:marRight w:val="0"/>
      <w:marTop w:val="0"/>
      <w:marBottom w:val="0"/>
      <w:divBdr>
        <w:top w:val="none" w:sz="0" w:space="0" w:color="auto"/>
        <w:left w:val="none" w:sz="0" w:space="0" w:color="auto"/>
        <w:bottom w:val="none" w:sz="0" w:space="0" w:color="auto"/>
        <w:right w:val="none" w:sz="0" w:space="0" w:color="auto"/>
      </w:divBdr>
    </w:div>
    <w:div w:id="1199275994">
      <w:bodyDiv w:val="1"/>
      <w:marLeft w:val="0"/>
      <w:marRight w:val="0"/>
      <w:marTop w:val="0"/>
      <w:marBottom w:val="0"/>
      <w:divBdr>
        <w:top w:val="none" w:sz="0" w:space="0" w:color="auto"/>
        <w:left w:val="none" w:sz="0" w:space="0" w:color="auto"/>
        <w:bottom w:val="none" w:sz="0" w:space="0" w:color="auto"/>
        <w:right w:val="none" w:sz="0" w:space="0" w:color="auto"/>
      </w:divBdr>
    </w:div>
    <w:div w:id="1213081527">
      <w:bodyDiv w:val="1"/>
      <w:marLeft w:val="0"/>
      <w:marRight w:val="0"/>
      <w:marTop w:val="0"/>
      <w:marBottom w:val="0"/>
      <w:divBdr>
        <w:top w:val="none" w:sz="0" w:space="0" w:color="auto"/>
        <w:left w:val="none" w:sz="0" w:space="0" w:color="auto"/>
        <w:bottom w:val="none" w:sz="0" w:space="0" w:color="auto"/>
        <w:right w:val="none" w:sz="0" w:space="0" w:color="auto"/>
      </w:divBdr>
    </w:div>
    <w:div w:id="1236209845">
      <w:bodyDiv w:val="1"/>
      <w:marLeft w:val="0"/>
      <w:marRight w:val="0"/>
      <w:marTop w:val="0"/>
      <w:marBottom w:val="0"/>
      <w:divBdr>
        <w:top w:val="none" w:sz="0" w:space="0" w:color="auto"/>
        <w:left w:val="none" w:sz="0" w:space="0" w:color="auto"/>
        <w:bottom w:val="none" w:sz="0" w:space="0" w:color="auto"/>
        <w:right w:val="none" w:sz="0" w:space="0" w:color="auto"/>
      </w:divBdr>
    </w:div>
    <w:div w:id="1287001294">
      <w:bodyDiv w:val="1"/>
      <w:marLeft w:val="0"/>
      <w:marRight w:val="0"/>
      <w:marTop w:val="0"/>
      <w:marBottom w:val="0"/>
      <w:divBdr>
        <w:top w:val="none" w:sz="0" w:space="0" w:color="auto"/>
        <w:left w:val="none" w:sz="0" w:space="0" w:color="auto"/>
        <w:bottom w:val="none" w:sz="0" w:space="0" w:color="auto"/>
        <w:right w:val="none" w:sz="0" w:space="0" w:color="auto"/>
      </w:divBdr>
    </w:div>
    <w:div w:id="1289167707">
      <w:bodyDiv w:val="1"/>
      <w:marLeft w:val="0"/>
      <w:marRight w:val="0"/>
      <w:marTop w:val="0"/>
      <w:marBottom w:val="0"/>
      <w:divBdr>
        <w:top w:val="none" w:sz="0" w:space="0" w:color="auto"/>
        <w:left w:val="none" w:sz="0" w:space="0" w:color="auto"/>
        <w:bottom w:val="none" w:sz="0" w:space="0" w:color="auto"/>
        <w:right w:val="none" w:sz="0" w:space="0" w:color="auto"/>
      </w:divBdr>
    </w:div>
    <w:div w:id="1293173080">
      <w:bodyDiv w:val="1"/>
      <w:marLeft w:val="0"/>
      <w:marRight w:val="0"/>
      <w:marTop w:val="0"/>
      <w:marBottom w:val="0"/>
      <w:divBdr>
        <w:top w:val="none" w:sz="0" w:space="0" w:color="auto"/>
        <w:left w:val="none" w:sz="0" w:space="0" w:color="auto"/>
        <w:bottom w:val="none" w:sz="0" w:space="0" w:color="auto"/>
        <w:right w:val="none" w:sz="0" w:space="0" w:color="auto"/>
      </w:divBdr>
    </w:div>
    <w:div w:id="1324162490">
      <w:bodyDiv w:val="1"/>
      <w:marLeft w:val="0"/>
      <w:marRight w:val="0"/>
      <w:marTop w:val="0"/>
      <w:marBottom w:val="0"/>
      <w:divBdr>
        <w:top w:val="none" w:sz="0" w:space="0" w:color="auto"/>
        <w:left w:val="none" w:sz="0" w:space="0" w:color="auto"/>
        <w:bottom w:val="none" w:sz="0" w:space="0" w:color="auto"/>
        <w:right w:val="none" w:sz="0" w:space="0" w:color="auto"/>
      </w:divBdr>
    </w:div>
    <w:div w:id="1481145133">
      <w:bodyDiv w:val="1"/>
      <w:marLeft w:val="0"/>
      <w:marRight w:val="0"/>
      <w:marTop w:val="0"/>
      <w:marBottom w:val="0"/>
      <w:divBdr>
        <w:top w:val="none" w:sz="0" w:space="0" w:color="auto"/>
        <w:left w:val="none" w:sz="0" w:space="0" w:color="auto"/>
        <w:bottom w:val="none" w:sz="0" w:space="0" w:color="auto"/>
        <w:right w:val="none" w:sz="0" w:space="0" w:color="auto"/>
      </w:divBdr>
    </w:div>
    <w:div w:id="1626235577">
      <w:bodyDiv w:val="1"/>
      <w:marLeft w:val="0"/>
      <w:marRight w:val="0"/>
      <w:marTop w:val="0"/>
      <w:marBottom w:val="0"/>
      <w:divBdr>
        <w:top w:val="none" w:sz="0" w:space="0" w:color="auto"/>
        <w:left w:val="none" w:sz="0" w:space="0" w:color="auto"/>
        <w:bottom w:val="none" w:sz="0" w:space="0" w:color="auto"/>
        <w:right w:val="none" w:sz="0" w:space="0" w:color="auto"/>
      </w:divBdr>
      <w:divsChild>
        <w:div w:id="111901472">
          <w:marLeft w:val="547"/>
          <w:marRight w:val="0"/>
          <w:marTop w:val="0"/>
          <w:marBottom w:val="0"/>
          <w:divBdr>
            <w:top w:val="none" w:sz="0" w:space="0" w:color="auto"/>
            <w:left w:val="none" w:sz="0" w:space="0" w:color="auto"/>
            <w:bottom w:val="none" w:sz="0" w:space="0" w:color="auto"/>
            <w:right w:val="none" w:sz="0" w:space="0" w:color="auto"/>
          </w:divBdr>
        </w:div>
        <w:div w:id="1369379279">
          <w:marLeft w:val="547"/>
          <w:marRight w:val="0"/>
          <w:marTop w:val="0"/>
          <w:marBottom w:val="0"/>
          <w:divBdr>
            <w:top w:val="none" w:sz="0" w:space="0" w:color="auto"/>
            <w:left w:val="none" w:sz="0" w:space="0" w:color="auto"/>
            <w:bottom w:val="none" w:sz="0" w:space="0" w:color="auto"/>
            <w:right w:val="none" w:sz="0" w:space="0" w:color="auto"/>
          </w:divBdr>
        </w:div>
        <w:div w:id="1489252264">
          <w:marLeft w:val="547"/>
          <w:marRight w:val="0"/>
          <w:marTop w:val="0"/>
          <w:marBottom w:val="0"/>
          <w:divBdr>
            <w:top w:val="none" w:sz="0" w:space="0" w:color="auto"/>
            <w:left w:val="none" w:sz="0" w:space="0" w:color="auto"/>
            <w:bottom w:val="none" w:sz="0" w:space="0" w:color="auto"/>
            <w:right w:val="none" w:sz="0" w:space="0" w:color="auto"/>
          </w:divBdr>
        </w:div>
        <w:div w:id="1531453131">
          <w:marLeft w:val="547"/>
          <w:marRight w:val="0"/>
          <w:marTop w:val="0"/>
          <w:marBottom w:val="0"/>
          <w:divBdr>
            <w:top w:val="none" w:sz="0" w:space="0" w:color="auto"/>
            <w:left w:val="none" w:sz="0" w:space="0" w:color="auto"/>
            <w:bottom w:val="none" w:sz="0" w:space="0" w:color="auto"/>
            <w:right w:val="none" w:sz="0" w:space="0" w:color="auto"/>
          </w:divBdr>
        </w:div>
      </w:divsChild>
    </w:div>
    <w:div w:id="1700932964">
      <w:bodyDiv w:val="1"/>
      <w:marLeft w:val="0"/>
      <w:marRight w:val="0"/>
      <w:marTop w:val="0"/>
      <w:marBottom w:val="0"/>
      <w:divBdr>
        <w:top w:val="none" w:sz="0" w:space="0" w:color="auto"/>
        <w:left w:val="none" w:sz="0" w:space="0" w:color="auto"/>
        <w:bottom w:val="none" w:sz="0" w:space="0" w:color="auto"/>
        <w:right w:val="none" w:sz="0" w:space="0" w:color="auto"/>
      </w:divBdr>
      <w:divsChild>
        <w:div w:id="885339999">
          <w:marLeft w:val="360"/>
          <w:marRight w:val="0"/>
          <w:marTop w:val="200"/>
          <w:marBottom w:val="0"/>
          <w:divBdr>
            <w:top w:val="none" w:sz="0" w:space="0" w:color="auto"/>
            <w:left w:val="none" w:sz="0" w:space="0" w:color="auto"/>
            <w:bottom w:val="none" w:sz="0" w:space="0" w:color="auto"/>
            <w:right w:val="none" w:sz="0" w:space="0" w:color="auto"/>
          </w:divBdr>
        </w:div>
        <w:div w:id="1322731661">
          <w:marLeft w:val="360"/>
          <w:marRight w:val="0"/>
          <w:marTop w:val="200"/>
          <w:marBottom w:val="0"/>
          <w:divBdr>
            <w:top w:val="none" w:sz="0" w:space="0" w:color="auto"/>
            <w:left w:val="none" w:sz="0" w:space="0" w:color="auto"/>
            <w:bottom w:val="none" w:sz="0" w:space="0" w:color="auto"/>
            <w:right w:val="none" w:sz="0" w:space="0" w:color="auto"/>
          </w:divBdr>
        </w:div>
        <w:div w:id="1327322905">
          <w:marLeft w:val="360"/>
          <w:marRight w:val="0"/>
          <w:marTop w:val="200"/>
          <w:marBottom w:val="0"/>
          <w:divBdr>
            <w:top w:val="none" w:sz="0" w:space="0" w:color="auto"/>
            <w:left w:val="none" w:sz="0" w:space="0" w:color="auto"/>
            <w:bottom w:val="none" w:sz="0" w:space="0" w:color="auto"/>
            <w:right w:val="none" w:sz="0" w:space="0" w:color="auto"/>
          </w:divBdr>
        </w:div>
        <w:div w:id="1585799366">
          <w:marLeft w:val="360"/>
          <w:marRight w:val="0"/>
          <w:marTop w:val="200"/>
          <w:marBottom w:val="0"/>
          <w:divBdr>
            <w:top w:val="none" w:sz="0" w:space="0" w:color="auto"/>
            <w:left w:val="none" w:sz="0" w:space="0" w:color="auto"/>
            <w:bottom w:val="none" w:sz="0" w:space="0" w:color="auto"/>
            <w:right w:val="none" w:sz="0" w:space="0" w:color="auto"/>
          </w:divBdr>
        </w:div>
        <w:div w:id="1797219695">
          <w:marLeft w:val="360"/>
          <w:marRight w:val="0"/>
          <w:marTop w:val="200"/>
          <w:marBottom w:val="0"/>
          <w:divBdr>
            <w:top w:val="none" w:sz="0" w:space="0" w:color="auto"/>
            <w:left w:val="none" w:sz="0" w:space="0" w:color="auto"/>
            <w:bottom w:val="none" w:sz="0" w:space="0" w:color="auto"/>
            <w:right w:val="none" w:sz="0" w:space="0" w:color="auto"/>
          </w:divBdr>
        </w:div>
        <w:div w:id="2013992857">
          <w:marLeft w:val="360"/>
          <w:marRight w:val="0"/>
          <w:marTop w:val="200"/>
          <w:marBottom w:val="0"/>
          <w:divBdr>
            <w:top w:val="none" w:sz="0" w:space="0" w:color="auto"/>
            <w:left w:val="none" w:sz="0" w:space="0" w:color="auto"/>
            <w:bottom w:val="none" w:sz="0" w:space="0" w:color="auto"/>
            <w:right w:val="none" w:sz="0" w:space="0" w:color="auto"/>
          </w:divBdr>
        </w:div>
      </w:divsChild>
    </w:div>
    <w:div w:id="1756390617">
      <w:bodyDiv w:val="1"/>
      <w:marLeft w:val="0"/>
      <w:marRight w:val="0"/>
      <w:marTop w:val="0"/>
      <w:marBottom w:val="0"/>
      <w:divBdr>
        <w:top w:val="none" w:sz="0" w:space="0" w:color="auto"/>
        <w:left w:val="none" w:sz="0" w:space="0" w:color="auto"/>
        <w:bottom w:val="none" w:sz="0" w:space="0" w:color="auto"/>
        <w:right w:val="none" w:sz="0" w:space="0" w:color="auto"/>
      </w:divBdr>
      <w:divsChild>
        <w:div w:id="699742727">
          <w:marLeft w:val="360"/>
          <w:marRight w:val="0"/>
          <w:marTop w:val="200"/>
          <w:marBottom w:val="0"/>
          <w:divBdr>
            <w:top w:val="none" w:sz="0" w:space="0" w:color="auto"/>
            <w:left w:val="none" w:sz="0" w:space="0" w:color="auto"/>
            <w:bottom w:val="none" w:sz="0" w:space="0" w:color="auto"/>
            <w:right w:val="none" w:sz="0" w:space="0" w:color="auto"/>
          </w:divBdr>
        </w:div>
        <w:div w:id="1728413074">
          <w:marLeft w:val="360"/>
          <w:marRight w:val="0"/>
          <w:marTop w:val="200"/>
          <w:marBottom w:val="0"/>
          <w:divBdr>
            <w:top w:val="none" w:sz="0" w:space="0" w:color="auto"/>
            <w:left w:val="none" w:sz="0" w:space="0" w:color="auto"/>
            <w:bottom w:val="none" w:sz="0" w:space="0" w:color="auto"/>
            <w:right w:val="none" w:sz="0" w:space="0" w:color="auto"/>
          </w:divBdr>
        </w:div>
      </w:divsChild>
    </w:div>
    <w:div w:id="1912353013">
      <w:bodyDiv w:val="1"/>
      <w:marLeft w:val="0"/>
      <w:marRight w:val="0"/>
      <w:marTop w:val="0"/>
      <w:marBottom w:val="0"/>
      <w:divBdr>
        <w:top w:val="none" w:sz="0" w:space="0" w:color="auto"/>
        <w:left w:val="none" w:sz="0" w:space="0" w:color="auto"/>
        <w:bottom w:val="none" w:sz="0" w:space="0" w:color="auto"/>
        <w:right w:val="none" w:sz="0" w:space="0" w:color="auto"/>
      </w:divBdr>
    </w:div>
    <w:div w:id="2010448879">
      <w:bodyDiv w:val="1"/>
      <w:marLeft w:val="0"/>
      <w:marRight w:val="0"/>
      <w:marTop w:val="0"/>
      <w:marBottom w:val="0"/>
      <w:divBdr>
        <w:top w:val="none" w:sz="0" w:space="0" w:color="auto"/>
        <w:left w:val="none" w:sz="0" w:space="0" w:color="auto"/>
        <w:bottom w:val="none" w:sz="0" w:space="0" w:color="auto"/>
        <w:right w:val="none" w:sz="0" w:space="0" w:color="auto"/>
      </w:divBdr>
      <w:divsChild>
        <w:div w:id="20058262">
          <w:marLeft w:val="0"/>
          <w:marRight w:val="0"/>
          <w:marTop w:val="0"/>
          <w:marBottom w:val="0"/>
          <w:divBdr>
            <w:top w:val="none" w:sz="0" w:space="0" w:color="auto"/>
            <w:left w:val="none" w:sz="0" w:space="0" w:color="auto"/>
            <w:bottom w:val="none" w:sz="0" w:space="0" w:color="auto"/>
            <w:right w:val="none" w:sz="0" w:space="0" w:color="auto"/>
          </w:divBdr>
        </w:div>
        <w:div w:id="20324660">
          <w:marLeft w:val="0"/>
          <w:marRight w:val="0"/>
          <w:marTop w:val="0"/>
          <w:marBottom w:val="0"/>
          <w:divBdr>
            <w:top w:val="none" w:sz="0" w:space="0" w:color="auto"/>
            <w:left w:val="none" w:sz="0" w:space="0" w:color="auto"/>
            <w:bottom w:val="none" w:sz="0" w:space="0" w:color="auto"/>
            <w:right w:val="none" w:sz="0" w:space="0" w:color="auto"/>
          </w:divBdr>
        </w:div>
        <w:div w:id="248127706">
          <w:marLeft w:val="0"/>
          <w:marRight w:val="0"/>
          <w:marTop w:val="0"/>
          <w:marBottom w:val="0"/>
          <w:divBdr>
            <w:top w:val="none" w:sz="0" w:space="0" w:color="auto"/>
            <w:left w:val="none" w:sz="0" w:space="0" w:color="auto"/>
            <w:bottom w:val="none" w:sz="0" w:space="0" w:color="auto"/>
            <w:right w:val="none" w:sz="0" w:space="0" w:color="auto"/>
          </w:divBdr>
        </w:div>
        <w:div w:id="813836349">
          <w:marLeft w:val="0"/>
          <w:marRight w:val="0"/>
          <w:marTop w:val="0"/>
          <w:marBottom w:val="0"/>
          <w:divBdr>
            <w:top w:val="none" w:sz="0" w:space="0" w:color="auto"/>
            <w:left w:val="none" w:sz="0" w:space="0" w:color="auto"/>
            <w:bottom w:val="none" w:sz="0" w:space="0" w:color="auto"/>
            <w:right w:val="none" w:sz="0" w:space="0" w:color="auto"/>
          </w:divBdr>
        </w:div>
        <w:div w:id="1115095657">
          <w:marLeft w:val="0"/>
          <w:marRight w:val="0"/>
          <w:marTop w:val="0"/>
          <w:marBottom w:val="0"/>
          <w:divBdr>
            <w:top w:val="none" w:sz="0" w:space="0" w:color="auto"/>
            <w:left w:val="none" w:sz="0" w:space="0" w:color="auto"/>
            <w:bottom w:val="none" w:sz="0" w:space="0" w:color="auto"/>
            <w:right w:val="none" w:sz="0" w:space="0" w:color="auto"/>
          </w:divBdr>
        </w:div>
        <w:div w:id="1165705618">
          <w:marLeft w:val="0"/>
          <w:marRight w:val="0"/>
          <w:marTop w:val="0"/>
          <w:marBottom w:val="0"/>
          <w:divBdr>
            <w:top w:val="none" w:sz="0" w:space="0" w:color="auto"/>
            <w:left w:val="none" w:sz="0" w:space="0" w:color="auto"/>
            <w:bottom w:val="none" w:sz="0" w:space="0" w:color="auto"/>
            <w:right w:val="none" w:sz="0" w:space="0" w:color="auto"/>
          </w:divBdr>
        </w:div>
        <w:div w:id="1260677563">
          <w:marLeft w:val="0"/>
          <w:marRight w:val="0"/>
          <w:marTop w:val="0"/>
          <w:marBottom w:val="0"/>
          <w:divBdr>
            <w:top w:val="none" w:sz="0" w:space="0" w:color="auto"/>
            <w:left w:val="none" w:sz="0" w:space="0" w:color="auto"/>
            <w:bottom w:val="none" w:sz="0" w:space="0" w:color="auto"/>
            <w:right w:val="none" w:sz="0" w:space="0" w:color="auto"/>
          </w:divBdr>
        </w:div>
        <w:div w:id="1656185245">
          <w:marLeft w:val="0"/>
          <w:marRight w:val="0"/>
          <w:marTop w:val="0"/>
          <w:marBottom w:val="0"/>
          <w:divBdr>
            <w:top w:val="none" w:sz="0" w:space="0" w:color="auto"/>
            <w:left w:val="none" w:sz="0" w:space="0" w:color="auto"/>
            <w:bottom w:val="none" w:sz="0" w:space="0" w:color="auto"/>
            <w:right w:val="none" w:sz="0" w:space="0" w:color="auto"/>
          </w:divBdr>
        </w:div>
        <w:div w:id="1807892305">
          <w:marLeft w:val="0"/>
          <w:marRight w:val="0"/>
          <w:marTop w:val="0"/>
          <w:marBottom w:val="0"/>
          <w:divBdr>
            <w:top w:val="none" w:sz="0" w:space="0" w:color="auto"/>
            <w:left w:val="none" w:sz="0" w:space="0" w:color="auto"/>
            <w:bottom w:val="none" w:sz="0" w:space="0" w:color="auto"/>
            <w:right w:val="none" w:sz="0" w:space="0" w:color="auto"/>
          </w:divBdr>
        </w:div>
        <w:div w:id="1814520959">
          <w:marLeft w:val="0"/>
          <w:marRight w:val="0"/>
          <w:marTop w:val="0"/>
          <w:marBottom w:val="0"/>
          <w:divBdr>
            <w:top w:val="none" w:sz="0" w:space="0" w:color="auto"/>
            <w:left w:val="none" w:sz="0" w:space="0" w:color="auto"/>
            <w:bottom w:val="none" w:sz="0" w:space="0" w:color="auto"/>
            <w:right w:val="none" w:sz="0" w:space="0" w:color="auto"/>
          </w:divBdr>
        </w:div>
      </w:divsChild>
    </w:div>
    <w:div w:id="2099130260">
      <w:bodyDiv w:val="1"/>
      <w:marLeft w:val="0"/>
      <w:marRight w:val="0"/>
      <w:marTop w:val="0"/>
      <w:marBottom w:val="0"/>
      <w:divBdr>
        <w:top w:val="none" w:sz="0" w:space="0" w:color="auto"/>
        <w:left w:val="none" w:sz="0" w:space="0" w:color="auto"/>
        <w:bottom w:val="none" w:sz="0" w:space="0" w:color="auto"/>
        <w:right w:val="none" w:sz="0" w:space="0" w:color="auto"/>
      </w:divBdr>
    </w:div>
    <w:div w:id="2120027139">
      <w:bodyDiv w:val="1"/>
      <w:marLeft w:val="0"/>
      <w:marRight w:val="0"/>
      <w:marTop w:val="0"/>
      <w:marBottom w:val="0"/>
      <w:divBdr>
        <w:top w:val="none" w:sz="0" w:space="0" w:color="auto"/>
        <w:left w:val="none" w:sz="0" w:space="0" w:color="auto"/>
        <w:bottom w:val="none" w:sz="0" w:space="0" w:color="auto"/>
        <w:right w:val="none" w:sz="0" w:space="0" w:color="auto"/>
      </w:divBdr>
    </w:div>
    <w:div w:id="21423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ccessdata.fda.gov/scripts/cdrh/cfdocs/cfcfr/CFRSearch.cfm?fr=812.7" TargetMode="External"/><Relationship Id="rId21" Type="http://schemas.openxmlformats.org/officeDocument/2006/relationships/hyperlink" Target="https://clinicaltrials.gov/ct2/manage-recs" TargetMode="External"/><Relationship Id="rId42" Type="http://schemas.openxmlformats.org/officeDocument/2006/relationships/hyperlink" Target="https://www.accessdata.fda.gov/scripts/cdrh/cfdocs/cfcfr/CFRSearch.cfm?fr=312.2" TargetMode="External"/><Relationship Id="rId63" Type="http://schemas.openxmlformats.org/officeDocument/2006/relationships/hyperlink" Target="https://www.accessdata.fda.gov/scripts/cdrh/cfdocs/cfcfr/CFRSearch.cfm?fr=812.46" TargetMode="External"/><Relationship Id="rId84" Type="http://schemas.openxmlformats.org/officeDocument/2006/relationships/hyperlink" Target="https://www.accessdata.fda.gov/scripts/cdrh/cfdocs/cfcfr/CFRSearch.cfm?fr=312.320" TargetMode="External"/><Relationship Id="rId138" Type="http://schemas.openxmlformats.org/officeDocument/2006/relationships/hyperlink" Target="http://www.bumc.bu.edu/irb/files/PDFs/ABB_CaseReportForms_ClinicalResearchSeminar20071017.pdf" TargetMode="External"/><Relationship Id="rId159" Type="http://schemas.openxmlformats.org/officeDocument/2006/relationships/hyperlink" Target="https://osp.od.nih.gov/scientific-sharing/institutional-certifications/" TargetMode="External"/><Relationship Id="rId170" Type="http://schemas.openxmlformats.org/officeDocument/2006/relationships/hyperlink" Target="https://www.cdc.gov/od/science/integrity/confidentiality/applinst.htm" TargetMode="External"/><Relationship Id="rId107" Type="http://schemas.openxmlformats.org/officeDocument/2006/relationships/hyperlink" Target="http://www.accessdata.fda.gov/scripts/cdrh/cfdocs/cfcfr/CFRSearch.cfm?CFRPart=812" TargetMode="External"/><Relationship Id="rId11" Type="http://schemas.openxmlformats.org/officeDocument/2006/relationships/hyperlink" Target="http://www.fda.gov/Drugs/InformationOnDrugs/ucm079436.htm" TargetMode="External"/><Relationship Id="rId32" Type="http://schemas.openxmlformats.org/officeDocument/2006/relationships/hyperlink" Target="http://www.accessdata.fda.gov/scripts/cdrh/cfdocs/cfcfr/CFRSearch.cfm?FR=809.3" TargetMode="External"/><Relationship Id="rId53" Type="http://schemas.openxmlformats.org/officeDocument/2006/relationships/hyperlink" Target="https://www.accessdata.fda.gov/scripts/cdrh/cfdocs/cfcfr/CFRSearch.cfm?CFRPart=56" TargetMode="External"/><Relationship Id="rId74" Type="http://schemas.openxmlformats.org/officeDocument/2006/relationships/hyperlink" Target="https://www.accessdata.fda.gov/scripts/cdrh/cfdocs/cfcfr/CFRSearch.cfm?CFRPart=812" TargetMode="External"/><Relationship Id="rId128" Type="http://schemas.openxmlformats.org/officeDocument/2006/relationships/hyperlink" Target="http://www.clinicaltrials.gov/" TargetMode="External"/><Relationship Id="rId149" Type="http://schemas.openxmlformats.org/officeDocument/2006/relationships/hyperlink" Target="https://osp.od.nih.gov/scientific-sharing/policies/" TargetMode="External"/><Relationship Id="rId5" Type="http://schemas.openxmlformats.org/officeDocument/2006/relationships/webSettings" Target="webSettings.xml"/><Relationship Id="rId95" Type="http://schemas.openxmlformats.org/officeDocument/2006/relationships/hyperlink" Target="http://www.accessdata.fda.gov/scripts/cdrh/cfdocs/cfcfr/CFRSearch.cfm?fr=56.104" TargetMode="External"/><Relationship Id="rId160" Type="http://schemas.openxmlformats.org/officeDocument/2006/relationships/hyperlink" Target="https://osp.od.nih.gov/wp-content/uploads/Genomic_Data_User_Code_of_Conduct.pdf" TargetMode="External"/><Relationship Id="rId181" Type="http://schemas.openxmlformats.org/officeDocument/2006/relationships/hyperlink" Target="https://humansubjects.nih.gov/coc/index" TargetMode="External"/><Relationship Id="rId22" Type="http://schemas.openxmlformats.org/officeDocument/2006/relationships/hyperlink" Target="https://www.regulations.gov/docket/HHS-OPHS-2018-0021" TargetMode="External"/><Relationship Id="rId43" Type="http://schemas.openxmlformats.org/officeDocument/2006/relationships/hyperlink" Target="https://www.accessdata.fda.gov/scripts/cdrh/cfdocs/cfcfr/CFRSearch.cfm?fr=312.160" TargetMode="External"/><Relationship Id="rId64" Type="http://schemas.openxmlformats.org/officeDocument/2006/relationships/hyperlink" Target="http://www.accessdata.fda.gov/SCRIPTs/cdrh/cfdocs/cfCFR/CFRSearch.cfm?fr=812.140" TargetMode="External"/><Relationship Id="rId118" Type="http://schemas.openxmlformats.org/officeDocument/2006/relationships/hyperlink" Target="https://www.accessdata.fda.gov/scripts/cdrh/cfdocs/cfcfr/CFRSearch.cfm?fr=812.20" TargetMode="External"/><Relationship Id="rId139" Type="http://schemas.openxmlformats.org/officeDocument/2006/relationships/hyperlink" Target="http://nationalacademies.org/hmd/Reports/2018/returning-individual-research-results-to-participants.aspx" TargetMode="External"/><Relationship Id="rId85" Type="http://schemas.openxmlformats.org/officeDocument/2006/relationships/hyperlink" Target="https://www.fda.gov/NewsEvents/PublicHealthFocus/ExpandedAccessCompassionateUse/ucm429624.htm" TargetMode="External"/><Relationship Id="rId150" Type="http://schemas.openxmlformats.org/officeDocument/2006/relationships/hyperlink" Target="https://grants.nih.gov/grants/guide/notice-files/NOT-OD-17-109.html" TargetMode="External"/><Relationship Id="rId171" Type="http://schemas.openxmlformats.org/officeDocument/2006/relationships/hyperlink" Target="https://www.law.cornell.edu/uscode/text/42/241" TargetMode="External"/><Relationship Id="rId12" Type="http://schemas.openxmlformats.org/officeDocument/2006/relationships/hyperlink" Target="http://www.fda.gov/MedicalDevices/DeviceRegulationandGuidance/%20" TargetMode="External"/><Relationship Id="rId33" Type="http://schemas.openxmlformats.org/officeDocument/2006/relationships/hyperlink" Target="https://www.accessdata.fda.gov/scripts/cdrh/cfdocs/cfcfr/CFRSearch.cfm?fr=812.3" TargetMode="External"/><Relationship Id="rId108" Type="http://schemas.openxmlformats.org/officeDocument/2006/relationships/hyperlink" Target="http://www.accessdata.fda.gov/scripts/cdrh/cfdocs/cfcfr/CFRSearch.cfm?CFRPart=50&amp;showFR=1&amp;subpartNode=21:1.0.1.1.20.4" TargetMode="External"/><Relationship Id="rId129" Type="http://schemas.openxmlformats.org/officeDocument/2006/relationships/hyperlink" Target="https://grants.nih.gov/policy/clinical-trials/definition.htm" TargetMode="External"/><Relationship Id="rId54" Type="http://schemas.openxmlformats.org/officeDocument/2006/relationships/hyperlink" Target="https://www.accessdata.fda.gov/scripts/cdrh/cfdocs/cfcfr/CFRSearch.cfm?CFRPart=50" TargetMode="External"/><Relationship Id="rId75" Type="http://schemas.openxmlformats.org/officeDocument/2006/relationships/hyperlink" Target="https://www.accessdata.fda.gov/scripts/cdrh/cfdocs/cfcfr/CFRSearch.cfm?CFRPart=812" TargetMode="External"/><Relationship Id="rId96" Type="http://schemas.openxmlformats.org/officeDocument/2006/relationships/hyperlink" Target="https://www.fda.gov/RegulatoryInformation/Guidances/ucm126491.htm" TargetMode="External"/><Relationship Id="rId140" Type="http://schemas.openxmlformats.org/officeDocument/2006/relationships/hyperlink" Target="https://bioethicsarchive.georgetown.edu/pcsbi/node/3183.html" TargetMode="External"/><Relationship Id="rId161" Type="http://schemas.openxmlformats.org/officeDocument/2006/relationships/hyperlink" Target="https://osp.od.nih.gov/scientific-sharing/researchers-institutional-certifications/" TargetMode="External"/><Relationship Id="rId182" Type="http://schemas.openxmlformats.org/officeDocument/2006/relationships/hyperlink" Target="https://humansubjects.nih.gov/coc/index" TargetMode="External"/><Relationship Id="rId6" Type="http://schemas.openxmlformats.org/officeDocument/2006/relationships/footnotes" Target="footnotes.xml"/><Relationship Id="rId23" Type="http://schemas.openxmlformats.org/officeDocument/2006/relationships/hyperlink" Target="http://www.accessdata.fda.gov/scripts/cdrh/cfdocs/cfcfr/CFRSearch.cfm?CFRPart=50&amp;showFR=1&amp;subpartNode=21:1.0.1.1.20.4" TargetMode="External"/><Relationship Id="rId119" Type="http://schemas.openxmlformats.org/officeDocument/2006/relationships/hyperlink" Target="https://www.accessdata.fda.gov/scripts/cdrh/cfdocs/cfcfr/CFRSearch.cfm?fr=312.8" TargetMode="External"/><Relationship Id="rId44" Type="http://schemas.openxmlformats.org/officeDocument/2006/relationships/hyperlink" Target="https://www.accessdata.fda.gov/scripts/cdrh/cfdocs/cfcfr/CFRSearch.cfm?fr=312.2" TargetMode="External"/><Relationship Id="rId65" Type="http://schemas.openxmlformats.org/officeDocument/2006/relationships/hyperlink" Target="https://www.accessdata.fda.gov/scripts/cdrh/cfdocs/cfcfr/CFRSearch.cfm?fr=812.150" TargetMode="External"/><Relationship Id="rId86" Type="http://schemas.openxmlformats.org/officeDocument/2006/relationships/hyperlink" Target="https://www.fda.gov/NewsEvents/PublicHealthFocus/ExpandedAccessCompassionateUse/ucm429610.htm" TargetMode="External"/><Relationship Id="rId130" Type="http://schemas.openxmlformats.org/officeDocument/2006/relationships/hyperlink" Target="https://clinicaltrials.gov/ct2/manage-recs/fdaaa" TargetMode="External"/><Relationship Id="rId151" Type="http://schemas.openxmlformats.org/officeDocument/2006/relationships/hyperlink" Target="https://www.law.cornell.edu/uscode/text/42/241" TargetMode="External"/><Relationship Id="rId172" Type="http://schemas.openxmlformats.org/officeDocument/2006/relationships/hyperlink" Target="https://grants.nih.gov/grants/guide/notice-files/NOT-OD-17-109.html" TargetMode="External"/><Relationship Id="rId13" Type="http://schemas.openxmlformats.org/officeDocument/2006/relationships/hyperlink" Target="http://www.fda.gov/Drugs/InformationOnDrugs/ucm079436.htm" TargetMode="External"/><Relationship Id="rId18" Type="http://schemas.openxmlformats.org/officeDocument/2006/relationships/hyperlink" Target="https://www.hhs.gov/ohrp/regulations-and-policy/belmont-report/index.html" TargetMode="External"/><Relationship Id="rId39" Type="http://schemas.openxmlformats.org/officeDocument/2006/relationships/hyperlink" Target="https://www.accessdata.fda.gov/scripts/cdrh/cfdocs/cfcfr/CFRSearch.cfm?fr=312.7" TargetMode="External"/><Relationship Id="rId109" Type="http://schemas.openxmlformats.org/officeDocument/2006/relationships/hyperlink" Target="http://www.accessdata.fda.gov/scripts/cdrh/cfdocs/cfcfr/CFRSearch.cfm?CFRPart=56" TargetMode="External"/><Relationship Id="rId34" Type="http://schemas.openxmlformats.org/officeDocument/2006/relationships/hyperlink" Target="https://www.accessdata.fda.gov/scripts/cdrh/cfdocs/cfcfr/CFRSearch.cfm?fr=56.104" TargetMode="External"/><Relationship Id="rId50" Type="http://schemas.openxmlformats.org/officeDocument/2006/relationships/hyperlink" Target="https://www.accessdata.fda.gov/scripts/cdrh/cfdocs/cfcfr/CFRSearch.cfm?fr=320.31" TargetMode="External"/><Relationship Id="rId55" Type="http://schemas.openxmlformats.org/officeDocument/2006/relationships/hyperlink" Target="https://www.accessdata.fda.gov/scripts/cdrh/cfdocs/cfcfr/CFRSearch.cfm?CFRPart=807&amp;showFR=1&amp;subpartNode=21:8.0.1.1.5.5" TargetMode="External"/><Relationship Id="rId76" Type="http://schemas.openxmlformats.org/officeDocument/2006/relationships/hyperlink" Target="http://www.accessdata.fda.gov/scripts/cdrh/cfdocs/cfcfr/CFRSearch.cfm?fr=803.30" TargetMode="External"/><Relationship Id="rId97" Type="http://schemas.openxmlformats.org/officeDocument/2006/relationships/hyperlink" Target="http://www.accessdata.fda.gov/scripts/cdrh/cfdocs/cfcfr/CFRSearch.cfm?fr=56.102" TargetMode="External"/><Relationship Id="rId104" Type="http://schemas.openxmlformats.org/officeDocument/2006/relationships/hyperlink" Target="http://www.accessdata.fda.gov/scripts/cdrh/cfdocs/cfcfr/CFRSearch.cfm?fr=50.23" TargetMode="External"/><Relationship Id="rId120" Type="http://schemas.openxmlformats.org/officeDocument/2006/relationships/hyperlink" Target="https://www.accessdata.fda.gov/scripts/cdrh/cfdocs/cfcfr/CFRSearch.cfm?fr=312.8" TargetMode="External"/><Relationship Id="rId125" Type="http://schemas.openxmlformats.org/officeDocument/2006/relationships/hyperlink" Target="https://www.hhs.gov/ohrp/education-and-outreach/index.html" TargetMode="External"/><Relationship Id="rId141" Type="http://schemas.openxmlformats.org/officeDocument/2006/relationships/hyperlink" Target="https://bioethicsarchive.georgetown.edu/pcsbi/node/764.html" TargetMode="External"/><Relationship Id="rId146" Type="http://schemas.openxmlformats.org/officeDocument/2006/relationships/hyperlink" Target="https://www.genome.gov/27026588/informed-consent-for-genomics-research/" TargetMode="External"/><Relationship Id="rId167" Type="http://schemas.openxmlformats.org/officeDocument/2006/relationships/hyperlink" Target="https://www.hhs.gov/ohrp/regulations-and-policy/single-irb-requirement/114b-exception1/index.html" TargetMode="External"/><Relationship Id="rId7" Type="http://schemas.openxmlformats.org/officeDocument/2006/relationships/endnotes" Target="endnotes.xml"/><Relationship Id="rId71" Type="http://schemas.openxmlformats.org/officeDocument/2006/relationships/hyperlink" Target="https://www.accessdata.fda.gov/scripts/cdrh/cfdocs/cfcfr/CFRSearch.cfm?CFRPart=56" TargetMode="External"/><Relationship Id="rId92" Type="http://schemas.openxmlformats.org/officeDocument/2006/relationships/hyperlink" Target="https://www.hhs.gov/ohrp/regulations-and-policy/guidance/emergency-medical-care-and-research/index.html" TargetMode="External"/><Relationship Id="rId162" Type="http://schemas.openxmlformats.org/officeDocument/2006/relationships/hyperlink" Target="https://sharing.nih.gov/data-management-and-sharing-policy/planning-and-budgeting-for-data-management-and-sharing/writing-a-data-management-and-sharing-plan" TargetMode="External"/><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accessdata.fda.gov/scripts/cdrh/cfdocs/cfcfr/CFRSearch.cfm?fr=56.102" TargetMode="External"/><Relationship Id="rId24" Type="http://schemas.openxmlformats.org/officeDocument/2006/relationships/hyperlink" Target="http://www.accessdata.fda.gov/scripts/cdrh/cfdocs/cfcfr/CFRSearch.cfm?CFRPart=56" TargetMode="External"/><Relationship Id="rId40" Type="http://schemas.openxmlformats.org/officeDocument/2006/relationships/hyperlink" Target="https://www.accessdata.fda.gov/scripts/cdrh/cfdocs/cfcfr/CFRSearch.cfm?fr=50.24" TargetMode="External"/><Relationship Id="rId45" Type="http://schemas.openxmlformats.org/officeDocument/2006/relationships/hyperlink" Target="http://www.accessdata.fda.gov/scripts/cdrh/cfdocs/cfcfr/CFRSearch.cfm?fr=320.31" TargetMode="External"/><Relationship Id="rId66" Type="http://schemas.openxmlformats.org/officeDocument/2006/relationships/hyperlink" Target="http://www.accessdata.fda.gov/SCRIPTs/cdrh/cfdocs/cfCFR/CFRSearch.cfm?fr=812.140" TargetMode="External"/><Relationship Id="rId87" Type="http://schemas.openxmlformats.org/officeDocument/2006/relationships/hyperlink" Target="https://www.accessdata.fda.gov/scripts/cdrh/cfdocs/cfcfr/CFRsearch.cfm?CFRPart=312" TargetMode="External"/><Relationship Id="rId110" Type="http://schemas.openxmlformats.org/officeDocument/2006/relationships/hyperlink" Target="http://www.accessdata.fda.gov/scripts/cdrh/cfdocs/cfcfr/CFRSearch.cfm?CFRPart=812" TargetMode="External"/><Relationship Id="rId115" Type="http://schemas.openxmlformats.org/officeDocument/2006/relationships/hyperlink" Target="https://www.fda.gov/medicaldevices/deviceregulationandguidance/howtomarketyourdevice/investigationaldeviceexemptionide/ucm051345.htm" TargetMode="External"/><Relationship Id="rId131" Type="http://schemas.openxmlformats.org/officeDocument/2006/relationships/hyperlink" Target="https://clinicaltrials.gov/ct2/manage-recs/fdaaa" TargetMode="External"/><Relationship Id="rId136" Type="http://schemas.openxmlformats.org/officeDocument/2006/relationships/hyperlink" Target="http://onlinelibrary.wiley.com/doi/10.1111/jlme.2008.36.issue-2/issuetoc" TargetMode="External"/><Relationship Id="rId157" Type="http://schemas.openxmlformats.org/officeDocument/2006/relationships/hyperlink" Target="https://osp.od.nih.gov/wp-content/uploads/GDS_Provisional_Institutional_Certification.pdf" TargetMode="External"/><Relationship Id="rId178" Type="http://schemas.openxmlformats.org/officeDocument/2006/relationships/hyperlink" Target="https://www.nij.gov/funding/humansubjects/pages/privacy-certificate-guidance.aspx" TargetMode="External"/><Relationship Id="rId61" Type="http://schemas.openxmlformats.org/officeDocument/2006/relationships/hyperlink" Target="https://www.accessdata.fda.gov/scripts/cdrh/cfdocs/cfcfr/CFRSearch.cfm?fr=812.2" TargetMode="External"/><Relationship Id="rId82" Type="http://schemas.openxmlformats.org/officeDocument/2006/relationships/hyperlink" Target="https://www.accessdata.fda.gov/scripts/cdrh/cfdocs/cfcfr/CFRSearch.cfm?fr=312.310" TargetMode="External"/><Relationship Id="rId152" Type="http://schemas.openxmlformats.org/officeDocument/2006/relationships/hyperlink" Target="https://osp.od.nih.gov/wp-content/uploads/Supplemental_Info_GDS_Policy.pdf" TargetMode="External"/><Relationship Id="rId173" Type="http://schemas.openxmlformats.org/officeDocument/2006/relationships/hyperlink" Target="https://www.cdc.gov/od/science/integrity/confidentiality/applinst.htm" TargetMode="External"/><Relationship Id="rId19" Type="http://schemas.openxmlformats.org/officeDocument/2006/relationships/hyperlink" Target="https://clinicaltrials.gov/ct2/manage-recs/fdaaa" TargetMode="External"/><Relationship Id="rId14" Type="http://schemas.openxmlformats.org/officeDocument/2006/relationships/hyperlink" Target="http://www.smartirb.org" TargetMode="External"/><Relationship Id="rId30" Type="http://schemas.openxmlformats.org/officeDocument/2006/relationships/hyperlink" Target="http://www.accessdata.fda.gov/SCRIPTs/cdrh/cfdocs/cfCFR/CFRSearch.cfm?CFRPart=312" TargetMode="External"/><Relationship Id="rId35" Type="http://schemas.openxmlformats.org/officeDocument/2006/relationships/hyperlink" Target="https://www.accessdata.fda.gov/scripts/cdrh/cfdocs/cfcfr/CFRSearch.cfm?fr=56.104" TargetMode="External"/><Relationship Id="rId56" Type="http://schemas.openxmlformats.org/officeDocument/2006/relationships/hyperlink" Target="http://www.accessdata.fda.gov/scripts/cdrh/cfdocs/cfcfr/CFRSearch.cfm?fr=809.10" TargetMode="External"/><Relationship Id="rId77" Type="http://schemas.openxmlformats.org/officeDocument/2006/relationships/hyperlink" Target="http://www.accessdata.fda.gov/scripts/cdrh/cfdocs/cfcfr/CFRSearch.cfm?fr=814.126" TargetMode="External"/><Relationship Id="rId100" Type="http://schemas.openxmlformats.org/officeDocument/2006/relationships/hyperlink" Target="http://www.accessdata.fda.gov/scripts/cdrh/cfdocs/cfcfr/CFRSearch.cfm?fr=56.102" TargetMode="External"/><Relationship Id="rId105" Type="http://schemas.openxmlformats.org/officeDocument/2006/relationships/hyperlink" Target="https://www.fda.gov/MedicalDevices/DeviceRegulationandGuidance/HowtoMarketYourDevice/InvestigationalDeviceExemptionIDE/ucm051345.htm" TargetMode="External"/><Relationship Id="rId126" Type="http://schemas.openxmlformats.org/officeDocument/2006/relationships/hyperlink" Target="https://grants.nih.gov/grants/policy/coc/index.htm" TargetMode="External"/><Relationship Id="rId147" Type="http://schemas.openxmlformats.org/officeDocument/2006/relationships/hyperlink" Target="https://www.hhs.gov/ohrp/regulations-and-policy/guidance/guidance-on-genetic-information-nondiscrimination-act/index.html" TargetMode="External"/><Relationship Id="rId168" Type="http://schemas.openxmlformats.org/officeDocument/2006/relationships/hyperlink" Target="https://www.law.cornell.edu/uscode/text/42/241" TargetMode="External"/><Relationship Id="rId8" Type="http://schemas.openxmlformats.org/officeDocument/2006/relationships/hyperlink" Target="https://ohrp.cit.nih.gov/efile/IrbStart.aspx" TargetMode="External"/><Relationship Id="rId51" Type="http://schemas.openxmlformats.org/officeDocument/2006/relationships/hyperlink" Target="https://www.accessdata.fda.gov/scripts/cdrh/cfdocs/cfcfr/CFRSearch.cfm?fr=361.1" TargetMode="External"/><Relationship Id="rId72" Type="http://schemas.openxmlformats.org/officeDocument/2006/relationships/hyperlink" Target="https://www.accessdata.fda.gov/scripts/cdrh/cfdocs/cfcfr/CFRSearch.cfm?CFRPart=50" TargetMode="External"/><Relationship Id="rId93" Type="http://schemas.openxmlformats.org/officeDocument/2006/relationships/hyperlink" Target="https://www.hhs.gov/ohrp/regulations-and-policy/regulations/45-cfr-46/index.html" TargetMode="External"/><Relationship Id="rId98" Type="http://schemas.openxmlformats.org/officeDocument/2006/relationships/hyperlink" Target="http://www.accessdata.fda.gov/scripts/cdrh/cfdocs/cfcfr/CFRSearch.cfm?fr=56.102" TargetMode="External"/><Relationship Id="rId121" Type="http://schemas.openxmlformats.org/officeDocument/2006/relationships/hyperlink" Target="https://www.accessdata.fda.gov/scripts/cdrh/cfdocs/cfcfr/CFRSearch.cfm?fr=312.8" TargetMode="External"/><Relationship Id="rId142" Type="http://schemas.openxmlformats.org/officeDocument/2006/relationships/hyperlink" Target="http://genetics.ncai.org/" TargetMode="External"/><Relationship Id="rId163" Type="http://schemas.openxmlformats.org/officeDocument/2006/relationships/hyperlink" Target="https://www.researchmatch.org/"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accessdata.fda.gov/scripts/cdrh/cfdocs/cfcfr/CFRsearch.cfm?CFRPart=312" TargetMode="External"/><Relationship Id="rId46" Type="http://schemas.openxmlformats.org/officeDocument/2006/relationships/hyperlink" Target="https://www.accessdata.fda.gov/scripts/cdrh/cfdocs/cfcfr/CFRSearch.cfm?fr=314.108" TargetMode="External"/><Relationship Id="rId67" Type="http://schemas.openxmlformats.org/officeDocument/2006/relationships/hyperlink" Target="https://www.accessdata.fda.gov/scripts/cdrh/cfdocs/cfcfr/CFRSearch.cfm?fr=812.150" TargetMode="External"/><Relationship Id="rId116" Type="http://schemas.openxmlformats.org/officeDocument/2006/relationships/hyperlink" Target="https://www.fda.gov/medicaldevices/deviceregulationandguidance/howtomarketyourdevice/investigationaldeviceexemptionide/ucm051345.htm" TargetMode="External"/><Relationship Id="rId137" Type="http://schemas.openxmlformats.org/officeDocument/2006/relationships/hyperlink" Target="https://www.ncbi.nlm.nih.gov/pmc/articles/PMC4170533/%20" TargetMode="External"/><Relationship Id="rId158" Type="http://schemas.openxmlformats.org/officeDocument/2006/relationships/hyperlink" Target="https://osp.od.nih.gov/wp-content/uploads/NIH_Guidance_Developing-GDS_Plans.pdf" TargetMode="External"/><Relationship Id="rId20" Type="http://schemas.openxmlformats.org/officeDocument/2006/relationships/hyperlink" Target="http://www.ClinicalTrials.gov" TargetMode="External"/><Relationship Id="rId41" Type="http://schemas.openxmlformats.org/officeDocument/2006/relationships/hyperlink" Target="https://www.fda.gov/downloads/Drugs/Guidances/UCM071717.pdf" TargetMode="External"/><Relationship Id="rId62" Type="http://schemas.openxmlformats.org/officeDocument/2006/relationships/hyperlink" Target="https://www.accessdata.fda.gov/scripts/cdrh/cfdocs/cfcfr/CFRSearch.cfm?fr=812.5" TargetMode="External"/><Relationship Id="rId83" Type="http://schemas.openxmlformats.org/officeDocument/2006/relationships/hyperlink" Target="https://www.accessdata.fda.gov/scripts/cdrh/cfdocs/cfcfr/CFRSearch.cfm?fr=312.315" TargetMode="External"/><Relationship Id="rId88" Type="http://schemas.openxmlformats.org/officeDocument/2006/relationships/hyperlink" Target="https://www.fda.gov/downloads/Drugs/GuidanceComplianceRegulatoryInformation/Guidances/UCM432717.pdf" TargetMode="External"/><Relationship Id="rId111" Type="http://schemas.openxmlformats.org/officeDocument/2006/relationships/hyperlink" Target="https://www.accessdata.fda.gov/scripts/cdrh/cfdocs/cfcfr/CFRSearch.cfm?fr=812.36" TargetMode="External"/><Relationship Id="rId132" Type="http://schemas.openxmlformats.org/officeDocument/2006/relationships/hyperlink" Target="http://www.icmje.org/" TargetMode="External"/><Relationship Id="rId153" Type="http://schemas.openxmlformats.org/officeDocument/2006/relationships/hyperlink" Target="https://osp.od.nih.gov/scientific-sharing/data-repositories-and-trusted-partners/" TargetMode="External"/><Relationship Id="rId174" Type="http://schemas.openxmlformats.org/officeDocument/2006/relationships/hyperlink" Target="https://www.gpo.gov/fdsys/pkg/USCODE-2010-title42/html/USCODE-2010-title42-chap6A-subchapVII-partE-sec299c-3.htm" TargetMode="External"/><Relationship Id="rId179" Type="http://schemas.openxmlformats.org/officeDocument/2006/relationships/hyperlink" Target="https://www.samhsa.gov/grants/gpra-measurement-tools/certificate-confidentiality" TargetMode="External"/><Relationship Id="rId15" Type="http://schemas.openxmlformats.org/officeDocument/2006/relationships/hyperlink" Target="https://smartirb.org/reliance/" TargetMode="External"/><Relationship Id="rId36" Type="http://schemas.openxmlformats.org/officeDocument/2006/relationships/hyperlink" Target="https://www.accessdata.fda.gov/scripts/cdrh/cfdocs/cfcfr/CFRSearch.cfm?fr=312.2" TargetMode="External"/><Relationship Id="rId57" Type="http://schemas.openxmlformats.org/officeDocument/2006/relationships/hyperlink" Target="https://www.accessdata.fda.gov/scripts/cdrh/cfdocs/cfcfr/CFRSearch.cfm?fr=812.5" TargetMode="External"/><Relationship Id="rId106" Type="http://schemas.openxmlformats.org/officeDocument/2006/relationships/hyperlink" Target="http://www.accessdata.fda.gov/scripts/cdrh/cfdocs/cfcfr/CFRSearch.cfm?FR=812.35" TargetMode="External"/><Relationship Id="rId127" Type="http://schemas.openxmlformats.org/officeDocument/2006/relationships/hyperlink" Target="http://www.hhs.gov/ohrp/international/index.html" TargetMode="External"/><Relationship Id="rId10" Type="http://schemas.openxmlformats.org/officeDocument/2006/relationships/hyperlink" Target="http://www.stonybrook.edu/policy/policies.shtml?ID=202" TargetMode="External"/><Relationship Id="rId31" Type="http://schemas.openxmlformats.org/officeDocument/2006/relationships/hyperlink" Target="https://www.accessdata.fda.gov/scripts/cdrh/cfdocs/cfcfr/CFRSearch.cfm?CFRPart=812" TargetMode="External"/><Relationship Id="rId52" Type="http://schemas.openxmlformats.org/officeDocument/2006/relationships/hyperlink" Target="https://www.fda.gov/downloads/drugs/guidances/ucm229175.pdf" TargetMode="External"/><Relationship Id="rId73" Type="http://schemas.openxmlformats.org/officeDocument/2006/relationships/hyperlink" Target="https://www.accessdata.fda.gov/scripts/cdrh/cfdocs/cfcfr/CFRSearch.cfm?CFRPart=56" TargetMode="External"/><Relationship Id="rId78" Type="http://schemas.openxmlformats.org/officeDocument/2006/relationships/hyperlink" Target="http://www.accessdata.fda.gov/SCRIPTs/cdrh/cfdocs/cfCFR/CFRSearch.cfm?fr=803.3" TargetMode="External"/><Relationship Id="rId94" Type="http://schemas.openxmlformats.org/officeDocument/2006/relationships/hyperlink" Target="https://www.hhs.gov/ohrp/regulations-and-policy/regulations/45-cfr-46/index.html" TargetMode="External"/><Relationship Id="rId99" Type="http://schemas.openxmlformats.org/officeDocument/2006/relationships/hyperlink" Target="http://www.accessdata.fda.gov/scripts/cdrh/cfdocs/cfcfr/CFRSearch.cfm?fr=56.104" TargetMode="External"/><Relationship Id="rId101" Type="http://schemas.openxmlformats.org/officeDocument/2006/relationships/hyperlink" Target="http://www.accessdata.fda.gov/scripts/cdrh/cfdocs/cfcfr/CFRSearch.cfm?CFRPart=50&amp;showFR=1&amp;subpartNode=21:1.0.1.1.20.4" TargetMode="External"/><Relationship Id="rId122" Type="http://schemas.openxmlformats.org/officeDocument/2006/relationships/hyperlink" Target="https://www.accessdata.fda.gov/scripts/cdrh/cfdocs/cfcfr/CFRSearch.cfm?fr=312.8" TargetMode="External"/><Relationship Id="rId143" Type="http://schemas.openxmlformats.org/officeDocument/2006/relationships/hyperlink" Target="https://www.genome.gov/27561533/human-subjects-research-in-genomics/" TargetMode="External"/><Relationship Id="rId148" Type="http://schemas.openxmlformats.org/officeDocument/2006/relationships/hyperlink" Target="https://www.hhs.gov/ohrp/regulations-and-policy/guidance/guidance-on-genetic-information-nondiscrimination-act/index.html" TargetMode="External"/><Relationship Id="rId164" Type="http://schemas.openxmlformats.org/officeDocument/2006/relationships/hyperlink" Target="https://grants.nih.gov/grants/guide/notice-files/NOT-OD-16-094.html" TargetMode="External"/><Relationship Id="rId169" Type="http://schemas.openxmlformats.org/officeDocument/2006/relationships/hyperlink" Target="https://grants.nih.gov/grants/guide/notice-files/NOT-OD-17-109.html"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hs.gov/ohrp/register-irbs-and-obtain-fwas/index.html" TargetMode="External"/><Relationship Id="rId180" Type="http://schemas.openxmlformats.org/officeDocument/2006/relationships/hyperlink" Target="https://www.hrsa.gov/public-health/clinical/human-subjects/certificates.html" TargetMode="External"/><Relationship Id="rId26" Type="http://schemas.openxmlformats.org/officeDocument/2006/relationships/hyperlink" Target="http://www.accessdata.fda.gov/scripts/cdrh/cfdocs/cfcfr/CFRSearch.cfm?CFRPart=812" TargetMode="External"/><Relationship Id="rId47" Type="http://schemas.openxmlformats.org/officeDocument/2006/relationships/hyperlink" Target="https://www.accessdata.fda.gov/scripts/cdrh/cfdocs/cfcfr/CFRSearch.cfm?CFRPart=56" TargetMode="External"/><Relationship Id="rId68" Type="http://schemas.openxmlformats.org/officeDocument/2006/relationships/hyperlink" Target="https://www.accessdata.fda.gov/scripts/cdrh/cfdocs/cfcfr/CFRSearch.cfm?fr=812.7" TargetMode="External"/><Relationship Id="rId89" Type="http://schemas.openxmlformats.org/officeDocument/2006/relationships/hyperlink" Target="https://www.fda.gov/NewsEvents/PublicHealthFocus/ExpandedAccessCompassionateUse/ucm429624.htm" TargetMode="External"/><Relationship Id="rId112" Type="http://schemas.openxmlformats.org/officeDocument/2006/relationships/hyperlink" Target="http://www.accessdata.fda.gov/scripts/cdrh/cfdocs/cfcfr/CFRSearch.cfm?CFRPart=812" TargetMode="External"/><Relationship Id="rId133" Type="http://schemas.openxmlformats.org/officeDocument/2006/relationships/hyperlink" Target="https://humansubjects.nih.gov/coc/index" TargetMode="External"/><Relationship Id="rId154" Type="http://schemas.openxmlformats.org/officeDocument/2006/relationships/hyperlink" Target="https://osp.od.nih.gov/scientific-sharing/data-repositories-and-trusted-partners/" TargetMode="External"/><Relationship Id="rId175" Type="http://schemas.openxmlformats.org/officeDocument/2006/relationships/hyperlink" Target="https://grants.nih.gov/grants/guide/notice-files/NOT-HS-18-012.html" TargetMode="External"/><Relationship Id="rId16" Type="http://schemas.openxmlformats.org/officeDocument/2006/relationships/hyperlink" Target="https://www.stonybrook.edu/commcms/research-compliance/Human-Subjects/sops" TargetMode="External"/><Relationship Id="rId37" Type="http://schemas.openxmlformats.org/officeDocument/2006/relationships/hyperlink" Target="https://www.accessdata.fda.gov/scripts/cdrh/cfdocs/cfcfr/CFRSearch.cfm?CFRPart=56" TargetMode="External"/><Relationship Id="rId58" Type="http://schemas.openxmlformats.org/officeDocument/2006/relationships/hyperlink" Target="https://www.accessdata.fda.gov/scripts/cdrh/cfdocs/cfCFR/CFRSearch.cfm?fr=812.3" TargetMode="External"/><Relationship Id="rId79" Type="http://schemas.openxmlformats.org/officeDocument/2006/relationships/hyperlink" Target="http://www.accessdata.fda.gov/scripts/cdrh/cfdocs/cfcfr/CFRSearch.cfm?CFRPart=803" TargetMode="External"/><Relationship Id="rId102" Type="http://schemas.openxmlformats.org/officeDocument/2006/relationships/hyperlink" Target="http://www.accessdata.fda.gov/scripts/cdrh/cfdocs/cfcfr/CFRSearch.cfm?fr=50.27" TargetMode="External"/><Relationship Id="rId123" Type="http://schemas.openxmlformats.org/officeDocument/2006/relationships/hyperlink" Target="https://www.fda.gov/downloads/drugs/guidancecomplianceregulatoryinformation/guidances/ucm351264.pdf" TargetMode="External"/><Relationship Id="rId144" Type="http://schemas.openxmlformats.org/officeDocument/2006/relationships/hyperlink" Target="https://www.genome.gov/27569049/return-of-research-results/" TargetMode="External"/><Relationship Id="rId90" Type="http://schemas.openxmlformats.org/officeDocument/2006/relationships/hyperlink" Target="https://www.accessdata.fda.gov/scripts/cdrh/cfdocs/cfcfr/CFRsearch.cfm?CFRPart=312" TargetMode="External"/><Relationship Id="rId165" Type="http://schemas.openxmlformats.org/officeDocument/2006/relationships/hyperlink" Target="https://grants.nih.gov/grants/disclaimer.htm" TargetMode="External"/><Relationship Id="rId27" Type="http://schemas.openxmlformats.org/officeDocument/2006/relationships/hyperlink" Target="http://www.accessdata.fda.gov/scripts/cdrh/cfdocs/cfcfr/CFRSearch.cfm?fr=50.3" TargetMode="External"/><Relationship Id="rId48" Type="http://schemas.openxmlformats.org/officeDocument/2006/relationships/hyperlink" Target="https://www.accessdata.fda.gov/scripts/cdrh/cfdocs/cfcfr/CFRSearch.cfm?CFRPart=50" TargetMode="External"/><Relationship Id="rId69" Type="http://schemas.openxmlformats.org/officeDocument/2006/relationships/hyperlink" Target="https://www.fda.gov/ForIndustry/DevelopingProductsforRareDiseasesConditions/DesignatingHumanitarianUseDevicesHUDS/default.htm" TargetMode="External"/><Relationship Id="rId113" Type="http://schemas.openxmlformats.org/officeDocument/2006/relationships/hyperlink" Target="http://www.accessdata.fda.gov/scripts/cdrh/cfdocs/cfcfr/CFRSearch.cfm?CFRPart=50&amp;showFR=1&amp;subpartNode=21:1.0.1.1.20.4" TargetMode="External"/><Relationship Id="rId134" Type="http://schemas.openxmlformats.org/officeDocument/2006/relationships/hyperlink" Target="https://www.fda.gov/downloads/drugs/guidances/ucm073122.pdf" TargetMode="External"/><Relationship Id="rId80" Type="http://schemas.openxmlformats.org/officeDocument/2006/relationships/hyperlink" Target="https://www.accessdata.fda.gov/scripts/cdrh/cfdocs/cfcfr/CFRSearch.cfm?CFRPart=814&amp;showFR=1&amp;subpartNode=21:8.0.1.1.11.7" TargetMode="External"/><Relationship Id="rId155" Type="http://schemas.openxmlformats.org/officeDocument/2006/relationships/hyperlink" Target="https://osp.od.nih.gov/wp-content/uploads/GDS_Points_to_Consider_for_Institutions_and_IRBs.pdf" TargetMode="External"/><Relationship Id="rId176" Type="http://schemas.openxmlformats.org/officeDocument/2006/relationships/hyperlink" Target="https://www.gpo.gov/fdsys/pkg/USCODE-2010-title42/html/USCODE-2010-title42-chap46-subchapVIII-sec3789g.htm" TargetMode="External"/><Relationship Id="rId17" Type="http://schemas.openxmlformats.org/officeDocument/2006/relationships/hyperlink" Target="https://www.hhs.gov/ohrp/regulations-and-policy/regulations/45-cfr-46/index.html" TargetMode="External"/><Relationship Id="rId38" Type="http://schemas.openxmlformats.org/officeDocument/2006/relationships/hyperlink" Target="https://www.accessdata.fda.gov/scripts/cdrh/cfdocs/cfcfr/CFRSearch.cfm?CFRPart=50" TargetMode="External"/><Relationship Id="rId59" Type="http://schemas.openxmlformats.org/officeDocument/2006/relationships/hyperlink" Target="https://www.accessdata.fda.gov/scripts/cdrh/cfdocs/cfCFR/CFRSearch.cfm?fr=812.3" TargetMode="External"/><Relationship Id="rId103" Type="http://schemas.openxmlformats.org/officeDocument/2006/relationships/hyperlink" Target="http://www.accessdata.fda.gov/scripts/cdrh/cfdocs/cfcfr/CFRSearch.cfm?fr=56.104" TargetMode="External"/><Relationship Id="rId124" Type="http://schemas.openxmlformats.org/officeDocument/2006/relationships/hyperlink" Target="http://www.citiprogram.org" TargetMode="External"/><Relationship Id="rId70" Type="http://schemas.openxmlformats.org/officeDocument/2006/relationships/hyperlink" Target="http://www.accessdata.fda.gov/SCRIPTs/cdrh/cfdocs/cfCFR/CFRSearch.cfm?CFRPart=814" TargetMode="External"/><Relationship Id="rId91" Type="http://schemas.openxmlformats.org/officeDocument/2006/relationships/hyperlink" Target="https://www.fda.gov/Drugs/DevelopmentApprovalProcess/HowDrugsareDevelopedandApproved/ApprovalApplications/InvestigationalNewDrugINDApplication/ucm570937.htm" TargetMode="External"/><Relationship Id="rId145" Type="http://schemas.openxmlformats.org/officeDocument/2006/relationships/hyperlink" Target="https://www.genome.gov/27569050/data-sharing-and-privacy/" TargetMode="External"/><Relationship Id="rId166" Type="http://schemas.openxmlformats.org/officeDocument/2006/relationships/hyperlink" Target="https://www.stonybrook.edu/commcms/research-compliance/External-IRBs/index.php" TargetMode="External"/><Relationship Id="rId1" Type="http://schemas.openxmlformats.org/officeDocument/2006/relationships/customXml" Target="../customXml/item1.xml"/><Relationship Id="rId28" Type="http://schemas.openxmlformats.org/officeDocument/2006/relationships/hyperlink" Target="https://www.gpo.gov/fdsys/pkg/USCODE-2010-title21/html/USCODE-2010-title21-chap9-subchapII-sec321.htm" TargetMode="External"/><Relationship Id="rId49" Type="http://schemas.openxmlformats.org/officeDocument/2006/relationships/hyperlink" Target="https://www.accessdata.fda.gov/scripts/cdrh/cfdocs/cfcfr/CFRSearch.cfm?fr=320.31" TargetMode="External"/><Relationship Id="rId114" Type="http://schemas.openxmlformats.org/officeDocument/2006/relationships/hyperlink" Target="http://www.accessdata.fda.gov/scripts/cdrh/cfdocs/cfcfr/CFRSearch.cfm?CFRPart=56" TargetMode="External"/><Relationship Id="rId60" Type="http://schemas.openxmlformats.org/officeDocument/2006/relationships/hyperlink" Target="https://www.accessdata.fda.gov/scripts/cdrh/cfdocs/cfcfr/CFRSearch.cfm?fr=812.2" TargetMode="External"/><Relationship Id="rId81" Type="http://schemas.openxmlformats.org/officeDocument/2006/relationships/hyperlink" Target="https://www.accessdata.fda.gov/scripts/cdrh/cfdocs/cfcfr/CFRSearch.cfm?fr=312.300" TargetMode="External"/><Relationship Id="rId135" Type="http://schemas.openxmlformats.org/officeDocument/2006/relationships/hyperlink" Target="https://your.yale.edu/policies-procedures/policies/720-irb-policy-720-incidental-findings-possible-health-and-safety" TargetMode="External"/><Relationship Id="rId156" Type="http://schemas.openxmlformats.org/officeDocument/2006/relationships/hyperlink" Target="https://osp.od.nih.gov/wp-content/uploads/GDS_Extramural_Certification.pdf" TargetMode="External"/><Relationship Id="rId177" Type="http://schemas.openxmlformats.org/officeDocument/2006/relationships/hyperlink" Target="https://www.law.cornell.edu/cfr/text/28/part-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63C5E08-EFB6-486C-B438-E99CD4CF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280</Pages>
  <Words>103788</Words>
  <Characters>591596</Characters>
  <Application>Microsoft Office Word</Application>
  <DocSecurity>0</DocSecurity>
  <Lines>4929</Lines>
  <Paragraphs>1387</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693997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M Blakeley</dc:creator>
  <cp:keywords/>
  <dc:description/>
  <cp:lastModifiedBy>Anna Li</cp:lastModifiedBy>
  <cp:revision>8</cp:revision>
  <cp:lastPrinted>2022-08-09T17:57:00Z</cp:lastPrinted>
  <dcterms:created xsi:type="dcterms:W3CDTF">2026-04-02T14:01:00Z</dcterms:created>
  <dcterms:modified xsi:type="dcterms:W3CDTF">2026-04-09T18:00:00Z</dcterms:modified>
</cp:coreProperties>
</file>