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tabs>
          <w:tab w:pos="1707" w:val="left" w:leader="none"/>
          <w:tab w:pos="3158" w:val="left" w:leader="none"/>
          <w:tab w:pos="3960" w:val="left" w:leader="none"/>
          <w:tab w:pos="4879" w:val="left" w:leader="none"/>
          <w:tab w:pos="7470" w:val="left" w:leader="none"/>
          <w:tab w:pos="9346" w:val="left" w:leader="none"/>
        </w:tabs>
      </w:pPr>
      <w:r>
        <w:rPr>
          <w:color w:val="990000"/>
          <w:spacing w:val="-4"/>
        </w:rPr>
        <w:t>CEAS</w:t>
      </w:r>
      <w:r>
        <w:rPr>
          <w:color w:val="990000"/>
        </w:rPr>
        <w:tab/>
      </w:r>
      <w:r>
        <w:rPr>
          <w:color w:val="990000"/>
          <w:spacing w:val="-2"/>
        </w:rPr>
        <w:t>Policy</w:t>
      </w:r>
      <w:r>
        <w:rPr>
          <w:color w:val="990000"/>
        </w:rPr>
        <w:tab/>
      </w:r>
      <w:r>
        <w:rPr>
          <w:color w:val="990000"/>
          <w:spacing w:val="-6"/>
        </w:rPr>
        <w:t>on</w:t>
      </w:r>
      <w:r>
        <w:rPr>
          <w:color w:val="990000"/>
        </w:rPr>
        <w:tab/>
      </w:r>
      <w:r>
        <w:rPr>
          <w:color w:val="990000"/>
          <w:spacing w:val="-4"/>
        </w:rPr>
        <w:t>the</w:t>
      </w:r>
      <w:r>
        <w:rPr>
          <w:color w:val="990000"/>
        </w:rPr>
        <w:tab/>
      </w:r>
      <w:r>
        <w:rPr>
          <w:color w:val="990000"/>
          <w:spacing w:val="-2"/>
        </w:rPr>
        <w:t>Responsible</w:t>
      </w:r>
      <w:r>
        <w:rPr>
          <w:color w:val="990000"/>
        </w:rPr>
        <w:tab/>
      </w:r>
      <w:r>
        <w:rPr>
          <w:color w:val="990000"/>
          <w:spacing w:val="-2"/>
        </w:rPr>
        <w:t>Conduct</w:t>
      </w:r>
      <w:r>
        <w:rPr>
          <w:color w:val="990000"/>
        </w:rPr>
        <w:tab/>
      </w:r>
      <w:r>
        <w:rPr>
          <w:color w:val="990000"/>
          <w:spacing w:val="-14"/>
        </w:rPr>
        <w:t>of </w:t>
      </w:r>
      <w:r>
        <w:rPr>
          <w:color w:val="990000"/>
        </w:rPr>
        <w:t>Research and Scholarship</w:t>
      </w:r>
    </w:p>
    <w:p>
      <w:pPr>
        <w:pStyle w:val="BodyText"/>
        <w:spacing w:before="70"/>
        <w:rPr>
          <w:b/>
          <w:sz w:val="36"/>
        </w:rPr>
      </w:pPr>
    </w:p>
    <w:p>
      <w:pPr>
        <w:pStyle w:val="Heading2"/>
        <w:jc w:val="left"/>
      </w:pPr>
      <w:bookmarkStart w:name="Background" w:id="1"/>
      <w:bookmarkEnd w:id="1"/>
      <w:r>
        <w:rPr>
          <w:b w:val="0"/>
        </w:rPr>
      </w:r>
      <w:r>
        <w:rPr>
          <w:color w:val="990000"/>
          <w:spacing w:val="-2"/>
        </w:rPr>
        <w:t>Background</w:t>
      </w:r>
    </w:p>
    <w:p>
      <w:pPr>
        <w:pStyle w:val="BodyText"/>
        <w:spacing w:before="150"/>
        <w:ind w:left="359" w:right="354"/>
        <w:jc w:val="both"/>
      </w:pPr>
      <w:r>
        <w:rPr/>
        <w:t>Stony Brook University policy requires members and specific Stony Brook University guests to complete educational training on the responsible conduct of research and scholarship</w:t>
      </w:r>
      <w:r>
        <w:rPr>
          <w:spacing w:val="-12"/>
        </w:rPr>
        <w:t> </w:t>
      </w:r>
      <w:r>
        <w:rPr/>
        <w:t>(RCRS)</w:t>
      </w:r>
      <w:r>
        <w:rPr>
          <w:spacing w:val="-13"/>
        </w:rPr>
        <w:t> </w:t>
      </w:r>
      <w:r>
        <w:rPr/>
        <w:t>to</w:t>
      </w:r>
      <w:r>
        <w:rPr>
          <w:spacing w:val="-12"/>
        </w:rPr>
        <w:t> </w:t>
      </w:r>
      <w:r>
        <w:rPr/>
        <w:t>equip</w:t>
      </w:r>
      <w:r>
        <w:rPr>
          <w:spacing w:val="-13"/>
        </w:rPr>
        <w:t> </w:t>
      </w:r>
      <w:r>
        <w:rPr/>
        <w:t>members</w:t>
      </w:r>
      <w:r>
        <w:rPr>
          <w:spacing w:val="-13"/>
        </w:rPr>
        <w:t> </w:t>
      </w:r>
      <w:r>
        <w:rPr/>
        <w:t>with</w:t>
      </w:r>
      <w:r>
        <w:rPr>
          <w:spacing w:val="-13"/>
        </w:rPr>
        <w:t> </w:t>
      </w:r>
      <w:r>
        <w:rPr/>
        <w:t>the</w:t>
      </w:r>
      <w:r>
        <w:rPr>
          <w:spacing w:val="-13"/>
        </w:rPr>
        <w:t> </w:t>
      </w:r>
      <w:r>
        <w:rPr/>
        <w:t>tools</w:t>
      </w:r>
      <w:r>
        <w:rPr>
          <w:spacing w:val="-13"/>
        </w:rPr>
        <w:t> </w:t>
      </w:r>
      <w:r>
        <w:rPr/>
        <w:t>necessary</w:t>
      </w:r>
      <w:r>
        <w:rPr>
          <w:spacing w:val="-13"/>
        </w:rPr>
        <w:t> </w:t>
      </w:r>
      <w:r>
        <w:rPr/>
        <w:t>to</w:t>
      </w:r>
      <w:r>
        <w:rPr>
          <w:spacing w:val="-13"/>
        </w:rPr>
        <w:t> </w:t>
      </w:r>
      <w:r>
        <w:rPr/>
        <w:t>conduct</w:t>
      </w:r>
      <w:r>
        <w:rPr>
          <w:spacing w:val="-13"/>
        </w:rPr>
        <w:t> </w:t>
      </w:r>
      <w:r>
        <w:rPr/>
        <w:t>ethically</w:t>
      </w:r>
      <w:r>
        <w:rPr>
          <w:spacing w:val="-13"/>
        </w:rPr>
        <w:t> </w:t>
      </w:r>
      <w:r>
        <w:rPr/>
        <w:t>sound and compliant research and scholarship.</w:t>
      </w:r>
    </w:p>
    <w:p>
      <w:pPr>
        <w:pStyle w:val="BodyText"/>
        <w:spacing w:before="6"/>
      </w:pPr>
    </w:p>
    <w:p>
      <w:pPr>
        <w:pStyle w:val="BodyText"/>
        <w:ind w:left="359" w:right="353"/>
        <w:jc w:val="both"/>
      </w:pPr>
      <w:r>
        <w:rPr/>
        <w:t>While</w:t>
      </w:r>
      <w:r>
        <w:rPr>
          <w:spacing w:val="-12"/>
        </w:rPr>
        <w:t> </w:t>
      </w:r>
      <w:r>
        <w:rPr/>
        <w:t>this</w:t>
      </w:r>
      <w:r>
        <w:rPr>
          <w:spacing w:val="-13"/>
        </w:rPr>
        <w:t> </w:t>
      </w:r>
      <w:r>
        <w:rPr/>
        <w:t>campus</w:t>
      </w:r>
      <w:r>
        <w:rPr>
          <w:spacing w:val="-13"/>
        </w:rPr>
        <w:t> </w:t>
      </w:r>
      <w:r>
        <w:rPr/>
        <w:t>policy</w:t>
      </w:r>
      <w:r>
        <w:rPr>
          <w:spacing w:val="-13"/>
        </w:rPr>
        <w:t> </w:t>
      </w:r>
      <w:r>
        <w:rPr/>
        <w:t>originates</w:t>
      </w:r>
      <w:r>
        <w:rPr>
          <w:spacing w:val="-13"/>
        </w:rPr>
        <w:t> </w:t>
      </w:r>
      <w:r>
        <w:rPr/>
        <w:t>in</w:t>
      </w:r>
      <w:r>
        <w:rPr>
          <w:spacing w:val="-11"/>
        </w:rPr>
        <w:t> </w:t>
      </w:r>
      <w:r>
        <w:rPr/>
        <w:t>response</w:t>
      </w:r>
      <w:r>
        <w:rPr>
          <w:spacing w:val="-10"/>
        </w:rPr>
        <w:t> </w:t>
      </w:r>
      <w:r>
        <w:rPr/>
        <w:t>to</w:t>
      </w:r>
      <w:r>
        <w:rPr>
          <w:spacing w:val="-11"/>
        </w:rPr>
        <w:t> </w:t>
      </w:r>
      <w:r>
        <w:rPr/>
        <w:t>National</w:t>
      </w:r>
      <w:r>
        <w:rPr>
          <w:spacing w:val="-11"/>
        </w:rPr>
        <w:t> </w:t>
      </w:r>
      <w:r>
        <w:rPr/>
        <w:t>Institute</w:t>
      </w:r>
      <w:r>
        <w:rPr>
          <w:spacing w:val="-10"/>
        </w:rPr>
        <w:t> </w:t>
      </w:r>
      <w:r>
        <w:rPr/>
        <w:t>of</w:t>
      </w:r>
      <w:r>
        <w:rPr>
          <w:spacing w:val="-12"/>
        </w:rPr>
        <w:t> </w:t>
      </w:r>
      <w:r>
        <w:rPr/>
        <w:t>Health</w:t>
      </w:r>
      <w:r>
        <w:rPr>
          <w:spacing w:val="-13"/>
        </w:rPr>
        <w:t> </w:t>
      </w:r>
      <w:r>
        <w:rPr/>
        <w:t>(NIH)</w:t>
      </w:r>
      <w:r>
        <w:rPr>
          <w:spacing w:val="-11"/>
        </w:rPr>
        <w:t> </w:t>
      </w:r>
      <w:r>
        <w:rPr/>
        <w:t>and National Science Foundation (NSF) training requirements, it is the opinion of the University that training on responsible conduct of research and scholarship should be more comprehensive. Jointly issued by the Office of the Provost, the Office of the Senior Vice President for Health Sciences, and the Vice President for Research and Innovation, the policy requires each academic unit to develop its own Complementary Policy for implementing the Stony Brook University policy to allow for the most appropriate requirements for the faculty, staff and students of that academic unit.</w:t>
      </w:r>
    </w:p>
    <w:p>
      <w:pPr>
        <w:pStyle w:val="BodyText"/>
        <w:spacing w:before="7"/>
      </w:pPr>
    </w:p>
    <w:p>
      <w:pPr>
        <w:pStyle w:val="BodyText"/>
        <w:ind w:left="359" w:right="353"/>
        <w:jc w:val="both"/>
      </w:pPr>
      <w:r>
        <w:rPr/>
        <w:t>All persons receiving external grant support from an agency with a RCRS training requirement must meet agency policies should they exceed minimum Stony Brook University requirements.</w:t>
      </w:r>
    </w:p>
    <w:p>
      <w:pPr>
        <w:pStyle w:val="BodyText"/>
        <w:spacing w:before="7"/>
      </w:pPr>
    </w:p>
    <w:p>
      <w:pPr>
        <w:pStyle w:val="BodyText"/>
        <w:spacing w:before="1"/>
        <w:ind w:left="358" w:right="351"/>
        <w:jc w:val="both"/>
      </w:pPr>
      <w:r>
        <w:rPr/>
        <w:t>Stony Brook Policy: </w:t>
      </w:r>
      <w:hyperlink r:id="rId7">
        <w:r>
          <w:rPr>
            <w:color w:val="990000"/>
            <w:u w:val="single" w:color="990000"/>
          </w:rPr>
          <w:t>Responsible Conduct of Research and Scholarship</w:t>
        </w:r>
      </w:hyperlink>
      <w:r>
        <w:rPr>
          <w:color w:val="990000"/>
          <w:u w:val="none"/>
        </w:rPr>
        <w:t> </w:t>
      </w:r>
      <w:r>
        <w:rPr>
          <w:u w:val="none"/>
        </w:rPr>
        <w:t>(RCRS) ensures the highest ethical standards for the conduct of research and scholarly activities on</w:t>
      </w:r>
      <w:r>
        <w:rPr>
          <w:spacing w:val="-3"/>
          <w:u w:val="none"/>
        </w:rPr>
        <w:t> </w:t>
      </w:r>
      <w:r>
        <w:rPr>
          <w:u w:val="none"/>
        </w:rPr>
        <w:t>our campus.</w:t>
      </w:r>
      <w:r>
        <w:rPr>
          <w:spacing w:val="-10"/>
          <w:u w:val="none"/>
        </w:rPr>
        <w:t> </w:t>
      </w:r>
      <w:r>
        <w:rPr>
          <w:u w:val="none"/>
        </w:rPr>
        <w:t>The</w:t>
      </w:r>
      <w:r>
        <w:rPr>
          <w:spacing w:val="-9"/>
          <w:u w:val="none"/>
        </w:rPr>
        <w:t> </w:t>
      </w:r>
      <w:r>
        <w:rPr>
          <w:u w:val="none"/>
        </w:rPr>
        <w:t>College</w:t>
      </w:r>
      <w:r>
        <w:rPr>
          <w:spacing w:val="-9"/>
          <w:u w:val="none"/>
        </w:rPr>
        <w:t> </w:t>
      </w:r>
      <w:r>
        <w:rPr>
          <w:u w:val="none"/>
        </w:rPr>
        <w:t>of</w:t>
      </w:r>
      <w:r>
        <w:rPr>
          <w:spacing w:val="-10"/>
          <w:u w:val="none"/>
        </w:rPr>
        <w:t> </w:t>
      </w:r>
      <w:r>
        <w:rPr>
          <w:u w:val="none"/>
        </w:rPr>
        <w:t>Engineering</w:t>
      </w:r>
      <w:r>
        <w:rPr>
          <w:spacing w:val="-10"/>
          <w:u w:val="none"/>
        </w:rPr>
        <w:t> </w:t>
      </w:r>
      <w:r>
        <w:rPr>
          <w:u w:val="none"/>
        </w:rPr>
        <w:t>and</w:t>
      </w:r>
      <w:r>
        <w:rPr>
          <w:spacing w:val="-9"/>
          <w:u w:val="none"/>
        </w:rPr>
        <w:t> </w:t>
      </w:r>
      <w:r>
        <w:rPr>
          <w:u w:val="none"/>
        </w:rPr>
        <w:t>Applied</w:t>
      </w:r>
      <w:r>
        <w:rPr>
          <w:spacing w:val="-10"/>
          <w:u w:val="none"/>
        </w:rPr>
        <w:t> </w:t>
      </w:r>
      <w:r>
        <w:rPr>
          <w:u w:val="none"/>
        </w:rPr>
        <w:t>Sciences</w:t>
      </w:r>
      <w:r>
        <w:rPr>
          <w:spacing w:val="-13"/>
          <w:u w:val="none"/>
        </w:rPr>
        <w:t> </w:t>
      </w:r>
      <w:r>
        <w:rPr>
          <w:u w:val="none"/>
        </w:rPr>
        <w:t>(CEAS)</w:t>
      </w:r>
      <w:r>
        <w:rPr>
          <w:spacing w:val="-10"/>
          <w:u w:val="none"/>
        </w:rPr>
        <w:t> </w:t>
      </w:r>
      <w:r>
        <w:rPr>
          <w:u w:val="none"/>
        </w:rPr>
        <w:t>Complementary Policy will ensure compliant completion of RCRS training for CEAS faculty, post-doctoral associates, research staff, graduate students, and undergraduate students involved in Research and Scholarship.</w:t>
      </w:r>
    </w:p>
    <w:p>
      <w:pPr>
        <w:pStyle w:val="BodyText"/>
        <w:spacing w:before="7"/>
      </w:pPr>
    </w:p>
    <w:p>
      <w:pPr>
        <w:pStyle w:val="Heading2"/>
        <w:spacing w:before="1"/>
        <w:ind w:right="356"/>
      </w:pPr>
      <w:bookmarkStart w:name="College of Engineering and Applied Scien" w:id="2"/>
      <w:bookmarkEnd w:id="2"/>
      <w:r>
        <w:rPr>
          <w:b w:val="0"/>
        </w:rPr>
      </w:r>
      <w:r>
        <w:rPr>
          <w:color w:val="990000"/>
        </w:rPr>
        <w:t>College of Engineering and Applied Sciences Training </w:t>
      </w:r>
      <w:r>
        <w:rPr>
          <w:color w:val="990000"/>
          <w:spacing w:val="-2"/>
        </w:rPr>
        <w:t>Requirements</w:t>
      </w:r>
    </w:p>
    <w:p>
      <w:pPr>
        <w:pStyle w:val="BodyText"/>
        <w:spacing w:line="242" w:lineRule="auto" w:before="150"/>
        <w:ind w:left="358" w:right="356"/>
        <w:jc w:val="both"/>
      </w:pPr>
      <w:r>
        <w:rPr/>
        <w:t>RCRS compliant training comprises on-line training and in-person training. The policy set forth by </w:t>
      </w:r>
      <w:r>
        <w:rPr>
          <w:b/>
        </w:rPr>
        <w:t>individual departments </w:t>
      </w:r>
      <w:r>
        <w:rPr/>
        <w:t>specifies training components and frequency.</w:t>
      </w:r>
    </w:p>
    <w:p>
      <w:pPr>
        <w:pStyle w:val="BodyText"/>
        <w:spacing w:before="1"/>
      </w:pPr>
    </w:p>
    <w:p>
      <w:pPr>
        <w:pStyle w:val="ListParagraph"/>
        <w:numPr>
          <w:ilvl w:val="0"/>
          <w:numId w:val="1"/>
        </w:numPr>
        <w:tabs>
          <w:tab w:pos="1349" w:val="left" w:leader="none"/>
        </w:tabs>
        <w:spacing w:line="240" w:lineRule="auto" w:before="0" w:after="0"/>
        <w:ind w:left="1349" w:right="352" w:hanging="360"/>
        <w:jc w:val="both"/>
        <w:rPr>
          <w:sz w:val="24"/>
        </w:rPr>
      </w:pPr>
      <w:r>
        <w:rPr>
          <w:sz w:val="24"/>
        </w:rPr>
        <w:t>On-line training: Web-based Collaborative Institutional Training Initiative (CITI) training is a one-time training; satisfactory completion is recorded on personnel records in the Stony Brook PeopleSoft system. The CITI system has multiple</w:t>
      </w:r>
      <w:r>
        <w:rPr>
          <w:spacing w:val="-1"/>
          <w:sz w:val="24"/>
        </w:rPr>
        <w:t> </w:t>
      </w:r>
      <w:r>
        <w:rPr>
          <w:sz w:val="24"/>
        </w:rPr>
        <w:t>training</w:t>
      </w:r>
      <w:r>
        <w:rPr>
          <w:spacing w:val="-1"/>
          <w:sz w:val="24"/>
        </w:rPr>
        <w:t> </w:t>
      </w:r>
      <w:r>
        <w:rPr>
          <w:sz w:val="24"/>
        </w:rPr>
        <w:t>modules</w:t>
      </w:r>
      <w:r>
        <w:rPr>
          <w:spacing w:val="-1"/>
          <w:sz w:val="24"/>
        </w:rPr>
        <w:t> </w:t>
      </w:r>
      <w:r>
        <w:rPr>
          <w:sz w:val="24"/>
        </w:rPr>
        <w:t>available; each</w:t>
      </w:r>
      <w:r>
        <w:rPr>
          <w:spacing w:val="-1"/>
          <w:sz w:val="24"/>
        </w:rPr>
        <w:t> </w:t>
      </w:r>
      <w:r>
        <w:rPr>
          <w:sz w:val="24"/>
        </w:rPr>
        <w:t>department</w:t>
      </w:r>
      <w:r>
        <w:rPr>
          <w:spacing w:val="-1"/>
          <w:sz w:val="24"/>
        </w:rPr>
        <w:t> </w:t>
      </w:r>
      <w:r>
        <w:rPr>
          <w:sz w:val="24"/>
        </w:rPr>
        <w:t>within</w:t>
      </w:r>
      <w:r>
        <w:rPr>
          <w:spacing w:val="-1"/>
          <w:sz w:val="24"/>
        </w:rPr>
        <w:t> </w:t>
      </w:r>
      <w:r>
        <w:rPr>
          <w:sz w:val="24"/>
        </w:rPr>
        <w:t>CEAS</w:t>
      </w:r>
      <w:r>
        <w:rPr>
          <w:spacing w:val="-1"/>
          <w:sz w:val="24"/>
        </w:rPr>
        <w:t> </w:t>
      </w:r>
      <w:r>
        <w:rPr>
          <w:sz w:val="24"/>
        </w:rPr>
        <w:t>determines appropriate module(s) for its personnel and students.</w:t>
      </w:r>
    </w:p>
    <w:p>
      <w:pPr>
        <w:pStyle w:val="ListParagraph"/>
        <w:spacing w:after="0" w:line="240" w:lineRule="auto"/>
        <w:jc w:val="both"/>
        <w:rPr>
          <w:sz w:val="24"/>
        </w:rPr>
        <w:sectPr>
          <w:headerReference w:type="default" r:id="rId5"/>
          <w:footerReference w:type="default" r:id="rId6"/>
          <w:type w:val="continuous"/>
          <w:pgSz w:w="12240" w:h="15840"/>
          <w:pgMar w:header="720" w:footer="1060" w:top="1880" w:bottom="1260" w:left="1080" w:right="1080"/>
          <w:pgNumType w:start="1"/>
        </w:sectPr>
      </w:pPr>
    </w:p>
    <w:p>
      <w:pPr>
        <w:pStyle w:val="ListParagraph"/>
        <w:numPr>
          <w:ilvl w:val="0"/>
          <w:numId w:val="1"/>
        </w:numPr>
        <w:tabs>
          <w:tab w:pos="1350" w:val="left" w:leader="none"/>
        </w:tabs>
        <w:spacing w:line="240" w:lineRule="auto" w:before="169" w:after="0"/>
        <w:ind w:left="1350" w:right="357" w:hanging="360"/>
        <w:jc w:val="both"/>
        <w:rPr>
          <w:sz w:val="24"/>
        </w:rPr>
      </w:pPr>
      <w:r>
        <w:rPr>
          <w:sz w:val="24"/>
        </w:rPr>
        <w:t>In-person training: minimum requirements must meet external funding entity requirements, as determined by each department.</w:t>
      </w:r>
    </w:p>
    <w:p>
      <w:pPr>
        <w:pStyle w:val="BodyText"/>
        <w:spacing w:before="239"/>
      </w:pPr>
    </w:p>
    <w:p>
      <w:pPr>
        <w:pStyle w:val="Heading2"/>
      </w:pPr>
      <w:bookmarkStart w:name="Identifying and notifying faculty, staff" w:id="3"/>
      <w:bookmarkEnd w:id="3"/>
      <w:r>
        <w:rPr>
          <w:b w:val="0"/>
        </w:rPr>
      </w:r>
      <w:r>
        <w:rPr>
          <w:color w:val="990000"/>
        </w:rPr>
        <w:t>Identifying</w:t>
      </w:r>
      <w:r>
        <w:rPr>
          <w:color w:val="990000"/>
          <w:spacing w:val="-12"/>
        </w:rPr>
        <w:t> </w:t>
      </w:r>
      <w:r>
        <w:rPr>
          <w:color w:val="990000"/>
        </w:rPr>
        <w:t>and</w:t>
      </w:r>
      <w:r>
        <w:rPr>
          <w:color w:val="990000"/>
          <w:spacing w:val="-9"/>
        </w:rPr>
        <w:t> </w:t>
      </w:r>
      <w:r>
        <w:rPr>
          <w:color w:val="990000"/>
        </w:rPr>
        <w:t>notifying</w:t>
      </w:r>
      <w:r>
        <w:rPr>
          <w:color w:val="990000"/>
          <w:spacing w:val="-11"/>
        </w:rPr>
        <w:t> </w:t>
      </w:r>
      <w:r>
        <w:rPr>
          <w:color w:val="990000"/>
        </w:rPr>
        <w:t>faculty,</w:t>
      </w:r>
      <w:r>
        <w:rPr>
          <w:color w:val="990000"/>
          <w:spacing w:val="-11"/>
        </w:rPr>
        <w:t> </w:t>
      </w:r>
      <w:r>
        <w:rPr>
          <w:color w:val="990000"/>
        </w:rPr>
        <w:t>staff,</w:t>
      </w:r>
      <w:r>
        <w:rPr>
          <w:color w:val="990000"/>
          <w:spacing w:val="-11"/>
        </w:rPr>
        <w:t> </w:t>
      </w:r>
      <w:r>
        <w:rPr>
          <w:color w:val="990000"/>
        </w:rPr>
        <w:t>and</w:t>
      </w:r>
      <w:r>
        <w:rPr>
          <w:color w:val="990000"/>
          <w:spacing w:val="-10"/>
        </w:rPr>
        <w:t> </w:t>
      </w:r>
      <w:r>
        <w:rPr>
          <w:color w:val="990000"/>
        </w:rPr>
        <w:t>students</w:t>
      </w:r>
      <w:r>
        <w:rPr>
          <w:color w:val="990000"/>
          <w:spacing w:val="-11"/>
        </w:rPr>
        <w:t> </w:t>
      </w:r>
      <w:r>
        <w:rPr>
          <w:color w:val="990000"/>
        </w:rPr>
        <w:t>of</w:t>
      </w:r>
      <w:r>
        <w:rPr>
          <w:color w:val="990000"/>
          <w:spacing w:val="-11"/>
        </w:rPr>
        <w:t> </w:t>
      </w:r>
      <w:r>
        <w:rPr>
          <w:color w:val="990000"/>
          <w:spacing w:val="-5"/>
        </w:rPr>
        <w:t>IPT</w:t>
      </w:r>
    </w:p>
    <w:p>
      <w:pPr>
        <w:pStyle w:val="BodyText"/>
        <w:spacing w:line="242" w:lineRule="auto" w:before="240"/>
        <w:ind w:left="358" w:right="441"/>
        <w:jc w:val="both"/>
      </w:pPr>
      <w:r>
        <w:rPr/>
        <w:t>Procedures</w:t>
      </w:r>
      <w:r>
        <w:rPr>
          <w:spacing w:val="-4"/>
        </w:rPr>
        <w:t> </w:t>
      </w:r>
      <w:r>
        <w:rPr/>
        <w:t>for</w:t>
      </w:r>
      <w:r>
        <w:rPr>
          <w:spacing w:val="-3"/>
        </w:rPr>
        <w:t> </w:t>
      </w:r>
      <w:r>
        <w:rPr/>
        <w:t>identifying</w:t>
      </w:r>
      <w:r>
        <w:rPr>
          <w:spacing w:val="-3"/>
        </w:rPr>
        <w:t> </w:t>
      </w:r>
      <w:r>
        <w:rPr/>
        <w:t>and</w:t>
      </w:r>
      <w:r>
        <w:rPr>
          <w:spacing w:val="-3"/>
        </w:rPr>
        <w:t> </w:t>
      </w:r>
      <w:r>
        <w:rPr/>
        <w:t>notifying</w:t>
      </w:r>
      <w:r>
        <w:rPr>
          <w:spacing w:val="-3"/>
        </w:rPr>
        <w:t> </w:t>
      </w:r>
      <w:r>
        <w:rPr/>
        <w:t>faculty,</w:t>
      </w:r>
      <w:r>
        <w:rPr>
          <w:spacing w:val="-3"/>
        </w:rPr>
        <w:t> </w:t>
      </w:r>
      <w:r>
        <w:rPr/>
        <w:t>staff</w:t>
      </w:r>
      <w:r>
        <w:rPr>
          <w:spacing w:val="-2"/>
        </w:rPr>
        <w:t> </w:t>
      </w:r>
      <w:r>
        <w:rPr/>
        <w:t>and</w:t>
      </w:r>
      <w:r>
        <w:rPr>
          <w:spacing w:val="-3"/>
        </w:rPr>
        <w:t> </w:t>
      </w:r>
      <w:r>
        <w:rPr/>
        <w:t>student</w:t>
      </w:r>
      <w:r>
        <w:rPr>
          <w:spacing w:val="-2"/>
        </w:rPr>
        <w:t> </w:t>
      </w:r>
      <w:r>
        <w:rPr/>
        <w:t>of</w:t>
      </w:r>
      <w:r>
        <w:rPr>
          <w:spacing w:val="-3"/>
        </w:rPr>
        <w:t> </w:t>
      </w:r>
      <w:r>
        <w:rPr/>
        <w:t>IPT</w:t>
      </w:r>
      <w:r>
        <w:rPr>
          <w:spacing w:val="-2"/>
        </w:rPr>
        <w:t> </w:t>
      </w:r>
      <w:r>
        <w:rPr/>
        <w:t>are</w:t>
      </w:r>
      <w:r>
        <w:rPr>
          <w:spacing w:val="-2"/>
        </w:rPr>
        <w:t> </w:t>
      </w:r>
      <w:r>
        <w:rPr/>
        <w:t>set</w:t>
      </w:r>
      <w:r>
        <w:rPr>
          <w:spacing w:val="-3"/>
        </w:rPr>
        <w:t> </w:t>
      </w:r>
      <w:r>
        <w:rPr/>
        <w:t>forth</w:t>
      </w:r>
      <w:r>
        <w:rPr>
          <w:spacing w:val="-2"/>
        </w:rPr>
        <w:t> </w:t>
      </w:r>
      <w:r>
        <w:rPr/>
        <w:t>by and are the responsibility of the individual departments.</w:t>
      </w:r>
    </w:p>
    <w:p>
      <w:pPr>
        <w:pStyle w:val="BodyText"/>
        <w:spacing w:before="2"/>
      </w:pPr>
    </w:p>
    <w:p>
      <w:pPr>
        <w:pStyle w:val="BodyText"/>
        <w:ind w:left="358"/>
        <w:jc w:val="both"/>
      </w:pPr>
      <w:r>
        <w:rPr/>
        <w:t>Please</w:t>
      </w:r>
      <w:r>
        <w:rPr>
          <w:spacing w:val="-2"/>
        </w:rPr>
        <w:t> </w:t>
      </w:r>
      <w:r>
        <w:rPr/>
        <w:t>note</w:t>
      </w:r>
      <w:r>
        <w:rPr>
          <w:spacing w:val="-1"/>
        </w:rPr>
        <w:t> </w:t>
      </w:r>
      <w:r>
        <w:rPr/>
        <w:t>for</w:t>
      </w:r>
      <w:r>
        <w:rPr>
          <w:spacing w:val="-3"/>
        </w:rPr>
        <w:t> </w:t>
      </w:r>
      <w:r>
        <w:rPr/>
        <w:t>NIH</w:t>
      </w:r>
      <w:r>
        <w:rPr>
          <w:spacing w:val="-2"/>
        </w:rPr>
        <w:t> </w:t>
      </w:r>
      <w:r>
        <w:rPr/>
        <w:t>grant</w:t>
      </w:r>
      <w:r>
        <w:rPr>
          <w:spacing w:val="-2"/>
        </w:rPr>
        <w:t> recipients:</w:t>
      </w:r>
    </w:p>
    <w:p>
      <w:pPr>
        <w:pStyle w:val="BodyText"/>
        <w:spacing w:before="7"/>
      </w:pPr>
    </w:p>
    <w:p>
      <w:pPr>
        <w:pStyle w:val="ListParagraph"/>
        <w:numPr>
          <w:ilvl w:val="0"/>
          <w:numId w:val="1"/>
        </w:numPr>
        <w:tabs>
          <w:tab w:pos="1348" w:val="left" w:leader="none"/>
        </w:tabs>
        <w:spacing w:line="240" w:lineRule="auto" w:before="1" w:after="0"/>
        <w:ind w:left="1348" w:right="355" w:hanging="360"/>
        <w:jc w:val="both"/>
        <w:rPr>
          <w:sz w:val="24"/>
        </w:rPr>
      </w:pPr>
      <w:r>
        <w:rPr>
          <w:sz w:val="24"/>
        </w:rPr>
        <w:t>On grants where a trainee is Principal Investigator, the named faculty mentor retains responsibility for the trainee's compliance with RCR training </w:t>
      </w:r>
      <w:r>
        <w:rPr>
          <w:spacing w:val="-2"/>
          <w:sz w:val="24"/>
        </w:rPr>
        <w:t>requirements.</w:t>
      </w:r>
    </w:p>
    <w:p>
      <w:pPr>
        <w:pStyle w:val="ListParagraph"/>
        <w:numPr>
          <w:ilvl w:val="0"/>
          <w:numId w:val="1"/>
        </w:numPr>
        <w:tabs>
          <w:tab w:pos="1348" w:val="left" w:leader="none"/>
        </w:tabs>
        <w:spacing w:line="240" w:lineRule="auto" w:before="272" w:after="0"/>
        <w:ind w:left="1348" w:right="354" w:hanging="360"/>
        <w:jc w:val="both"/>
        <w:rPr>
          <w:sz w:val="24"/>
        </w:rPr>
      </w:pPr>
      <w:r>
        <w:rPr>
          <w:sz w:val="24"/>
        </w:rPr>
        <w:t>On grants where a trainee is Principal Investigator, and there is no named faculty mentor (e.g., K05,K12, K18 KL2 and TU2 programs), the relevant department chair retains responsibility for the trainee's compliance with this RCRS training requirement</w:t>
      </w:r>
    </w:p>
    <w:p>
      <w:pPr>
        <w:pStyle w:val="BodyText"/>
      </w:pPr>
    </w:p>
    <w:p>
      <w:pPr>
        <w:pStyle w:val="Heading2"/>
        <w:spacing w:before="1"/>
      </w:pPr>
      <w:bookmarkStart w:name="Record keeping" w:id="4"/>
      <w:bookmarkEnd w:id="4"/>
      <w:r>
        <w:rPr>
          <w:b w:val="0"/>
        </w:rPr>
      </w:r>
      <w:r>
        <w:rPr>
          <w:color w:val="990000"/>
        </w:rPr>
        <w:t>Record</w:t>
      </w:r>
      <w:r>
        <w:rPr>
          <w:color w:val="990000"/>
          <w:spacing w:val="-13"/>
        </w:rPr>
        <w:t> </w:t>
      </w:r>
      <w:r>
        <w:rPr>
          <w:color w:val="990000"/>
          <w:spacing w:val="-2"/>
        </w:rPr>
        <w:t>keeping</w:t>
      </w:r>
    </w:p>
    <w:p>
      <w:pPr>
        <w:pStyle w:val="ListParagraph"/>
        <w:numPr>
          <w:ilvl w:val="0"/>
          <w:numId w:val="1"/>
        </w:numPr>
        <w:tabs>
          <w:tab w:pos="1350" w:val="left" w:leader="none"/>
        </w:tabs>
        <w:spacing w:line="240" w:lineRule="auto" w:before="148" w:after="0"/>
        <w:ind w:left="1350" w:right="356" w:hanging="360"/>
        <w:jc w:val="both"/>
        <w:rPr>
          <w:sz w:val="24"/>
        </w:rPr>
      </w:pPr>
      <w:r>
        <w:rPr>
          <w:sz w:val="24"/>
        </w:rPr>
        <w:t>Any activity intended to satisfy the RCR training requirement must be supported</w:t>
      </w:r>
      <w:r>
        <w:rPr>
          <w:spacing w:val="-2"/>
          <w:sz w:val="24"/>
        </w:rPr>
        <w:t> </w:t>
      </w:r>
      <w:r>
        <w:rPr>
          <w:sz w:val="24"/>
        </w:rPr>
        <w:t>by</w:t>
      </w:r>
      <w:r>
        <w:rPr>
          <w:spacing w:val="-4"/>
          <w:sz w:val="24"/>
        </w:rPr>
        <w:t> </w:t>
      </w:r>
      <w:r>
        <w:rPr>
          <w:sz w:val="24"/>
        </w:rPr>
        <w:t>appropriate</w:t>
      </w:r>
      <w:r>
        <w:rPr>
          <w:spacing w:val="-3"/>
          <w:sz w:val="24"/>
        </w:rPr>
        <w:t> </w:t>
      </w:r>
      <w:r>
        <w:rPr>
          <w:sz w:val="24"/>
        </w:rPr>
        <w:t>documentation</w:t>
      </w:r>
      <w:r>
        <w:rPr>
          <w:spacing w:val="-4"/>
          <w:sz w:val="24"/>
        </w:rPr>
        <w:t> </w:t>
      </w:r>
      <w:r>
        <w:rPr>
          <w:sz w:val="24"/>
        </w:rPr>
        <w:t>(attendance,</w:t>
      </w:r>
      <w:r>
        <w:rPr>
          <w:spacing w:val="-3"/>
          <w:sz w:val="24"/>
        </w:rPr>
        <w:t> </w:t>
      </w:r>
      <w:r>
        <w:rPr>
          <w:sz w:val="24"/>
        </w:rPr>
        <w:t>topics</w:t>
      </w:r>
      <w:r>
        <w:rPr>
          <w:spacing w:val="-4"/>
          <w:sz w:val="24"/>
        </w:rPr>
        <w:t> </w:t>
      </w:r>
      <w:r>
        <w:rPr>
          <w:sz w:val="24"/>
        </w:rPr>
        <w:t>covered,</w:t>
      </w:r>
      <w:r>
        <w:rPr>
          <w:spacing w:val="-3"/>
          <w:sz w:val="24"/>
        </w:rPr>
        <w:t> </w:t>
      </w:r>
      <w:r>
        <w:rPr>
          <w:sz w:val="24"/>
        </w:rPr>
        <w:t>etc.)</w:t>
      </w:r>
      <w:r>
        <w:rPr>
          <w:spacing w:val="-4"/>
          <w:sz w:val="24"/>
        </w:rPr>
        <w:t> </w:t>
      </w:r>
      <w:r>
        <w:rPr>
          <w:sz w:val="24"/>
        </w:rPr>
        <w:t>in</w:t>
      </w:r>
      <w:r>
        <w:rPr>
          <w:spacing w:val="-4"/>
          <w:sz w:val="24"/>
        </w:rPr>
        <w:t> </w:t>
      </w:r>
      <w:r>
        <w:rPr>
          <w:sz w:val="24"/>
        </w:rPr>
        <w:t>a departmental database.</w:t>
      </w:r>
    </w:p>
    <w:p>
      <w:pPr>
        <w:pStyle w:val="BodyText"/>
      </w:pPr>
    </w:p>
    <w:p>
      <w:pPr>
        <w:pStyle w:val="ListParagraph"/>
        <w:numPr>
          <w:ilvl w:val="0"/>
          <w:numId w:val="1"/>
        </w:numPr>
        <w:tabs>
          <w:tab w:pos="1348" w:val="left" w:leader="none"/>
        </w:tabs>
        <w:spacing w:line="240" w:lineRule="auto" w:before="0" w:after="0"/>
        <w:ind w:left="1348" w:right="356" w:hanging="360"/>
        <w:jc w:val="both"/>
        <w:rPr>
          <w:sz w:val="24"/>
        </w:rPr>
      </w:pPr>
      <w:r>
        <w:rPr>
          <w:sz w:val="24"/>
        </w:rPr>
        <w:t>Each department within the College is responsible for identifying who will be responsible for departmental record keeping of accurate, verifiableinformation regarding individuals' IPT completion data.</w:t>
      </w:r>
    </w:p>
    <w:p>
      <w:pPr>
        <w:pStyle w:val="BodyText"/>
        <w:spacing w:before="1"/>
      </w:pPr>
    </w:p>
    <w:p>
      <w:pPr>
        <w:pStyle w:val="ListParagraph"/>
        <w:numPr>
          <w:ilvl w:val="0"/>
          <w:numId w:val="1"/>
        </w:numPr>
        <w:tabs>
          <w:tab w:pos="1350" w:val="left" w:leader="none"/>
        </w:tabs>
        <w:spacing w:line="240" w:lineRule="auto" w:before="0" w:after="0"/>
        <w:ind w:left="1350" w:right="354" w:hanging="360"/>
        <w:jc w:val="both"/>
        <w:rPr>
          <w:sz w:val="24"/>
        </w:rPr>
      </w:pPr>
      <w:r>
        <w:rPr>
          <w:sz w:val="24"/>
        </w:rPr>
        <w:t>IPT participation will be kept in the office of the Dean and maintained by the Associate Dean for Research in coordination with a representative of each department within the College.</w:t>
      </w:r>
    </w:p>
    <w:p>
      <w:pPr>
        <w:pStyle w:val="BodyText"/>
      </w:pPr>
    </w:p>
    <w:p>
      <w:pPr>
        <w:pStyle w:val="ListParagraph"/>
        <w:numPr>
          <w:ilvl w:val="0"/>
          <w:numId w:val="1"/>
        </w:numPr>
        <w:tabs>
          <w:tab w:pos="1349" w:val="left" w:leader="none"/>
        </w:tabs>
        <w:spacing w:line="240" w:lineRule="auto" w:before="0" w:after="0"/>
        <w:ind w:left="1349" w:right="353" w:hanging="360"/>
        <w:jc w:val="both"/>
        <w:rPr>
          <w:sz w:val="24"/>
        </w:rPr>
      </w:pPr>
      <w:r>
        <w:rPr>
          <w:sz w:val="24"/>
        </w:rPr>
        <w:t>Each individual is responsible, as determined by the home department, for entering his or her own continuing IPT activity in the RCRS database (TBD). This</w:t>
      </w:r>
      <w:r>
        <w:rPr>
          <w:spacing w:val="-11"/>
          <w:sz w:val="24"/>
        </w:rPr>
        <w:t> </w:t>
      </w:r>
      <w:r>
        <w:rPr>
          <w:sz w:val="24"/>
        </w:rPr>
        <w:t>database</w:t>
      </w:r>
      <w:r>
        <w:rPr>
          <w:spacing w:val="-9"/>
          <w:sz w:val="24"/>
        </w:rPr>
        <w:t> </w:t>
      </w:r>
      <w:r>
        <w:rPr>
          <w:sz w:val="24"/>
        </w:rPr>
        <w:t>records</w:t>
      </w:r>
      <w:r>
        <w:rPr>
          <w:spacing w:val="-10"/>
          <w:sz w:val="24"/>
        </w:rPr>
        <w:t> </w:t>
      </w:r>
      <w:r>
        <w:rPr>
          <w:sz w:val="24"/>
        </w:rPr>
        <w:t>the</w:t>
      </w:r>
      <w:r>
        <w:rPr>
          <w:spacing w:val="-8"/>
          <w:sz w:val="24"/>
        </w:rPr>
        <w:t> </w:t>
      </w:r>
      <w:r>
        <w:rPr>
          <w:sz w:val="24"/>
        </w:rPr>
        <w:t>general</w:t>
      </w:r>
      <w:r>
        <w:rPr>
          <w:spacing w:val="-9"/>
          <w:sz w:val="24"/>
        </w:rPr>
        <w:t> </w:t>
      </w:r>
      <w:r>
        <w:rPr>
          <w:sz w:val="24"/>
        </w:rPr>
        <w:t>content</w:t>
      </w:r>
      <w:r>
        <w:rPr>
          <w:spacing w:val="-10"/>
          <w:sz w:val="24"/>
        </w:rPr>
        <w:t> </w:t>
      </w:r>
      <w:r>
        <w:rPr>
          <w:sz w:val="24"/>
        </w:rPr>
        <w:t>of</w:t>
      </w:r>
      <w:r>
        <w:rPr>
          <w:spacing w:val="-7"/>
          <w:sz w:val="24"/>
        </w:rPr>
        <w:t> </w:t>
      </w:r>
      <w:r>
        <w:rPr>
          <w:sz w:val="24"/>
        </w:rPr>
        <w:t>IPT</w:t>
      </w:r>
      <w:r>
        <w:rPr>
          <w:spacing w:val="-9"/>
          <w:sz w:val="24"/>
        </w:rPr>
        <w:t> </w:t>
      </w:r>
      <w:r>
        <w:rPr>
          <w:sz w:val="24"/>
        </w:rPr>
        <w:t>discussions</w:t>
      </w:r>
      <w:r>
        <w:rPr>
          <w:spacing w:val="-9"/>
          <w:sz w:val="24"/>
        </w:rPr>
        <w:t> </w:t>
      </w:r>
      <w:r>
        <w:rPr>
          <w:sz w:val="24"/>
        </w:rPr>
        <w:t>(the</w:t>
      </w:r>
      <w:r>
        <w:rPr>
          <w:spacing w:val="-8"/>
          <w:sz w:val="24"/>
        </w:rPr>
        <w:t> </w:t>
      </w:r>
      <w:r>
        <w:rPr>
          <w:sz w:val="24"/>
        </w:rPr>
        <w:t>areas</w:t>
      </w:r>
      <w:r>
        <w:rPr>
          <w:spacing w:val="-9"/>
          <w:sz w:val="24"/>
        </w:rPr>
        <w:t> </w:t>
      </w:r>
      <w:r>
        <w:rPr>
          <w:sz w:val="24"/>
        </w:rPr>
        <w:t>of</w:t>
      </w:r>
      <w:r>
        <w:rPr>
          <w:spacing w:val="-9"/>
          <w:sz w:val="24"/>
        </w:rPr>
        <w:t> </w:t>
      </w:r>
      <w:r>
        <w:rPr>
          <w:sz w:val="24"/>
        </w:rPr>
        <w:t>RCRS covered), the time spent on each topic, and the attendees.</w:t>
      </w:r>
    </w:p>
    <w:p>
      <w:pPr>
        <w:pStyle w:val="ListParagraph"/>
        <w:numPr>
          <w:ilvl w:val="0"/>
          <w:numId w:val="1"/>
        </w:numPr>
        <w:tabs>
          <w:tab w:pos="1350" w:val="left" w:leader="none"/>
        </w:tabs>
        <w:spacing w:line="240" w:lineRule="auto" w:before="271" w:after="0"/>
        <w:ind w:left="1350" w:right="356" w:hanging="360"/>
        <w:jc w:val="both"/>
        <w:rPr>
          <w:sz w:val="24"/>
        </w:rPr>
      </w:pPr>
      <w:r>
        <w:rPr>
          <w:sz w:val="24"/>
        </w:rPr>
        <w:t>CITI</w:t>
      </w:r>
      <w:r>
        <w:rPr>
          <w:spacing w:val="-10"/>
          <w:sz w:val="24"/>
        </w:rPr>
        <w:t> </w:t>
      </w:r>
      <w:r>
        <w:rPr>
          <w:sz w:val="24"/>
        </w:rPr>
        <w:t>training</w:t>
      </w:r>
      <w:r>
        <w:rPr>
          <w:spacing w:val="-9"/>
          <w:sz w:val="24"/>
        </w:rPr>
        <w:t> </w:t>
      </w:r>
      <w:r>
        <w:rPr>
          <w:sz w:val="24"/>
        </w:rPr>
        <w:t>completion</w:t>
      </w:r>
      <w:r>
        <w:rPr>
          <w:spacing w:val="-10"/>
          <w:sz w:val="24"/>
        </w:rPr>
        <w:t> </w:t>
      </w:r>
      <w:r>
        <w:rPr>
          <w:sz w:val="24"/>
        </w:rPr>
        <w:t>data</w:t>
      </w:r>
      <w:r>
        <w:rPr>
          <w:spacing w:val="-8"/>
          <w:sz w:val="24"/>
        </w:rPr>
        <w:t> </w:t>
      </w:r>
      <w:r>
        <w:rPr>
          <w:sz w:val="24"/>
        </w:rPr>
        <w:t>will</w:t>
      </w:r>
      <w:r>
        <w:rPr>
          <w:spacing w:val="-10"/>
          <w:sz w:val="24"/>
        </w:rPr>
        <w:t> </w:t>
      </w:r>
      <w:r>
        <w:rPr>
          <w:sz w:val="24"/>
        </w:rPr>
        <w:t>be</w:t>
      </w:r>
      <w:r>
        <w:rPr>
          <w:spacing w:val="-7"/>
          <w:sz w:val="24"/>
        </w:rPr>
        <w:t> </w:t>
      </w:r>
      <w:r>
        <w:rPr>
          <w:sz w:val="24"/>
        </w:rPr>
        <w:t>furnished</w:t>
      </w:r>
      <w:r>
        <w:rPr>
          <w:spacing w:val="-10"/>
          <w:sz w:val="24"/>
        </w:rPr>
        <w:t> </w:t>
      </w:r>
      <w:r>
        <w:rPr>
          <w:sz w:val="24"/>
        </w:rPr>
        <w:t>to</w:t>
      </w:r>
      <w:r>
        <w:rPr>
          <w:spacing w:val="-10"/>
          <w:sz w:val="24"/>
        </w:rPr>
        <w:t> </w:t>
      </w:r>
      <w:r>
        <w:rPr>
          <w:sz w:val="24"/>
        </w:rPr>
        <w:t>individual</w:t>
      </w:r>
      <w:r>
        <w:rPr>
          <w:spacing w:val="-10"/>
          <w:sz w:val="24"/>
        </w:rPr>
        <w:t> </w:t>
      </w:r>
      <w:r>
        <w:rPr>
          <w:sz w:val="24"/>
        </w:rPr>
        <w:t>departments</w:t>
      </w:r>
      <w:r>
        <w:rPr>
          <w:spacing w:val="-10"/>
          <w:sz w:val="24"/>
        </w:rPr>
        <w:t> </w:t>
      </w:r>
      <w:r>
        <w:rPr>
          <w:sz w:val="24"/>
        </w:rPr>
        <w:t>twice annually, as determined by departments.</w:t>
      </w:r>
    </w:p>
    <w:p>
      <w:pPr>
        <w:pStyle w:val="ListParagraph"/>
        <w:spacing w:after="0" w:line="240" w:lineRule="auto"/>
        <w:jc w:val="both"/>
        <w:rPr>
          <w:sz w:val="24"/>
        </w:rPr>
        <w:sectPr>
          <w:pgSz w:w="12240" w:h="15840"/>
          <w:pgMar w:header="720" w:footer="1060" w:top="1880" w:bottom="1260" w:left="1080" w:right="1080"/>
        </w:sectPr>
      </w:pPr>
    </w:p>
    <w:p>
      <w:pPr>
        <w:pStyle w:val="BodyText"/>
        <w:spacing w:before="239"/>
      </w:pPr>
    </w:p>
    <w:p>
      <w:pPr>
        <w:pStyle w:val="BodyText"/>
        <w:ind w:left="358" w:right="581"/>
      </w:pPr>
      <w:r>
        <w:rPr/>
        <w:t>See</w:t>
      </w:r>
      <w:r>
        <w:rPr>
          <w:spacing w:val="-3"/>
        </w:rPr>
        <w:t> </w:t>
      </w:r>
      <w:r>
        <w:rPr>
          <w:b/>
        </w:rPr>
        <w:t>Attachment</w:t>
      </w:r>
      <w:r>
        <w:rPr>
          <w:b/>
          <w:spacing w:val="-3"/>
        </w:rPr>
        <w:t> </w:t>
      </w:r>
      <w:r>
        <w:rPr>
          <w:b/>
        </w:rPr>
        <w:t>A</w:t>
      </w:r>
      <w:r>
        <w:rPr>
          <w:b/>
          <w:spacing w:val="-3"/>
        </w:rPr>
        <w:t> </w:t>
      </w:r>
      <w:r>
        <w:rPr/>
        <w:t>for</w:t>
      </w:r>
      <w:r>
        <w:rPr>
          <w:spacing w:val="-4"/>
        </w:rPr>
        <w:t> </w:t>
      </w:r>
      <w:r>
        <w:rPr/>
        <w:t>Stony</w:t>
      </w:r>
      <w:r>
        <w:rPr>
          <w:spacing w:val="-4"/>
        </w:rPr>
        <w:t> </w:t>
      </w:r>
      <w:r>
        <w:rPr/>
        <w:t>Brook</w:t>
      </w:r>
      <w:r>
        <w:rPr>
          <w:spacing w:val="-4"/>
        </w:rPr>
        <w:t> </w:t>
      </w:r>
      <w:r>
        <w:rPr/>
        <w:t>Policy:</w:t>
      </w:r>
      <w:r>
        <w:rPr>
          <w:spacing w:val="-3"/>
        </w:rPr>
        <w:t> </w:t>
      </w:r>
      <w:r>
        <w:rPr/>
        <w:t>Responsible</w:t>
      </w:r>
      <w:r>
        <w:rPr>
          <w:spacing w:val="-3"/>
        </w:rPr>
        <w:t> </w:t>
      </w:r>
      <w:r>
        <w:rPr/>
        <w:t>Conduct</w:t>
      </w:r>
      <w:r>
        <w:rPr>
          <w:spacing w:val="-4"/>
        </w:rPr>
        <w:t> </w:t>
      </w:r>
      <w:r>
        <w:rPr/>
        <w:t>of</w:t>
      </w:r>
      <w:r>
        <w:rPr>
          <w:spacing w:val="-4"/>
        </w:rPr>
        <w:t> </w:t>
      </w:r>
      <w:r>
        <w:rPr/>
        <w:t>Research</w:t>
      </w:r>
      <w:r>
        <w:rPr>
          <w:spacing w:val="-4"/>
        </w:rPr>
        <w:t> </w:t>
      </w:r>
      <w:r>
        <w:rPr/>
        <w:t>and </w:t>
      </w:r>
      <w:hyperlink r:id="rId7">
        <w:r>
          <w:rPr>
            <w:color w:val="990000"/>
            <w:spacing w:val="-2"/>
            <w:u w:val="single" w:color="990000"/>
          </w:rPr>
          <w:t>here</w:t>
        </w:r>
      </w:hyperlink>
      <w:r>
        <w:rPr>
          <w:spacing w:val="-2"/>
          <w:u w:val="none"/>
        </w:rPr>
        <w:t>.</w:t>
      </w:r>
    </w:p>
    <w:p>
      <w:pPr>
        <w:spacing w:line="271" w:lineRule="exact" w:before="0"/>
        <w:ind w:left="360" w:right="0" w:firstLine="0"/>
        <w:jc w:val="left"/>
        <w:rPr>
          <w:sz w:val="24"/>
        </w:rPr>
      </w:pPr>
      <w:r>
        <w:rPr>
          <w:sz w:val="24"/>
        </w:rPr>
        <w:t>See</w:t>
      </w:r>
      <w:r>
        <w:rPr>
          <w:spacing w:val="-4"/>
          <w:sz w:val="24"/>
        </w:rPr>
        <w:t> </w:t>
      </w:r>
      <w:r>
        <w:rPr>
          <w:b/>
          <w:sz w:val="24"/>
        </w:rPr>
        <w:t>Attachment</w:t>
      </w:r>
      <w:r>
        <w:rPr>
          <w:b/>
          <w:spacing w:val="-2"/>
          <w:sz w:val="24"/>
        </w:rPr>
        <w:t> </w:t>
      </w:r>
      <w:r>
        <w:rPr>
          <w:b/>
          <w:sz w:val="24"/>
        </w:rPr>
        <w:t>B</w:t>
      </w:r>
      <w:r>
        <w:rPr>
          <w:b/>
          <w:spacing w:val="-2"/>
          <w:sz w:val="24"/>
        </w:rPr>
        <w:t> </w:t>
      </w:r>
      <w:r>
        <w:rPr>
          <w:sz w:val="24"/>
        </w:rPr>
        <w:t>for</w:t>
      </w:r>
      <w:r>
        <w:rPr>
          <w:spacing w:val="-3"/>
          <w:sz w:val="24"/>
        </w:rPr>
        <w:t> </w:t>
      </w:r>
      <w:r>
        <w:rPr>
          <w:sz w:val="24"/>
        </w:rPr>
        <w:t>details</w:t>
      </w:r>
      <w:r>
        <w:rPr>
          <w:spacing w:val="-3"/>
          <w:sz w:val="24"/>
        </w:rPr>
        <w:t> </w:t>
      </w:r>
      <w:r>
        <w:rPr>
          <w:sz w:val="24"/>
        </w:rPr>
        <w:t>on</w:t>
      </w:r>
      <w:r>
        <w:rPr>
          <w:spacing w:val="-3"/>
          <w:sz w:val="24"/>
        </w:rPr>
        <w:t> </w:t>
      </w:r>
      <w:r>
        <w:rPr>
          <w:sz w:val="24"/>
        </w:rPr>
        <w:t>accessing</w:t>
      </w:r>
      <w:r>
        <w:rPr>
          <w:spacing w:val="-3"/>
          <w:sz w:val="24"/>
        </w:rPr>
        <w:t> </w:t>
      </w:r>
      <w:r>
        <w:rPr>
          <w:sz w:val="24"/>
        </w:rPr>
        <w:t>the</w:t>
      </w:r>
      <w:r>
        <w:rPr>
          <w:spacing w:val="-2"/>
          <w:sz w:val="24"/>
        </w:rPr>
        <w:t> </w:t>
      </w:r>
      <w:r>
        <w:rPr>
          <w:sz w:val="24"/>
        </w:rPr>
        <w:t>CITI</w:t>
      </w:r>
      <w:r>
        <w:rPr>
          <w:spacing w:val="-3"/>
          <w:sz w:val="24"/>
        </w:rPr>
        <w:t> </w:t>
      </w:r>
      <w:r>
        <w:rPr>
          <w:sz w:val="24"/>
        </w:rPr>
        <w:t>website</w:t>
      </w:r>
      <w:r>
        <w:rPr>
          <w:spacing w:val="-1"/>
          <w:sz w:val="24"/>
        </w:rPr>
        <w:t> </w:t>
      </w:r>
      <w:hyperlink r:id="rId8">
        <w:r>
          <w:rPr>
            <w:color w:val="990000"/>
            <w:spacing w:val="-2"/>
            <w:sz w:val="24"/>
            <w:u w:val="single" w:color="990000"/>
          </w:rPr>
          <w:t>here</w:t>
        </w:r>
      </w:hyperlink>
      <w:r>
        <w:rPr>
          <w:spacing w:val="-2"/>
          <w:sz w:val="24"/>
          <w:u w:val="none"/>
        </w:rPr>
        <w:t>.</w:t>
      </w:r>
    </w:p>
    <w:sectPr>
      <w:pgSz w:w="12240" w:h="15840"/>
      <w:pgMar w:header="720" w:footer="1060" w:top="1880" w:bottom="1260" w:left="108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 w:name="Georgia">
    <w:altName w:val="Georgia"/>
    <w:charset w:val="0"/>
    <w:family w:val="roman"/>
    <w:pitch w:val="variable"/>
  </w:font>
  <w:font w:name="Symbol">
    <w:altName w:val="Symbol"/>
    <w:charset w:val="2"/>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540736">
              <wp:simplePos x="0" y="0"/>
              <wp:positionH relativeFrom="page">
                <wp:posOffset>3806952</wp:posOffset>
              </wp:positionH>
              <wp:positionV relativeFrom="page">
                <wp:posOffset>9245600</wp:posOffset>
              </wp:positionV>
              <wp:extent cx="170180" cy="17780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170180" cy="177800"/>
                      </a:xfrm>
                      <a:prstGeom prst="rect">
                        <a:avLst/>
                      </a:prstGeom>
                    </wps:spPr>
                    <wps:txbx>
                      <w:txbxContent>
                        <w:p>
                          <w:pPr>
                            <w:pStyle w:val="BodyText"/>
                            <w:spacing w:line="264" w:lineRule="exact"/>
                            <w:ind w:left="60"/>
                            <w:rPr>
                              <w:rFonts w:ascii="Calibri"/>
                            </w:rPr>
                          </w:pPr>
                          <w:r>
                            <w:rPr>
                              <w:rFonts w:ascii="Calibri"/>
                              <w:color w:val="135F82"/>
                              <w:spacing w:val="-10"/>
                              <w:w w:val="105"/>
                            </w:rPr>
                            <w:fldChar w:fldCharType="begin"/>
                          </w:r>
                          <w:r>
                            <w:rPr>
                              <w:rFonts w:ascii="Calibri"/>
                              <w:color w:val="135F82"/>
                              <w:spacing w:val="-10"/>
                              <w:w w:val="105"/>
                            </w:rPr>
                            <w:instrText> PAGE </w:instrText>
                          </w:r>
                          <w:r>
                            <w:rPr>
                              <w:rFonts w:ascii="Calibri"/>
                              <w:color w:val="135F82"/>
                              <w:spacing w:val="-10"/>
                              <w:w w:val="105"/>
                            </w:rPr>
                            <w:fldChar w:fldCharType="separate"/>
                          </w:r>
                          <w:r>
                            <w:rPr>
                              <w:rFonts w:ascii="Calibri"/>
                              <w:color w:val="135F82"/>
                              <w:spacing w:val="-10"/>
                              <w:w w:val="105"/>
                            </w:rPr>
                            <w:t>1</w:t>
                          </w:r>
                          <w:r>
                            <w:rPr>
                              <w:rFonts w:ascii="Calibri"/>
                              <w:color w:val="135F82"/>
                              <w:spacing w:val="-10"/>
                              <w:w w:val="105"/>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99.760010pt;margin-top:728pt;width:13.4pt;height:14pt;mso-position-horizontal-relative:page;mso-position-vertical-relative:page;z-index:-15775744" type="#_x0000_t202" id="docshape1" filled="false" stroked="false">
              <v:textbox inset="0,0,0,0">
                <w:txbxContent>
                  <w:p>
                    <w:pPr>
                      <w:pStyle w:val="BodyText"/>
                      <w:spacing w:line="264" w:lineRule="exact"/>
                      <w:ind w:left="60"/>
                      <w:rPr>
                        <w:rFonts w:ascii="Calibri"/>
                      </w:rPr>
                    </w:pPr>
                    <w:r>
                      <w:rPr>
                        <w:rFonts w:ascii="Calibri"/>
                        <w:color w:val="135F82"/>
                        <w:spacing w:val="-10"/>
                        <w:w w:val="105"/>
                      </w:rPr>
                      <w:fldChar w:fldCharType="begin"/>
                    </w:r>
                    <w:r>
                      <w:rPr>
                        <w:rFonts w:ascii="Calibri"/>
                        <w:color w:val="135F82"/>
                        <w:spacing w:val="-10"/>
                        <w:w w:val="105"/>
                      </w:rPr>
                      <w:instrText> PAGE </w:instrText>
                    </w:r>
                    <w:r>
                      <w:rPr>
                        <w:rFonts w:ascii="Calibri"/>
                        <w:color w:val="135F82"/>
                        <w:spacing w:val="-10"/>
                        <w:w w:val="105"/>
                      </w:rPr>
                      <w:fldChar w:fldCharType="separate"/>
                    </w:r>
                    <w:r>
                      <w:rPr>
                        <w:rFonts w:ascii="Calibri"/>
                        <w:color w:val="135F82"/>
                        <w:spacing w:val="-10"/>
                        <w:w w:val="105"/>
                      </w:rPr>
                      <w:t>1</w:t>
                    </w:r>
                    <w:r>
                      <w:rPr>
                        <w:rFonts w:ascii="Calibri"/>
                        <w:color w:val="135F82"/>
                        <w:spacing w:val="-10"/>
                        <w:w w:val="105"/>
                      </w:rPr>
                      <w:fldChar w:fldCharType="end"/>
                    </w:r>
                  </w:p>
                </w:txbxContent>
              </v:textbox>
              <w10:wrap type="none"/>
            </v:shape>
          </w:pict>
        </mc:Fallback>
      </mc:AlternateContent>
    </w:r>
    <w:r>
      <w:rPr>
        <w:sz w:val="20"/>
      </w:rPr>
      <mc:AlternateContent>
        <mc:Choice Requires="wps">
          <w:drawing>
            <wp:anchor distT="0" distB="0" distL="0" distR="0" allowOverlap="1" layoutInCell="1" locked="0" behindDoc="1" simplePos="0" relativeHeight="487541248">
              <wp:simplePos x="0" y="0"/>
              <wp:positionH relativeFrom="page">
                <wp:posOffset>5789167</wp:posOffset>
              </wp:positionH>
              <wp:positionV relativeFrom="page">
                <wp:posOffset>9430766</wp:posOffset>
              </wp:positionV>
              <wp:extent cx="1090930" cy="177800"/>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1090930" cy="177800"/>
                      </a:xfrm>
                      <a:prstGeom prst="rect">
                        <a:avLst/>
                      </a:prstGeom>
                    </wps:spPr>
                    <wps:txbx>
                      <w:txbxContent>
                        <w:p>
                          <w:pPr>
                            <w:spacing w:line="264" w:lineRule="exact" w:before="0"/>
                            <w:ind w:left="20" w:right="0" w:firstLine="0"/>
                            <w:jc w:val="left"/>
                            <w:rPr>
                              <w:rFonts w:ascii="Calibri"/>
                              <w:i/>
                              <w:sz w:val="24"/>
                            </w:rPr>
                          </w:pPr>
                          <w:r>
                            <w:rPr>
                              <w:rFonts w:ascii="Calibri"/>
                              <w:i/>
                              <w:w w:val="105"/>
                              <w:sz w:val="24"/>
                            </w:rPr>
                            <w:t>Updated</w:t>
                          </w:r>
                          <w:r>
                            <w:rPr>
                              <w:rFonts w:ascii="Calibri"/>
                              <w:i/>
                              <w:spacing w:val="-11"/>
                              <w:w w:val="105"/>
                              <w:sz w:val="24"/>
                            </w:rPr>
                            <w:t> </w:t>
                          </w:r>
                          <w:r>
                            <w:rPr>
                              <w:rFonts w:ascii="Calibri"/>
                              <w:i/>
                              <w:spacing w:val="-2"/>
                              <w:w w:val="105"/>
                              <w:sz w:val="24"/>
                            </w:rPr>
                            <w:t>2/2026</w:t>
                          </w:r>
                        </w:p>
                      </w:txbxContent>
                    </wps:txbx>
                    <wps:bodyPr wrap="square" lIns="0" tIns="0" rIns="0" bIns="0" rtlCol="0">
                      <a:noAutofit/>
                    </wps:bodyPr>
                  </wps:wsp>
                </a:graphicData>
              </a:graphic>
            </wp:anchor>
          </w:drawing>
        </mc:Choice>
        <mc:Fallback>
          <w:pict>
            <v:shape style="position:absolute;margin-left:455.839996pt;margin-top:742.580017pt;width:85.9pt;height:14pt;mso-position-horizontal-relative:page;mso-position-vertical-relative:page;z-index:-15775232" type="#_x0000_t202" id="docshape2" filled="false" stroked="false">
              <v:textbox inset="0,0,0,0">
                <w:txbxContent>
                  <w:p>
                    <w:pPr>
                      <w:spacing w:line="264" w:lineRule="exact" w:before="0"/>
                      <w:ind w:left="20" w:right="0" w:firstLine="0"/>
                      <w:jc w:val="left"/>
                      <w:rPr>
                        <w:rFonts w:ascii="Calibri"/>
                        <w:i/>
                        <w:sz w:val="24"/>
                      </w:rPr>
                    </w:pPr>
                    <w:r>
                      <w:rPr>
                        <w:rFonts w:ascii="Calibri"/>
                        <w:i/>
                        <w:w w:val="105"/>
                        <w:sz w:val="24"/>
                      </w:rPr>
                      <w:t>Updated</w:t>
                    </w:r>
                    <w:r>
                      <w:rPr>
                        <w:rFonts w:ascii="Calibri"/>
                        <w:i/>
                        <w:spacing w:val="-11"/>
                        <w:w w:val="105"/>
                        <w:sz w:val="24"/>
                      </w:rPr>
                      <w:t> </w:t>
                    </w:r>
                    <w:r>
                      <w:rPr>
                        <w:rFonts w:ascii="Calibri"/>
                        <w:i/>
                        <w:spacing w:val="-2"/>
                        <w:w w:val="105"/>
                        <w:sz w:val="24"/>
                      </w:rPr>
                      <w:t>2/2026</w:t>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7540224">
          <wp:simplePos x="0" y="0"/>
          <wp:positionH relativeFrom="page">
            <wp:posOffset>2900045</wp:posOffset>
          </wp:positionH>
          <wp:positionV relativeFrom="page">
            <wp:posOffset>457200</wp:posOffset>
          </wp:positionV>
          <wp:extent cx="1963965" cy="548639"/>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1963965" cy="548639"/>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1350" w:hanging="360"/>
      </w:pPr>
      <w:rPr>
        <w:rFonts w:hint="default" w:ascii="Symbol" w:hAnsi="Symbol" w:eastAsia="Symbol" w:cs="Symbol"/>
        <w:b w:val="0"/>
        <w:bCs w:val="0"/>
        <w:i w:val="0"/>
        <w:iCs w:val="0"/>
        <w:spacing w:val="0"/>
        <w:w w:val="100"/>
        <w:sz w:val="20"/>
        <w:szCs w:val="20"/>
        <w:lang w:val="en-US" w:eastAsia="en-US" w:bidi="ar-SA"/>
      </w:rPr>
    </w:lvl>
    <w:lvl w:ilvl="1">
      <w:start w:val="0"/>
      <w:numFmt w:val="bullet"/>
      <w:lvlText w:val="•"/>
      <w:lvlJc w:val="left"/>
      <w:pPr>
        <w:ind w:left="2214" w:hanging="360"/>
      </w:pPr>
      <w:rPr>
        <w:rFonts w:hint="default"/>
        <w:lang w:val="en-US" w:eastAsia="en-US" w:bidi="ar-SA"/>
      </w:rPr>
    </w:lvl>
    <w:lvl w:ilvl="2">
      <w:start w:val="0"/>
      <w:numFmt w:val="bullet"/>
      <w:lvlText w:val="•"/>
      <w:lvlJc w:val="left"/>
      <w:pPr>
        <w:ind w:left="3088" w:hanging="360"/>
      </w:pPr>
      <w:rPr>
        <w:rFonts w:hint="default"/>
        <w:lang w:val="en-US" w:eastAsia="en-US" w:bidi="ar-SA"/>
      </w:rPr>
    </w:lvl>
    <w:lvl w:ilvl="3">
      <w:start w:val="0"/>
      <w:numFmt w:val="bullet"/>
      <w:lvlText w:val="•"/>
      <w:lvlJc w:val="left"/>
      <w:pPr>
        <w:ind w:left="3962" w:hanging="360"/>
      </w:pPr>
      <w:rPr>
        <w:rFonts w:hint="default"/>
        <w:lang w:val="en-US" w:eastAsia="en-US" w:bidi="ar-SA"/>
      </w:rPr>
    </w:lvl>
    <w:lvl w:ilvl="4">
      <w:start w:val="0"/>
      <w:numFmt w:val="bullet"/>
      <w:lvlText w:val="•"/>
      <w:lvlJc w:val="left"/>
      <w:pPr>
        <w:ind w:left="4836" w:hanging="360"/>
      </w:pPr>
      <w:rPr>
        <w:rFonts w:hint="default"/>
        <w:lang w:val="en-US" w:eastAsia="en-US" w:bidi="ar-SA"/>
      </w:rPr>
    </w:lvl>
    <w:lvl w:ilvl="5">
      <w:start w:val="0"/>
      <w:numFmt w:val="bullet"/>
      <w:lvlText w:val="•"/>
      <w:lvlJc w:val="left"/>
      <w:pPr>
        <w:ind w:left="5710" w:hanging="360"/>
      </w:pPr>
      <w:rPr>
        <w:rFonts w:hint="default"/>
        <w:lang w:val="en-US" w:eastAsia="en-US" w:bidi="ar-SA"/>
      </w:rPr>
    </w:lvl>
    <w:lvl w:ilvl="6">
      <w:start w:val="0"/>
      <w:numFmt w:val="bullet"/>
      <w:lvlText w:val="•"/>
      <w:lvlJc w:val="left"/>
      <w:pPr>
        <w:ind w:left="6584" w:hanging="360"/>
      </w:pPr>
      <w:rPr>
        <w:rFonts w:hint="default"/>
        <w:lang w:val="en-US" w:eastAsia="en-US" w:bidi="ar-SA"/>
      </w:rPr>
    </w:lvl>
    <w:lvl w:ilvl="7">
      <w:start w:val="0"/>
      <w:numFmt w:val="bullet"/>
      <w:lvlText w:val="•"/>
      <w:lvlJc w:val="left"/>
      <w:pPr>
        <w:ind w:left="7458" w:hanging="360"/>
      </w:pPr>
      <w:rPr>
        <w:rFonts w:hint="default"/>
        <w:lang w:val="en-US" w:eastAsia="en-US" w:bidi="ar-SA"/>
      </w:rPr>
    </w:lvl>
    <w:lvl w:ilvl="8">
      <w:start w:val="0"/>
      <w:numFmt w:val="bullet"/>
      <w:lvlText w:val="•"/>
      <w:lvlJc w:val="left"/>
      <w:pPr>
        <w:ind w:left="8332" w:hanging="360"/>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Georgia" w:hAnsi="Georgia" w:eastAsia="Georgia" w:cs="Georgia"/>
      <w:lang w:val="en-US" w:eastAsia="en-US" w:bidi="ar-SA"/>
    </w:rPr>
  </w:style>
  <w:style w:styleId="BodyText" w:type="paragraph">
    <w:name w:val="Body Text"/>
    <w:basedOn w:val="Normal"/>
    <w:uiPriority w:val="1"/>
    <w:qFormat/>
    <w:pPr/>
    <w:rPr>
      <w:rFonts w:ascii="Georgia" w:hAnsi="Georgia" w:eastAsia="Georgia" w:cs="Georgia"/>
      <w:sz w:val="24"/>
      <w:szCs w:val="24"/>
      <w:lang w:val="en-US" w:eastAsia="en-US" w:bidi="ar-SA"/>
    </w:rPr>
  </w:style>
  <w:style w:styleId="Heading1" w:type="paragraph">
    <w:name w:val="Heading 1"/>
    <w:basedOn w:val="Normal"/>
    <w:uiPriority w:val="1"/>
    <w:qFormat/>
    <w:pPr>
      <w:spacing w:before="342"/>
      <w:ind w:left="358" w:right="380"/>
      <w:outlineLvl w:val="1"/>
    </w:pPr>
    <w:rPr>
      <w:rFonts w:ascii="Georgia" w:hAnsi="Georgia" w:eastAsia="Georgia" w:cs="Georgia"/>
      <w:b/>
      <w:bCs/>
      <w:sz w:val="36"/>
      <w:szCs w:val="36"/>
      <w:lang w:val="en-US" w:eastAsia="en-US" w:bidi="ar-SA"/>
    </w:rPr>
  </w:style>
  <w:style w:styleId="Heading2" w:type="paragraph">
    <w:name w:val="Heading 2"/>
    <w:basedOn w:val="Normal"/>
    <w:uiPriority w:val="1"/>
    <w:qFormat/>
    <w:pPr>
      <w:ind w:left="360"/>
      <w:jc w:val="both"/>
      <w:outlineLvl w:val="2"/>
    </w:pPr>
    <w:rPr>
      <w:rFonts w:ascii="Georgia" w:hAnsi="Georgia" w:eastAsia="Georgia" w:cs="Georgia"/>
      <w:b/>
      <w:bCs/>
      <w:sz w:val="28"/>
      <w:szCs w:val="28"/>
      <w:lang w:val="en-US" w:eastAsia="en-US" w:bidi="ar-SA"/>
    </w:rPr>
  </w:style>
  <w:style w:styleId="ListParagraph" w:type="paragraph">
    <w:name w:val="List Paragraph"/>
    <w:basedOn w:val="Normal"/>
    <w:uiPriority w:val="1"/>
    <w:qFormat/>
    <w:pPr>
      <w:ind w:left="1350" w:right="356" w:hanging="360"/>
      <w:jc w:val="both"/>
    </w:pPr>
    <w:rPr>
      <w:rFonts w:ascii="Georgia" w:hAnsi="Georgia" w:eastAsia="Georgia" w:cs="Georgia"/>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yperlink" Target="https://www.stonybrook.edu/policy/policies.shtml?ID=211" TargetMode="External"/><Relationship Id="rId8" Type="http://schemas.openxmlformats.org/officeDocument/2006/relationships/hyperlink" Target="https://research.stonybrook.edu/how-citi-training-accessed" TargetMode="Externa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Deborah Mann Rodriguez</dc:creator>
  <dcterms:created xsi:type="dcterms:W3CDTF">2026-03-13T14:33:59Z</dcterms:created>
  <dcterms:modified xsi:type="dcterms:W3CDTF">2026-03-13T14:33:59Z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2026-02-18T00:00:00Z</vt:filetime>
  </property>
  <property fmtid="{D5CDD505-2E9C-101B-9397-08002B2CF9AE}" pid="3" name="Creator">
    <vt:lpwstr>Acrobat PDFMaker 17 for Word</vt:lpwstr>
  </property>
  <property fmtid="{D5CDD505-2E9C-101B-9397-08002B2CF9AE}" pid="4" name="LastSaved">
    <vt:filetime>2026-03-13T00:00:00Z</vt:filetime>
  </property>
  <property fmtid="{D5CDD505-2E9C-101B-9397-08002B2CF9AE}" pid="5" name="Producer">
    <vt:lpwstr>Adobe PDF Library 17.11.238</vt:lpwstr>
  </property>
  <property fmtid="{D5CDD505-2E9C-101B-9397-08002B2CF9AE}" pid="6" name="SourceModified">
    <vt:lpwstr>D:20260218181025</vt:lpwstr>
  </property>
</Properties>
</file>