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32" w:lineRule="auto" w:before="42"/>
        <w:ind w:left="440" w:right="5183" w:firstLine="0"/>
        <w:jc w:val="left"/>
        <w:rPr>
          <w:rFonts w:ascii="Calibri"/>
          <w:sz w:val="24"/>
        </w:rPr>
      </w:pPr>
      <w:r>
        <w:rPr/>
        <w:drawing>
          <wp:anchor distT="0" distB="0" distL="0" distR="0" allowOverlap="1" layoutInCell="1" locked="0" behindDoc="0" simplePos="0" relativeHeight="15729152">
            <wp:simplePos x="0" y="0"/>
            <wp:positionH relativeFrom="page">
              <wp:posOffset>4391025</wp:posOffset>
            </wp:positionH>
            <wp:positionV relativeFrom="paragraph">
              <wp:posOffset>34290</wp:posOffset>
            </wp:positionV>
            <wp:extent cx="1533512" cy="54292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533512" cy="542924"/>
                    </a:xfrm>
                    <a:prstGeom prst="rect">
                      <a:avLst/>
                    </a:prstGeom>
                  </pic:spPr>
                </pic:pic>
              </a:graphicData>
            </a:graphic>
          </wp:anchor>
        </w:drawing>
      </w:r>
      <w:r>
        <w:rPr>
          <w:rFonts w:ascii="Calibri"/>
          <w:sz w:val="24"/>
        </w:rPr>
        <w:t>ESE-350</w:t>
      </w:r>
      <w:r>
        <w:rPr>
          <w:rFonts w:ascii="Calibri"/>
          <w:spacing w:val="-14"/>
          <w:sz w:val="24"/>
        </w:rPr>
        <w:t> </w:t>
      </w:r>
      <w:r>
        <w:rPr>
          <w:rFonts w:ascii="Calibri"/>
          <w:sz w:val="24"/>
        </w:rPr>
        <w:t>Electric</w:t>
      </w:r>
      <w:r>
        <w:rPr>
          <w:rFonts w:ascii="Calibri"/>
          <w:spacing w:val="-14"/>
          <w:sz w:val="24"/>
        </w:rPr>
        <w:t> </w:t>
      </w:r>
      <w:r>
        <w:rPr>
          <w:rFonts w:ascii="Calibri"/>
          <w:sz w:val="24"/>
        </w:rPr>
        <w:t>Power</w:t>
      </w:r>
      <w:r>
        <w:rPr>
          <w:rFonts w:ascii="Calibri"/>
          <w:spacing w:val="-13"/>
          <w:sz w:val="24"/>
        </w:rPr>
        <w:t> </w:t>
      </w:r>
      <w:r>
        <w:rPr>
          <w:rFonts w:ascii="Calibri"/>
          <w:sz w:val="24"/>
        </w:rPr>
        <w:t>Systems Spring 2023</w:t>
      </w:r>
    </w:p>
    <w:p>
      <w:pPr>
        <w:pStyle w:val="Heading1"/>
        <w:spacing w:before="217"/>
        <w:ind w:left="440" w:firstLine="0"/>
      </w:pPr>
      <w:r>
        <w:rPr/>
        <mc:AlternateContent>
          <mc:Choice Requires="wps">
            <w:drawing>
              <wp:anchor distT="0" distB="0" distL="0" distR="0" allowOverlap="1" layoutInCell="1" locked="0" behindDoc="0" simplePos="0" relativeHeight="15728640">
                <wp:simplePos x="0" y="0"/>
                <wp:positionH relativeFrom="page">
                  <wp:posOffset>1388744</wp:posOffset>
                </wp:positionH>
                <wp:positionV relativeFrom="paragraph">
                  <wp:posOffset>468401</wp:posOffset>
                </wp:positionV>
                <wp:extent cx="560768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607685" cy="1270"/>
                        </a:xfrm>
                        <a:custGeom>
                          <a:avLst/>
                          <a:gdLst/>
                          <a:ahLst/>
                          <a:cxnLst/>
                          <a:rect l="l" t="t" r="r" b="b"/>
                          <a:pathLst>
                            <a:path w="5607685" h="0">
                              <a:moveTo>
                                <a:pt x="0" y="0"/>
                              </a:moveTo>
                              <a:lnTo>
                                <a:pt x="5607685"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109.349998pt,36.88203pt" to="550.899998pt,36.88203pt" stroked="true" strokeweight="2.25pt" strokecolor="#000000">
                <v:stroke dashstyle="solid"/>
                <w10:wrap type="none"/>
              </v:line>
            </w:pict>
          </mc:Fallback>
        </mc:AlternateContent>
      </w:r>
      <w:r>
        <w:rPr>
          <w:spacing w:val="-2"/>
        </w:rPr>
        <w:t>Syllabus</w:t>
      </w:r>
    </w:p>
    <w:p>
      <w:pPr>
        <w:pStyle w:val="ListParagraph"/>
        <w:numPr>
          <w:ilvl w:val="0"/>
          <w:numId w:val="1"/>
        </w:numPr>
        <w:tabs>
          <w:tab w:pos="755" w:val="left" w:leader="none"/>
        </w:tabs>
        <w:spacing w:line="240" w:lineRule="auto" w:before="282" w:after="0"/>
        <w:ind w:left="755" w:right="0" w:hanging="315"/>
        <w:jc w:val="left"/>
        <w:rPr>
          <w:sz w:val="32"/>
        </w:rPr>
      </w:pPr>
      <w:r>
        <w:rPr>
          <w:sz w:val="32"/>
        </w:rPr>
        <w:t>Course</w:t>
      </w:r>
      <w:r>
        <w:rPr>
          <w:spacing w:val="-8"/>
          <w:sz w:val="32"/>
        </w:rPr>
        <w:t> </w:t>
      </w:r>
      <w:r>
        <w:rPr>
          <w:sz w:val="32"/>
        </w:rPr>
        <w:t>Staff</w:t>
      </w:r>
      <w:r>
        <w:rPr>
          <w:spacing w:val="-8"/>
          <w:sz w:val="32"/>
        </w:rPr>
        <w:t> </w:t>
      </w:r>
      <w:r>
        <w:rPr>
          <w:sz w:val="32"/>
        </w:rPr>
        <w:t>and</w:t>
      </w:r>
      <w:r>
        <w:rPr>
          <w:spacing w:val="-9"/>
          <w:sz w:val="32"/>
        </w:rPr>
        <w:t> </w:t>
      </w:r>
      <w:r>
        <w:rPr>
          <w:sz w:val="32"/>
        </w:rPr>
        <w:t>Office</w:t>
      </w:r>
      <w:r>
        <w:rPr>
          <w:spacing w:val="-13"/>
          <w:sz w:val="32"/>
        </w:rPr>
        <w:t> </w:t>
      </w:r>
      <w:r>
        <w:rPr>
          <w:spacing w:val="-4"/>
          <w:sz w:val="32"/>
        </w:rPr>
        <w:t>Hours</w:t>
      </w:r>
    </w:p>
    <w:p>
      <w:pPr>
        <w:pStyle w:val="BodyText"/>
        <w:tabs>
          <w:tab w:pos="2599" w:val="left" w:leader="none"/>
        </w:tabs>
        <w:spacing w:before="28"/>
        <w:ind w:left="440"/>
      </w:pPr>
      <w:r>
        <w:rPr>
          <w:spacing w:val="-2"/>
        </w:rPr>
        <w:t>Instructor:</w:t>
      </w:r>
      <w:r>
        <w:rPr/>
        <w:tab/>
        <w:t>Peng</w:t>
      </w:r>
      <w:r>
        <w:rPr>
          <w:spacing w:val="-6"/>
        </w:rPr>
        <w:t> </w:t>
      </w:r>
      <w:r>
        <w:rPr>
          <w:spacing w:val="-2"/>
        </w:rPr>
        <w:t>Zhang</w:t>
      </w:r>
    </w:p>
    <w:p>
      <w:pPr>
        <w:pStyle w:val="BodyText"/>
        <w:tabs>
          <w:tab w:pos="2599" w:val="left" w:leader="none"/>
        </w:tabs>
        <w:spacing w:before="28"/>
        <w:ind w:left="439"/>
      </w:pPr>
      <w:r>
        <w:rPr/>
        <w:t>Office</w:t>
      </w:r>
      <w:r>
        <w:rPr>
          <w:spacing w:val="-9"/>
        </w:rPr>
        <w:t> </w:t>
      </w:r>
      <w:r>
        <w:rPr>
          <w:spacing w:val="-2"/>
        </w:rPr>
        <w:t>Hours:</w:t>
      </w:r>
      <w:r>
        <w:rPr/>
        <w:tab/>
        <w:t>Tuesday</w:t>
      </w:r>
      <w:r>
        <w:rPr>
          <w:spacing w:val="-9"/>
        </w:rPr>
        <w:t> </w:t>
      </w:r>
      <w:r>
        <w:rPr/>
        <w:t>1-</w:t>
      </w:r>
      <w:r>
        <w:rPr>
          <w:spacing w:val="-2"/>
        </w:rPr>
        <w:t>2:30pm</w:t>
      </w:r>
    </w:p>
    <w:p>
      <w:pPr>
        <w:pStyle w:val="BodyText"/>
        <w:spacing w:before="48"/>
      </w:pPr>
    </w:p>
    <w:p>
      <w:pPr>
        <w:pStyle w:val="BodyText"/>
        <w:tabs>
          <w:tab w:pos="2599" w:val="left" w:leader="none"/>
        </w:tabs>
        <w:ind w:left="440"/>
      </w:pPr>
      <w:r>
        <w:rPr>
          <w:spacing w:val="-5"/>
        </w:rPr>
        <w:t>TA:</w:t>
      </w:r>
      <w:r>
        <w:rPr/>
        <w:tab/>
        <w:t>Qing</w:t>
      </w:r>
      <w:r>
        <w:rPr>
          <w:spacing w:val="-4"/>
        </w:rPr>
        <w:t> </w:t>
      </w:r>
      <w:r>
        <w:rPr/>
        <w:t>Shen</w:t>
      </w:r>
      <w:r>
        <w:rPr>
          <w:spacing w:val="-1"/>
        </w:rPr>
        <w:t> </w:t>
      </w:r>
      <w:hyperlink r:id="rId7">
        <w:r>
          <w:rPr>
            <w:color w:val="0000FF"/>
            <w:spacing w:val="-2"/>
            <w:u w:val="single" w:color="0000FF"/>
          </w:rPr>
          <w:t>qing.shen@stonybrook.edu</w:t>
        </w:r>
      </w:hyperlink>
    </w:p>
    <w:p>
      <w:pPr>
        <w:pStyle w:val="BodyText"/>
        <w:spacing w:before="51"/>
      </w:pPr>
    </w:p>
    <w:p>
      <w:pPr>
        <w:spacing w:line="271" w:lineRule="auto" w:before="0"/>
        <w:ind w:left="439" w:right="235" w:firstLine="0"/>
        <w:jc w:val="left"/>
        <w:rPr>
          <w:i/>
          <w:sz w:val="22"/>
        </w:rPr>
      </w:pPr>
      <w:r>
        <w:rPr>
          <w:i/>
          <w:sz w:val="22"/>
        </w:rPr>
        <w:t>Office</w:t>
      </w:r>
      <w:r>
        <w:rPr>
          <w:i/>
          <w:spacing w:val="-3"/>
          <w:sz w:val="22"/>
        </w:rPr>
        <w:t> </w:t>
      </w:r>
      <w:r>
        <w:rPr>
          <w:i/>
          <w:sz w:val="22"/>
        </w:rPr>
        <w:t>hours</w:t>
      </w:r>
      <w:r>
        <w:rPr>
          <w:i/>
          <w:spacing w:val="-3"/>
          <w:sz w:val="22"/>
        </w:rPr>
        <w:t> </w:t>
      </w:r>
      <w:r>
        <w:rPr>
          <w:i/>
          <w:sz w:val="22"/>
        </w:rPr>
        <w:t>and</w:t>
      </w:r>
      <w:r>
        <w:rPr>
          <w:i/>
          <w:spacing w:val="-3"/>
          <w:sz w:val="22"/>
        </w:rPr>
        <w:t> </w:t>
      </w:r>
      <w:r>
        <w:rPr>
          <w:i/>
          <w:sz w:val="22"/>
        </w:rPr>
        <w:t>locations</w:t>
      </w:r>
      <w:r>
        <w:rPr>
          <w:i/>
          <w:spacing w:val="-5"/>
          <w:sz w:val="22"/>
        </w:rPr>
        <w:t> </w:t>
      </w:r>
      <w:r>
        <w:rPr>
          <w:i/>
          <w:sz w:val="22"/>
        </w:rPr>
        <w:t>may</w:t>
      </w:r>
      <w:r>
        <w:rPr>
          <w:i/>
          <w:spacing w:val="-3"/>
          <w:sz w:val="22"/>
        </w:rPr>
        <w:t> </w:t>
      </w:r>
      <w:r>
        <w:rPr>
          <w:i/>
          <w:sz w:val="22"/>
        </w:rPr>
        <w:t>change.</w:t>
      </w:r>
      <w:r>
        <w:rPr>
          <w:i/>
          <w:spacing w:val="-3"/>
          <w:sz w:val="22"/>
        </w:rPr>
        <w:t> </w:t>
      </w:r>
      <w:r>
        <w:rPr>
          <w:i/>
          <w:sz w:val="22"/>
        </w:rPr>
        <w:t>Please</w:t>
      </w:r>
      <w:r>
        <w:rPr>
          <w:i/>
          <w:spacing w:val="-5"/>
          <w:sz w:val="22"/>
        </w:rPr>
        <w:t> </w:t>
      </w:r>
      <w:r>
        <w:rPr>
          <w:i/>
          <w:sz w:val="22"/>
        </w:rPr>
        <w:t>check</w:t>
      </w:r>
      <w:r>
        <w:rPr>
          <w:i/>
          <w:spacing w:val="-6"/>
          <w:sz w:val="22"/>
        </w:rPr>
        <w:t> </w:t>
      </w:r>
      <w:r>
        <w:rPr>
          <w:i/>
          <w:sz w:val="22"/>
        </w:rPr>
        <w:t>Brightspace</w:t>
      </w:r>
      <w:r>
        <w:rPr>
          <w:i/>
          <w:spacing w:val="-5"/>
          <w:sz w:val="22"/>
        </w:rPr>
        <w:t> </w:t>
      </w:r>
      <w:r>
        <w:rPr>
          <w:i/>
          <w:sz w:val="22"/>
        </w:rPr>
        <w:t>for</w:t>
      </w:r>
      <w:r>
        <w:rPr>
          <w:i/>
          <w:spacing w:val="-3"/>
          <w:sz w:val="22"/>
        </w:rPr>
        <w:t> </w:t>
      </w:r>
      <w:r>
        <w:rPr>
          <w:i/>
          <w:sz w:val="22"/>
        </w:rPr>
        <w:t>most</w:t>
      </w:r>
      <w:r>
        <w:rPr>
          <w:i/>
          <w:spacing w:val="-2"/>
          <w:sz w:val="22"/>
        </w:rPr>
        <w:t> </w:t>
      </w:r>
      <w:r>
        <w:rPr>
          <w:i/>
          <w:sz w:val="22"/>
        </w:rPr>
        <w:t>up-to-date</w:t>
      </w:r>
      <w:r>
        <w:rPr>
          <w:i/>
          <w:sz w:val="22"/>
        </w:rPr>
        <w:t> </w:t>
      </w:r>
      <w:r>
        <w:rPr>
          <w:i/>
          <w:spacing w:val="-2"/>
          <w:sz w:val="22"/>
        </w:rPr>
        <w:t>information.</w:t>
      </w:r>
    </w:p>
    <w:p>
      <w:pPr>
        <w:pStyle w:val="BodyText"/>
        <w:spacing w:before="19"/>
        <w:rPr>
          <w:i/>
        </w:rPr>
      </w:pPr>
    </w:p>
    <w:p>
      <w:pPr>
        <w:pStyle w:val="Heading1"/>
        <w:numPr>
          <w:ilvl w:val="0"/>
          <w:numId w:val="1"/>
        </w:numPr>
        <w:tabs>
          <w:tab w:pos="755" w:val="left" w:leader="none"/>
        </w:tabs>
        <w:spacing w:line="240" w:lineRule="auto" w:before="0" w:after="0"/>
        <w:ind w:left="755" w:right="0" w:hanging="315"/>
        <w:jc w:val="left"/>
      </w:pPr>
      <w:bookmarkStart w:name="2. Course Description" w:id="1"/>
      <w:bookmarkEnd w:id="1"/>
      <w:r>
        <w:rPr/>
      </w:r>
      <w:r>
        <w:rPr/>
        <w:t>Course</w:t>
      </w:r>
      <w:r>
        <w:rPr>
          <w:spacing w:val="-14"/>
        </w:rPr>
        <w:t> </w:t>
      </w:r>
      <w:r>
        <w:rPr>
          <w:spacing w:val="-2"/>
        </w:rPr>
        <w:t>Description</w:t>
      </w:r>
    </w:p>
    <w:p>
      <w:pPr>
        <w:pStyle w:val="BodyText"/>
        <w:spacing w:before="37"/>
        <w:ind w:left="439" w:right="225"/>
        <w:jc w:val="both"/>
      </w:pPr>
      <w:r>
        <w:rPr/>
        <w:t>Fundamental engineering theory for the design and operation of a modern electric power system. Modern aspects of generation, transmission, and distribution are considered with appropriate inspection</w:t>
      </w:r>
      <w:r>
        <w:rPr>
          <w:spacing w:val="-4"/>
        </w:rPr>
        <w:t> </w:t>
      </w:r>
      <w:r>
        <w:rPr/>
        <w:t>trips</w:t>
      </w:r>
      <w:r>
        <w:rPr>
          <w:spacing w:val="-3"/>
        </w:rPr>
        <w:t> </w:t>
      </w:r>
      <w:r>
        <w:rPr/>
        <w:t>to</w:t>
      </w:r>
      <w:r>
        <w:rPr>
          <w:spacing w:val="-1"/>
        </w:rPr>
        <w:t> </w:t>
      </w:r>
      <w:r>
        <w:rPr/>
        <w:t>operating</w:t>
      </w:r>
      <w:r>
        <w:rPr>
          <w:spacing w:val="-4"/>
        </w:rPr>
        <w:t> </w:t>
      </w:r>
      <w:r>
        <w:rPr/>
        <w:t>electric</w:t>
      </w:r>
      <w:r>
        <w:rPr>
          <w:spacing w:val="-1"/>
        </w:rPr>
        <w:t> </w:t>
      </w:r>
      <w:r>
        <w:rPr/>
        <w:t>power</w:t>
      </w:r>
      <w:r>
        <w:rPr>
          <w:spacing w:val="-3"/>
        </w:rPr>
        <w:t> </w:t>
      </w:r>
      <w:r>
        <w:rPr/>
        <w:t>facilities</w:t>
      </w:r>
      <w:r>
        <w:rPr>
          <w:spacing w:val="-3"/>
        </w:rPr>
        <w:t> </w:t>
      </w:r>
      <w:r>
        <w:rPr/>
        <w:t>(when</w:t>
      </w:r>
      <w:r>
        <w:rPr>
          <w:spacing w:val="-1"/>
        </w:rPr>
        <w:t> </w:t>
      </w:r>
      <w:r>
        <w:rPr/>
        <w:t>available).</w:t>
      </w:r>
      <w:r>
        <w:rPr>
          <w:spacing w:val="-4"/>
        </w:rPr>
        <w:t> </w:t>
      </w:r>
      <w:r>
        <w:rPr/>
        <w:t>Topics</w:t>
      </w:r>
      <w:r>
        <w:rPr>
          <w:spacing w:val="-3"/>
        </w:rPr>
        <w:t> </w:t>
      </w:r>
      <w:r>
        <w:rPr/>
        <w:t>included</w:t>
      </w:r>
      <w:r>
        <w:rPr>
          <w:spacing w:val="-4"/>
        </w:rPr>
        <w:t> </w:t>
      </w:r>
      <w:r>
        <w:rPr/>
        <w:t>are:</w:t>
      </w:r>
      <w:r>
        <w:rPr>
          <w:spacing w:val="-3"/>
        </w:rPr>
        <w:t> </w:t>
      </w:r>
      <w:r>
        <w:rPr/>
        <w:t>Three Phase AC systems, phasor and function of time analysis, per unit representation, transmission</w:t>
      </w:r>
      <w:r>
        <w:rPr>
          <w:spacing w:val="40"/>
        </w:rPr>
        <w:t> </w:t>
      </w:r>
      <w:r>
        <w:rPr/>
        <w:t>line parameters, delta-wye transformers, power flow, transient stability, renewable energy integration, and basics of power system protection.</w:t>
      </w:r>
    </w:p>
    <w:p>
      <w:pPr>
        <w:pStyle w:val="BodyText"/>
        <w:spacing w:before="14"/>
      </w:pPr>
    </w:p>
    <w:p>
      <w:pPr>
        <w:spacing w:before="0"/>
        <w:ind w:left="440" w:right="0" w:firstLine="0"/>
        <w:jc w:val="both"/>
        <w:rPr>
          <w:rFonts w:ascii="Cambria"/>
          <w:sz w:val="22"/>
        </w:rPr>
      </w:pPr>
      <w:r>
        <w:rPr>
          <w:b/>
          <w:sz w:val="22"/>
        </w:rPr>
        <w:t>Prerequisites:</w:t>
      </w:r>
      <w:r>
        <w:rPr>
          <w:b/>
          <w:spacing w:val="-7"/>
          <w:sz w:val="22"/>
        </w:rPr>
        <w:t> </w:t>
      </w:r>
      <w:r>
        <w:rPr>
          <w:rFonts w:ascii="Cambria"/>
          <w:sz w:val="22"/>
        </w:rPr>
        <w:t>ESE</w:t>
      </w:r>
      <w:r>
        <w:rPr>
          <w:rFonts w:ascii="Cambria"/>
          <w:spacing w:val="-4"/>
          <w:sz w:val="22"/>
        </w:rPr>
        <w:t> </w:t>
      </w:r>
      <w:r>
        <w:rPr>
          <w:rFonts w:ascii="Cambria"/>
          <w:spacing w:val="-5"/>
          <w:sz w:val="22"/>
        </w:rPr>
        <w:t>271</w:t>
      </w:r>
    </w:p>
    <w:p>
      <w:pPr>
        <w:pStyle w:val="BodyText"/>
        <w:spacing w:before="42"/>
        <w:rPr>
          <w:rFonts w:ascii="Cambria"/>
        </w:rPr>
      </w:pPr>
    </w:p>
    <w:p>
      <w:pPr>
        <w:spacing w:before="0"/>
        <w:ind w:left="440" w:right="0" w:firstLine="0"/>
        <w:jc w:val="both"/>
        <w:rPr>
          <w:sz w:val="22"/>
        </w:rPr>
      </w:pPr>
      <w:r>
        <w:rPr>
          <w:b/>
          <w:sz w:val="22"/>
        </w:rPr>
        <w:t>Credits:</w:t>
      </w:r>
      <w:r>
        <w:rPr>
          <w:b/>
          <w:spacing w:val="47"/>
          <w:sz w:val="22"/>
        </w:rPr>
        <w:t> </w:t>
      </w:r>
      <w:r>
        <w:rPr>
          <w:spacing w:val="-10"/>
          <w:sz w:val="22"/>
        </w:rPr>
        <w:t>3</w:t>
      </w:r>
    </w:p>
    <w:p>
      <w:pPr>
        <w:pStyle w:val="BodyText"/>
        <w:spacing w:before="72"/>
      </w:pPr>
    </w:p>
    <w:p>
      <w:pPr>
        <w:pStyle w:val="Heading1"/>
        <w:numPr>
          <w:ilvl w:val="0"/>
          <w:numId w:val="1"/>
        </w:numPr>
        <w:tabs>
          <w:tab w:pos="755" w:val="left" w:leader="none"/>
        </w:tabs>
        <w:spacing w:line="240" w:lineRule="auto" w:before="0" w:after="0"/>
        <w:ind w:left="755" w:right="0" w:hanging="315"/>
        <w:jc w:val="left"/>
      </w:pPr>
      <w:bookmarkStart w:name="3. Reference" w:id="2"/>
      <w:bookmarkEnd w:id="2"/>
      <w:r>
        <w:rPr/>
      </w:r>
      <w:r>
        <w:rPr>
          <w:spacing w:val="-2"/>
        </w:rPr>
        <w:t>Reference</w:t>
      </w:r>
    </w:p>
    <w:p>
      <w:pPr>
        <w:pStyle w:val="BodyText"/>
        <w:spacing w:before="23"/>
        <w:ind w:left="440"/>
        <w:jc w:val="both"/>
      </w:pPr>
      <w:r>
        <w:rPr/>
        <w:t>Power</w:t>
      </w:r>
      <w:r>
        <w:rPr>
          <w:spacing w:val="-4"/>
        </w:rPr>
        <w:t> </w:t>
      </w:r>
      <w:r>
        <w:rPr/>
        <w:t>system</w:t>
      </w:r>
      <w:r>
        <w:rPr>
          <w:spacing w:val="-8"/>
        </w:rPr>
        <w:t> </w:t>
      </w:r>
      <w:r>
        <w:rPr/>
        <w:t>analysis,</w:t>
      </w:r>
      <w:r>
        <w:rPr>
          <w:spacing w:val="-4"/>
        </w:rPr>
        <w:t> </w:t>
      </w:r>
      <w:r>
        <w:rPr/>
        <w:t>Hadi</w:t>
      </w:r>
      <w:r>
        <w:rPr>
          <w:spacing w:val="-3"/>
        </w:rPr>
        <w:t> </w:t>
      </w:r>
      <w:r>
        <w:rPr/>
        <w:t>Saadat</w:t>
      </w:r>
      <w:r>
        <w:rPr>
          <w:spacing w:val="-6"/>
        </w:rPr>
        <w:t> </w:t>
      </w:r>
      <w:r>
        <w:rPr/>
        <w:t>3</w:t>
      </w:r>
      <w:r>
        <w:rPr>
          <w:vertAlign w:val="superscript"/>
        </w:rPr>
        <w:t>re</w:t>
      </w:r>
      <w:r>
        <w:rPr>
          <w:vertAlign w:val="baseline"/>
        </w:rPr>
        <w:t>Ed.,</w:t>
      </w:r>
      <w:r>
        <w:rPr>
          <w:spacing w:val="-4"/>
          <w:vertAlign w:val="baseline"/>
        </w:rPr>
        <w:t> 2011</w:t>
      </w:r>
    </w:p>
    <w:p>
      <w:pPr>
        <w:pStyle w:val="BodyText"/>
      </w:pPr>
    </w:p>
    <w:p>
      <w:pPr>
        <w:pStyle w:val="BodyText"/>
        <w:spacing w:before="65"/>
      </w:pPr>
    </w:p>
    <w:p>
      <w:pPr>
        <w:pStyle w:val="Heading1"/>
        <w:numPr>
          <w:ilvl w:val="0"/>
          <w:numId w:val="1"/>
        </w:numPr>
        <w:tabs>
          <w:tab w:pos="755" w:val="left" w:leader="none"/>
        </w:tabs>
        <w:spacing w:line="240" w:lineRule="auto" w:before="1" w:after="0"/>
        <w:ind w:left="755" w:right="0" w:hanging="315"/>
        <w:jc w:val="left"/>
      </w:pPr>
      <w:r>
        <w:rPr>
          <w:spacing w:val="-2"/>
        </w:rPr>
        <w:t>Schedule</w:t>
      </w:r>
    </w:p>
    <w:p>
      <w:pPr>
        <w:pStyle w:val="BodyText"/>
        <w:spacing w:before="23" w:after="3"/>
        <w:ind w:left="440"/>
        <w:jc w:val="both"/>
      </w:pPr>
      <w:r>
        <w:rPr/>
        <w:t>Lectures</w:t>
      </w:r>
      <w:r>
        <w:rPr>
          <w:spacing w:val="-3"/>
        </w:rPr>
        <w:t> </w:t>
      </w:r>
      <w:r>
        <w:rPr/>
        <w:t>will</w:t>
      </w:r>
      <w:r>
        <w:rPr>
          <w:spacing w:val="-1"/>
        </w:rPr>
        <w:t> </w:t>
      </w:r>
      <w:r>
        <w:rPr/>
        <w:t>be</w:t>
      </w:r>
      <w:r>
        <w:rPr>
          <w:spacing w:val="-2"/>
        </w:rPr>
        <w:t> </w:t>
      </w:r>
      <w:r>
        <w:rPr/>
        <w:t>held</w:t>
      </w:r>
      <w:r>
        <w:rPr>
          <w:spacing w:val="-2"/>
        </w:rPr>
        <w:t> </w:t>
      </w:r>
      <w:r>
        <w:rPr/>
        <w:t>Mon.</w:t>
      </w:r>
      <w:r>
        <w:rPr>
          <w:spacing w:val="-3"/>
        </w:rPr>
        <w:t> </w:t>
      </w:r>
      <w:r>
        <w:rPr/>
        <w:t>Fri.</w:t>
      </w:r>
      <w:r>
        <w:rPr>
          <w:spacing w:val="-2"/>
        </w:rPr>
        <w:t> </w:t>
      </w:r>
      <w:r>
        <w:rPr/>
        <w:t>1</w:t>
      </w:r>
      <w:r>
        <w:rPr>
          <w:spacing w:val="-1"/>
        </w:rPr>
        <w:t> </w:t>
      </w:r>
      <w:r>
        <w:rPr/>
        <w:t>-</w:t>
      </w:r>
      <w:r>
        <w:rPr>
          <w:spacing w:val="-4"/>
        </w:rPr>
        <w:t> </w:t>
      </w:r>
      <w:r>
        <w:rPr/>
        <w:t>2:20</w:t>
      </w:r>
      <w:r>
        <w:rPr>
          <w:spacing w:val="-1"/>
        </w:rPr>
        <w:t> </w:t>
      </w:r>
      <w:r>
        <w:rPr>
          <w:spacing w:val="-5"/>
        </w:rPr>
        <w:t>PM</w:t>
      </w:r>
    </w:p>
    <w:tbl>
      <w:tblPr>
        <w:tblW w:w="0" w:type="auto"/>
        <w:jc w:val="left"/>
        <w:tblInd w:w="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74"/>
        <w:gridCol w:w="7471"/>
      </w:tblGrid>
      <w:tr>
        <w:trPr>
          <w:trHeight w:val="894" w:hRule="atLeast"/>
        </w:trPr>
        <w:tc>
          <w:tcPr>
            <w:tcW w:w="1274" w:type="dxa"/>
          </w:tcPr>
          <w:p>
            <w:pPr>
              <w:pStyle w:val="TableParagraph"/>
              <w:rPr>
                <w:sz w:val="20"/>
              </w:rPr>
            </w:pPr>
            <w:r>
              <w:rPr>
                <w:sz w:val="20"/>
              </w:rPr>
              <w:t>Week</w:t>
            </w:r>
            <w:r>
              <w:rPr>
                <w:spacing w:val="-5"/>
                <w:sz w:val="20"/>
              </w:rPr>
              <w:t> 1.</w:t>
            </w:r>
          </w:p>
        </w:tc>
        <w:tc>
          <w:tcPr>
            <w:tcW w:w="7471" w:type="dxa"/>
          </w:tcPr>
          <w:p>
            <w:pPr>
              <w:pStyle w:val="TableParagraph"/>
              <w:spacing w:line="235" w:lineRule="auto" w:before="83"/>
              <w:ind w:left="103"/>
              <w:rPr>
                <w:sz w:val="20"/>
              </w:rPr>
            </w:pPr>
            <w:r>
              <w:rPr>
                <w:sz w:val="20"/>
              </w:rPr>
              <w:t>Overview:</w:t>
            </w:r>
            <w:r>
              <w:rPr>
                <w:spacing w:val="-5"/>
                <w:sz w:val="20"/>
              </w:rPr>
              <w:t> </w:t>
            </w:r>
            <w:r>
              <w:rPr>
                <w:sz w:val="20"/>
              </w:rPr>
              <w:t>Generation,</w:t>
            </w:r>
            <w:r>
              <w:rPr>
                <w:spacing w:val="-4"/>
                <w:sz w:val="20"/>
              </w:rPr>
              <w:t> </w:t>
            </w:r>
            <w:r>
              <w:rPr>
                <w:sz w:val="20"/>
              </w:rPr>
              <w:t>Transmission</w:t>
            </w:r>
            <w:r>
              <w:rPr>
                <w:spacing w:val="-6"/>
                <w:sz w:val="20"/>
              </w:rPr>
              <w:t> </w:t>
            </w:r>
            <w:r>
              <w:rPr>
                <w:sz w:val="20"/>
              </w:rPr>
              <w:t>Distribution</w:t>
            </w:r>
            <w:r>
              <w:rPr>
                <w:spacing w:val="-6"/>
                <w:sz w:val="20"/>
              </w:rPr>
              <w:t> </w:t>
            </w:r>
            <w:r>
              <w:rPr>
                <w:sz w:val="20"/>
              </w:rPr>
              <w:t>and</w:t>
            </w:r>
            <w:r>
              <w:rPr>
                <w:spacing w:val="-4"/>
                <w:sz w:val="20"/>
              </w:rPr>
              <w:t> </w:t>
            </w:r>
            <w:r>
              <w:rPr>
                <w:sz w:val="20"/>
              </w:rPr>
              <w:t>Utilization</w:t>
            </w:r>
            <w:r>
              <w:rPr>
                <w:spacing w:val="-6"/>
                <w:sz w:val="20"/>
              </w:rPr>
              <w:t> </w:t>
            </w:r>
            <w:r>
              <w:rPr>
                <w:sz w:val="20"/>
              </w:rPr>
              <w:t>of</w:t>
            </w:r>
            <w:r>
              <w:rPr>
                <w:spacing w:val="-7"/>
                <w:sz w:val="20"/>
              </w:rPr>
              <w:t> </w:t>
            </w:r>
            <w:r>
              <w:rPr>
                <w:sz w:val="20"/>
              </w:rPr>
              <w:t>electric</w:t>
            </w:r>
            <w:r>
              <w:rPr>
                <w:spacing w:val="-5"/>
                <w:sz w:val="20"/>
              </w:rPr>
              <w:t> </w:t>
            </w:r>
            <w:r>
              <w:rPr>
                <w:sz w:val="20"/>
              </w:rPr>
              <w:t>power.. Historical perspective of electric power systems development.</w:t>
            </w:r>
          </w:p>
          <w:p>
            <w:pPr>
              <w:pStyle w:val="TableParagraph"/>
              <w:spacing w:before="11"/>
              <w:ind w:left="103"/>
              <w:rPr>
                <w:sz w:val="20"/>
              </w:rPr>
            </w:pPr>
            <w:r>
              <w:rPr>
                <w:sz w:val="20"/>
              </w:rPr>
              <w:t>Single</w:t>
            </w:r>
            <w:r>
              <w:rPr>
                <w:spacing w:val="-6"/>
                <w:sz w:val="20"/>
              </w:rPr>
              <w:t> </w:t>
            </w:r>
            <w:r>
              <w:rPr>
                <w:sz w:val="20"/>
              </w:rPr>
              <w:t>phase</w:t>
            </w:r>
            <w:r>
              <w:rPr>
                <w:spacing w:val="-6"/>
                <w:sz w:val="20"/>
              </w:rPr>
              <w:t> </w:t>
            </w:r>
            <w:r>
              <w:rPr>
                <w:sz w:val="20"/>
              </w:rPr>
              <w:t>function</w:t>
            </w:r>
            <w:r>
              <w:rPr>
                <w:spacing w:val="-6"/>
                <w:sz w:val="20"/>
              </w:rPr>
              <w:t> </w:t>
            </w:r>
            <w:r>
              <w:rPr>
                <w:sz w:val="20"/>
              </w:rPr>
              <w:t>of</w:t>
            </w:r>
            <w:r>
              <w:rPr>
                <w:spacing w:val="-8"/>
                <w:sz w:val="20"/>
              </w:rPr>
              <w:t> </w:t>
            </w:r>
            <w:r>
              <w:rPr>
                <w:sz w:val="20"/>
              </w:rPr>
              <w:t>time</w:t>
            </w:r>
            <w:r>
              <w:rPr>
                <w:spacing w:val="-3"/>
                <w:sz w:val="20"/>
              </w:rPr>
              <w:t> </w:t>
            </w:r>
            <w:r>
              <w:rPr>
                <w:sz w:val="20"/>
              </w:rPr>
              <w:t>and</w:t>
            </w:r>
            <w:r>
              <w:rPr>
                <w:spacing w:val="-5"/>
                <w:sz w:val="20"/>
              </w:rPr>
              <w:t> </w:t>
            </w:r>
            <w:r>
              <w:rPr>
                <w:sz w:val="20"/>
              </w:rPr>
              <w:t>phasor</w:t>
            </w:r>
            <w:r>
              <w:rPr>
                <w:spacing w:val="-4"/>
                <w:sz w:val="20"/>
              </w:rPr>
              <w:t> </w:t>
            </w:r>
            <w:r>
              <w:rPr>
                <w:sz w:val="20"/>
              </w:rPr>
              <w:t>analysis,</w:t>
            </w:r>
            <w:r>
              <w:rPr>
                <w:spacing w:val="-5"/>
                <w:sz w:val="20"/>
              </w:rPr>
              <w:t> </w:t>
            </w:r>
            <w:r>
              <w:rPr>
                <w:sz w:val="20"/>
              </w:rPr>
              <w:t>power</w:t>
            </w:r>
            <w:r>
              <w:rPr>
                <w:spacing w:val="-5"/>
                <w:sz w:val="20"/>
              </w:rPr>
              <w:t> </w:t>
            </w:r>
            <w:r>
              <w:rPr>
                <w:sz w:val="20"/>
              </w:rPr>
              <w:t>factor</w:t>
            </w:r>
            <w:r>
              <w:rPr>
                <w:spacing w:val="-5"/>
                <w:sz w:val="20"/>
              </w:rPr>
              <w:t> </w:t>
            </w:r>
            <w:r>
              <w:rPr>
                <w:spacing w:val="-2"/>
                <w:sz w:val="20"/>
              </w:rPr>
              <w:t>correction.</w:t>
            </w:r>
          </w:p>
        </w:tc>
      </w:tr>
      <w:tr>
        <w:trPr>
          <w:trHeight w:val="654" w:hRule="atLeast"/>
        </w:trPr>
        <w:tc>
          <w:tcPr>
            <w:tcW w:w="1274" w:type="dxa"/>
          </w:tcPr>
          <w:p>
            <w:pPr>
              <w:pStyle w:val="TableParagraph"/>
              <w:rPr>
                <w:sz w:val="20"/>
              </w:rPr>
            </w:pPr>
            <w:r>
              <w:rPr>
                <w:sz w:val="20"/>
              </w:rPr>
              <w:t>Week</w:t>
            </w:r>
            <w:r>
              <w:rPr>
                <w:spacing w:val="-5"/>
                <w:sz w:val="20"/>
              </w:rPr>
              <w:t> 2.</w:t>
            </w:r>
          </w:p>
        </w:tc>
        <w:tc>
          <w:tcPr>
            <w:tcW w:w="7471" w:type="dxa"/>
          </w:tcPr>
          <w:p>
            <w:pPr>
              <w:pStyle w:val="TableParagraph"/>
              <w:spacing w:line="235" w:lineRule="auto" w:before="83"/>
              <w:ind w:right="734"/>
              <w:rPr>
                <w:sz w:val="20"/>
              </w:rPr>
            </w:pPr>
            <w:r>
              <w:rPr>
                <w:sz w:val="20"/>
              </w:rPr>
              <w:t>Balanced</w:t>
            </w:r>
            <w:r>
              <w:rPr>
                <w:spacing w:val="-4"/>
                <w:sz w:val="20"/>
              </w:rPr>
              <w:t> </w:t>
            </w:r>
            <w:r>
              <w:rPr>
                <w:sz w:val="20"/>
              </w:rPr>
              <w:t>three</w:t>
            </w:r>
            <w:r>
              <w:rPr>
                <w:spacing w:val="-5"/>
                <w:sz w:val="20"/>
              </w:rPr>
              <w:t> </w:t>
            </w:r>
            <w:r>
              <w:rPr>
                <w:sz w:val="20"/>
              </w:rPr>
              <w:t>phase</w:t>
            </w:r>
            <w:r>
              <w:rPr>
                <w:spacing w:val="-5"/>
                <w:sz w:val="20"/>
              </w:rPr>
              <w:t> </w:t>
            </w:r>
            <w:r>
              <w:rPr>
                <w:sz w:val="20"/>
              </w:rPr>
              <w:t>system</w:t>
            </w:r>
            <w:r>
              <w:rPr>
                <w:spacing w:val="-9"/>
                <w:sz w:val="20"/>
              </w:rPr>
              <w:t> </w:t>
            </w:r>
            <w:r>
              <w:rPr>
                <w:sz w:val="20"/>
              </w:rPr>
              <w:t>analysis,</w:t>
            </w:r>
            <w:r>
              <w:rPr>
                <w:spacing w:val="-4"/>
                <w:sz w:val="20"/>
              </w:rPr>
              <w:t> </w:t>
            </w:r>
            <w:r>
              <w:rPr>
                <w:sz w:val="20"/>
              </w:rPr>
              <w:t>phase</w:t>
            </w:r>
            <w:r>
              <w:rPr>
                <w:spacing w:val="-5"/>
                <w:sz w:val="20"/>
              </w:rPr>
              <w:t> </w:t>
            </w:r>
            <w:r>
              <w:rPr>
                <w:sz w:val="20"/>
              </w:rPr>
              <w:t>and</w:t>
            </w:r>
            <w:r>
              <w:rPr>
                <w:spacing w:val="-4"/>
                <w:sz w:val="20"/>
              </w:rPr>
              <w:t> </w:t>
            </w:r>
            <w:r>
              <w:rPr>
                <w:sz w:val="20"/>
              </w:rPr>
              <w:t>line-to-line</w:t>
            </w:r>
            <w:r>
              <w:rPr>
                <w:spacing w:val="-2"/>
                <w:sz w:val="20"/>
              </w:rPr>
              <w:t> </w:t>
            </w:r>
            <w:r>
              <w:rPr>
                <w:sz w:val="20"/>
              </w:rPr>
              <w:t>voltage,</w:t>
            </w:r>
            <w:r>
              <w:rPr>
                <w:spacing w:val="-4"/>
                <w:sz w:val="20"/>
              </w:rPr>
              <w:t> </w:t>
            </w:r>
            <w:r>
              <w:rPr>
                <w:sz w:val="20"/>
              </w:rPr>
              <w:t>current,</w:t>
            </w:r>
            <w:r>
              <w:rPr>
                <w:spacing w:val="-4"/>
                <w:sz w:val="20"/>
              </w:rPr>
              <w:t> </w:t>
            </w:r>
            <w:r>
              <w:rPr>
                <w:sz w:val="20"/>
              </w:rPr>
              <w:t>and complex power, delta-wye conversion</w:t>
            </w:r>
          </w:p>
        </w:tc>
      </w:tr>
      <w:tr>
        <w:trPr>
          <w:trHeight w:val="671" w:hRule="atLeast"/>
        </w:trPr>
        <w:tc>
          <w:tcPr>
            <w:tcW w:w="1274" w:type="dxa"/>
          </w:tcPr>
          <w:p>
            <w:pPr>
              <w:pStyle w:val="TableParagraph"/>
              <w:spacing w:before="93"/>
              <w:rPr>
                <w:sz w:val="20"/>
              </w:rPr>
            </w:pPr>
            <w:r>
              <w:rPr>
                <w:sz w:val="20"/>
              </w:rPr>
              <w:t>Week</w:t>
            </w:r>
            <w:r>
              <w:rPr>
                <w:spacing w:val="-5"/>
                <w:sz w:val="20"/>
              </w:rPr>
              <w:t> 3.</w:t>
            </w:r>
          </w:p>
        </w:tc>
        <w:tc>
          <w:tcPr>
            <w:tcW w:w="7471" w:type="dxa"/>
          </w:tcPr>
          <w:p>
            <w:pPr>
              <w:pStyle w:val="TableParagraph"/>
              <w:spacing w:line="235" w:lineRule="auto" w:before="97"/>
              <w:ind w:right="734"/>
              <w:rPr>
                <w:sz w:val="20"/>
              </w:rPr>
            </w:pPr>
            <w:r>
              <w:rPr>
                <w:sz w:val="20"/>
              </w:rPr>
              <w:t>Power</w:t>
            </w:r>
            <w:r>
              <w:rPr>
                <w:spacing w:val="-5"/>
                <w:sz w:val="20"/>
              </w:rPr>
              <w:t> </w:t>
            </w:r>
            <w:r>
              <w:rPr>
                <w:sz w:val="20"/>
              </w:rPr>
              <w:t>system</w:t>
            </w:r>
            <w:r>
              <w:rPr>
                <w:spacing w:val="-7"/>
                <w:sz w:val="20"/>
              </w:rPr>
              <w:t> </w:t>
            </w:r>
            <w:r>
              <w:rPr>
                <w:sz w:val="20"/>
              </w:rPr>
              <w:t>representation:</w:t>
            </w:r>
            <w:r>
              <w:rPr>
                <w:spacing w:val="-5"/>
                <w:sz w:val="20"/>
              </w:rPr>
              <w:t> </w:t>
            </w:r>
            <w:r>
              <w:rPr>
                <w:sz w:val="20"/>
              </w:rPr>
              <w:t>system</w:t>
            </w:r>
            <w:r>
              <w:rPr>
                <w:spacing w:val="-7"/>
                <w:sz w:val="20"/>
              </w:rPr>
              <w:t> </w:t>
            </w:r>
            <w:r>
              <w:rPr>
                <w:sz w:val="20"/>
              </w:rPr>
              <w:t>modeling,</w:t>
            </w:r>
            <w:r>
              <w:rPr>
                <w:spacing w:val="-5"/>
                <w:sz w:val="20"/>
              </w:rPr>
              <w:t> </w:t>
            </w:r>
            <w:r>
              <w:rPr>
                <w:sz w:val="20"/>
              </w:rPr>
              <w:t>per-phase</w:t>
            </w:r>
            <w:r>
              <w:rPr>
                <w:spacing w:val="-6"/>
                <w:sz w:val="20"/>
              </w:rPr>
              <w:t> </w:t>
            </w:r>
            <w:r>
              <w:rPr>
                <w:sz w:val="20"/>
              </w:rPr>
              <w:t>analysis,</w:t>
            </w:r>
            <w:r>
              <w:rPr>
                <w:spacing w:val="-5"/>
                <w:sz w:val="20"/>
              </w:rPr>
              <w:t> </w:t>
            </w:r>
            <w:r>
              <w:rPr>
                <w:sz w:val="20"/>
              </w:rPr>
              <w:t>per-unit representation, one-line diagram.</w:t>
            </w:r>
          </w:p>
        </w:tc>
      </w:tr>
      <w:tr>
        <w:trPr>
          <w:trHeight w:val="668" w:hRule="atLeast"/>
        </w:trPr>
        <w:tc>
          <w:tcPr>
            <w:tcW w:w="1274" w:type="dxa"/>
          </w:tcPr>
          <w:p>
            <w:pPr>
              <w:pStyle w:val="TableParagraph"/>
              <w:rPr>
                <w:sz w:val="20"/>
              </w:rPr>
            </w:pPr>
            <w:r>
              <w:rPr>
                <w:sz w:val="20"/>
              </w:rPr>
              <w:t>Week</w:t>
            </w:r>
            <w:r>
              <w:rPr>
                <w:spacing w:val="-5"/>
                <w:sz w:val="20"/>
              </w:rPr>
              <w:t> 4.</w:t>
            </w:r>
          </w:p>
        </w:tc>
        <w:tc>
          <w:tcPr>
            <w:tcW w:w="7471" w:type="dxa"/>
          </w:tcPr>
          <w:p>
            <w:pPr>
              <w:pStyle w:val="TableParagraph"/>
              <w:spacing w:line="249" w:lineRule="auto"/>
              <w:ind w:right="734"/>
              <w:rPr>
                <w:sz w:val="20"/>
              </w:rPr>
            </w:pPr>
            <w:r>
              <w:rPr>
                <w:sz w:val="20"/>
              </w:rPr>
              <w:t>Three</w:t>
            </w:r>
            <w:r>
              <w:rPr>
                <w:spacing w:val="-7"/>
                <w:sz w:val="20"/>
              </w:rPr>
              <w:t> </w:t>
            </w:r>
            <w:r>
              <w:rPr>
                <w:sz w:val="20"/>
              </w:rPr>
              <w:t>Phase</w:t>
            </w:r>
            <w:r>
              <w:rPr>
                <w:spacing w:val="-6"/>
                <w:sz w:val="20"/>
              </w:rPr>
              <w:t> </w:t>
            </w:r>
            <w:r>
              <w:rPr>
                <w:sz w:val="20"/>
              </w:rPr>
              <w:t>Power</w:t>
            </w:r>
            <w:r>
              <w:rPr>
                <w:spacing w:val="-5"/>
                <w:sz w:val="20"/>
              </w:rPr>
              <w:t> </w:t>
            </w:r>
            <w:r>
              <w:rPr>
                <w:sz w:val="20"/>
              </w:rPr>
              <w:t>Transformers:</w:t>
            </w:r>
            <w:r>
              <w:rPr>
                <w:spacing w:val="-6"/>
                <w:sz w:val="20"/>
              </w:rPr>
              <w:t> </w:t>
            </w:r>
            <w:r>
              <w:rPr>
                <w:sz w:val="20"/>
              </w:rPr>
              <w:t>equivalent</w:t>
            </w:r>
            <w:r>
              <w:rPr>
                <w:spacing w:val="-6"/>
                <w:sz w:val="20"/>
              </w:rPr>
              <w:t> </w:t>
            </w:r>
            <w:r>
              <w:rPr>
                <w:sz w:val="20"/>
              </w:rPr>
              <w:t>circuit,</w:t>
            </w:r>
            <w:r>
              <w:rPr>
                <w:spacing w:val="-5"/>
                <w:sz w:val="20"/>
              </w:rPr>
              <w:t> </w:t>
            </w:r>
            <w:r>
              <w:rPr>
                <w:sz w:val="20"/>
              </w:rPr>
              <w:t>impedance,</w:t>
            </w:r>
            <w:r>
              <w:rPr>
                <w:spacing w:val="-5"/>
                <w:sz w:val="20"/>
              </w:rPr>
              <w:t> </w:t>
            </w:r>
            <w:r>
              <w:rPr>
                <w:sz w:val="20"/>
              </w:rPr>
              <w:t>per-unit</w:t>
            </w:r>
            <w:r>
              <w:rPr>
                <w:spacing w:val="-6"/>
                <w:sz w:val="20"/>
              </w:rPr>
              <w:t> </w:t>
            </w:r>
            <w:r>
              <w:rPr>
                <w:sz w:val="20"/>
              </w:rPr>
              <w:t>analysis, delta-wye phase shift.</w:t>
            </w:r>
          </w:p>
        </w:tc>
      </w:tr>
    </w:tbl>
    <w:p>
      <w:pPr>
        <w:spacing w:after="0" w:line="249" w:lineRule="auto"/>
        <w:rPr>
          <w:sz w:val="20"/>
        </w:rPr>
        <w:sectPr>
          <w:footerReference w:type="default" r:id="rId5"/>
          <w:type w:val="continuous"/>
          <w:pgSz w:w="12240" w:h="15840"/>
          <w:pgMar w:header="0" w:footer="1041" w:top="1440" w:bottom="1555" w:left="1720" w:right="1260"/>
          <w:pgNumType w:start="1"/>
        </w:sectPr>
      </w:pPr>
    </w:p>
    <w:tbl>
      <w:tblPr>
        <w:tblW w:w="0" w:type="auto"/>
        <w:jc w:val="left"/>
        <w:tblInd w:w="3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274"/>
        <w:gridCol w:w="7471"/>
      </w:tblGrid>
      <w:tr>
        <w:trPr>
          <w:trHeight w:val="894" w:hRule="atLeast"/>
        </w:trPr>
        <w:tc>
          <w:tcPr>
            <w:tcW w:w="1274" w:type="dxa"/>
          </w:tcPr>
          <w:p>
            <w:pPr>
              <w:pStyle w:val="TableParagraph"/>
              <w:spacing w:before="87"/>
              <w:rPr>
                <w:sz w:val="24"/>
              </w:rPr>
            </w:pPr>
            <w:r>
              <w:rPr>
                <w:sz w:val="24"/>
              </w:rPr>
              <w:t>Week</w:t>
            </w:r>
            <w:r>
              <w:rPr>
                <w:spacing w:val="-1"/>
                <w:sz w:val="24"/>
              </w:rPr>
              <w:t> </w:t>
            </w:r>
            <w:r>
              <w:rPr>
                <w:spacing w:val="-5"/>
                <w:sz w:val="24"/>
              </w:rPr>
              <w:t>5.</w:t>
            </w:r>
          </w:p>
        </w:tc>
        <w:tc>
          <w:tcPr>
            <w:tcW w:w="7471" w:type="dxa"/>
          </w:tcPr>
          <w:p>
            <w:pPr>
              <w:pStyle w:val="TableParagraph"/>
              <w:spacing w:line="242" w:lineRule="auto"/>
              <w:ind w:left="103"/>
              <w:rPr>
                <w:sz w:val="20"/>
              </w:rPr>
            </w:pPr>
            <w:r>
              <w:rPr>
                <w:sz w:val="20"/>
              </w:rPr>
              <w:t>Transmission</w:t>
            </w:r>
            <w:r>
              <w:rPr>
                <w:spacing w:val="-7"/>
                <w:sz w:val="20"/>
              </w:rPr>
              <w:t> </w:t>
            </w:r>
            <w:r>
              <w:rPr>
                <w:sz w:val="20"/>
              </w:rPr>
              <w:t>lines;</w:t>
            </w:r>
            <w:r>
              <w:rPr>
                <w:spacing w:val="-4"/>
                <w:sz w:val="20"/>
              </w:rPr>
              <w:t> </w:t>
            </w:r>
            <w:r>
              <w:rPr>
                <w:sz w:val="20"/>
              </w:rPr>
              <w:t>need;</w:t>
            </w:r>
            <w:r>
              <w:rPr>
                <w:spacing w:val="-6"/>
                <w:sz w:val="20"/>
              </w:rPr>
              <w:t> </w:t>
            </w:r>
            <w:r>
              <w:rPr>
                <w:sz w:val="20"/>
              </w:rPr>
              <w:t>overhead</w:t>
            </w:r>
            <w:r>
              <w:rPr>
                <w:spacing w:val="-5"/>
                <w:sz w:val="20"/>
              </w:rPr>
              <w:t> </w:t>
            </w:r>
            <w:r>
              <w:rPr>
                <w:sz w:val="20"/>
              </w:rPr>
              <w:t>lines,</w:t>
            </w:r>
            <w:r>
              <w:rPr>
                <w:spacing w:val="-5"/>
                <w:sz w:val="20"/>
              </w:rPr>
              <w:t> </w:t>
            </w:r>
            <w:r>
              <w:rPr>
                <w:sz w:val="20"/>
              </w:rPr>
              <w:t>bundling,</w:t>
            </w:r>
            <w:r>
              <w:rPr>
                <w:spacing w:val="-5"/>
                <w:sz w:val="20"/>
              </w:rPr>
              <w:t> </w:t>
            </w:r>
            <w:r>
              <w:rPr>
                <w:sz w:val="20"/>
              </w:rPr>
              <w:t>transposition;</w:t>
            </w:r>
            <w:r>
              <w:rPr>
                <w:spacing w:val="-6"/>
                <w:sz w:val="20"/>
              </w:rPr>
              <w:t> </w:t>
            </w:r>
            <w:r>
              <w:rPr>
                <w:sz w:val="20"/>
              </w:rPr>
              <w:t>distributed</w:t>
            </w:r>
            <w:r>
              <w:rPr>
                <w:spacing w:val="-5"/>
                <w:sz w:val="20"/>
              </w:rPr>
              <w:t> </w:t>
            </w:r>
            <w:r>
              <w:rPr>
                <w:sz w:val="20"/>
              </w:rPr>
              <w:t>parameter representation, lumped transmission line models.</w:t>
            </w:r>
          </w:p>
        </w:tc>
      </w:tr>
      <w:tr>
        <w:trPr>
          <w:trHeight w:val="431" w:hRule="atLeast"/>
        </w:trPr>
        <w:tc>
          <w:tcPr>
            <w:tcW w:w="1274" w:type="dxa"/>
          </w:tcPr>
          <w:p>
            <w:pPr>
              <w:pStyle w:val="TableParagraph"/>
              <w:spacing w:before="81"/>
              <w:rPr>
                <w:sz w:val="20"/>
              </w:rPr>
            </w:pPr>
            <w:r>
              <w:rPr>
                <w:sz w:val="20"/>
              </w:rPr>
              <w:t>Week</w:t>
            </w:r>
            <w:r>
              <w:rPr>
                <w:spacing w:val="-5"/>
                <w:sz w:val="20"/>
              </w:rPr>
              <w:t> 6.</w:t>
            </w:r>
          </w:p>
        </w:tc>
        <w:tc>
          <w:tcPr>
            <w:tcW w:w="7471" w:type="dxa"/>
          </w:tcPr>
          <w:p>
            <w:pPr>
              <w:pStyle w:val="TableParagraph"/>
              <w:spacing w:before="81"/>
              <w:ind w:left="103"/>
              <w:rPr>
                <w:sz w:val="20"/>
              </w:rPr>
            </w:pPr>
            <w:r>
              <w:rPr>
                <w:sz w:val="20"/>
              </w:rPr>
              <w:t>Generator</w:t>
            </w:r>
            <w:r>
              <w:rPr>
                <w:spacing w:val="-3"/>
                <w:sz w:val="20"/>
              </w:rPr>
              <w:t> </w:t>
            </w:r>
            <w:r>
              <w:rPr>
                <w:sz w:val="20"/>
              </w:rPr>
              <w:t>modeling</w:t>
            </w:r>
            <w:r>
              <w:rPr>
                <w:spacing w:val="-7"/>
                <w:sz w:val="20"/>
              </w:rPr>
              <w:t> </w:t>
            </w:r>
            <w:r>
              <w:rPr>
                <w:sz w:val="20"/>
              </w:rPr>
              <w:t>(steady</w:t>
            </w:r>
            <w:r>
              <w:rPr>
                <w:spacing w:val="-7"/>
                <w:sz w:val="20"/>
              </w:rPr>
              <w:t> </w:t>
            </w:r>
            <w:r>
              <w:rPr>
                <w:sz w:val="20"/>
              </w:rPr>
              <w:t>state).</w:t>
            </w:r>
            <w:r>
              <w:rPr>
                <w:spacing w:val="-4"/>
                <w:sz w:val="20"/>
              </w:rPr>
              <w:t> </w:t>
            </w:r>
            <w:r>
              <w:rPr>
                <w:sz w:val="20"/>
              </w:rPr>
              <w:t>Review:</w:t>
            </w:r>
            <w:r>
              <w:rPr>
                <w:spacing w:val="-6"/>
                <w:sz w:val="20"/>
              </w:rPr>
              <w:t> </w:t>
            </w:r>
            <w:r>
              <w:rPr>
                <w:sz w:val="20"/>
              </w:rPr>
              <w:t>Week</w:t>
            </w:r>
            <w:r>
              <w:rPr>
                <w:spacing w:val="-7"/>
                <w:sz w:val="20"/>
              </w:rPr>
              <w:t> </w:t>
            </w:r>
            <w:r>
              <w:rPr>
                <w:sz w:val="20"/>
              </w:rPr>
              <w:t>1</w:t>
            </w:r>
            <w:r>
              <w:rPr>
                <w:spacing w:val="-4"/>
                <w:sz w:val="20"/>
              </w:rPr>
              <w:t> </w:t>
            </w:r>
            <w:r>
              <w:rPr>
                <w:sz w:val="20"/>
              </w:rPr>
              <w:t>–</w:t>
            </w:r>
            <w:r>
              <w:rPr>
                <w:spacing w:val="-5"/>
                <w:sz w:val="20"/>
              </w:rPr>
              <w:t> </w:t>
            </w:r>
            <w:r>
              <w:rPr>
                <w:sz w:val="20"/>
              </w:rPr>
              <w:t>Week</w:t>
            </w:r>
            <w:r>
              <w:rPr>
                <w:spacing w:val="-7"/>
                <w:sz w:val="20"/>
              </w:rPr>
              <w:t> </w:t>
            </w:r>
            <w:r>
              <w:rPr>
                <w:spacing w:val="-10"/>
                <w:sz w:val="20"/>
              </w:rPr>
              <w:t>5</w:t>
            </w:r>
          </w:p>
        </w:tc>
      </w:tr>
      <w:tr>
        <w:trPr>
          <w:trHeight w:val="700" w:hRule="atLeast"/>
        </w:trPr>
        <w:tc>
          <w:tcPr>
            <w:tcW w:w="1274" w:type="dxa"/>
          </w:tcPr>
          <w:p>
            <w:pPr>
              <w:pStyle w:val="TableParagraph"/>
              <w:rPr>
                <w:sz w:val="20"/>
              </w:rPr>
            </w:pPr>
            <w:r>
              <w:rPr>
                <w:sz w:val="20"/>
              </w:rPr>
              <w:t>Week</w:t>
            </w:r>
            <w:r>
              <w:rPr>
                <w:spacing w:val="-5"/>
                <w:sz w:val="20"/>
              </w:rPr>
              <w:t> 7.</w:t>
            </w:r>
          </w:p>
        </w:tc>
        <w:tc>
          <w:tcPr>
            <w:tcW w:w="7471" w:type="dxa"/>
          </w:tcPr>
          <w:p>
            <w:pPr>
              <w:pStyle w:val="TableParagraph"/>
              <w:ind w:left="103"/>
              <w:rPr>
                <w:sz w:val="20"/>
              </w:rPr>
            </w:pPr>
            <w:r>
              <w:rPr>
                <w:sz w:val="20"/>
              </w:rPr>
              <w:t>Midterm</w:t>
            </w:r>
            <w:r>
              <w:rPr>
                <w:spacing w:val="-9"/>
                <w:sz w:val="20"/>
              </w:rPr>
              <w:t> </w:t>
            </w:r>
            <w:r>
              <w:rPr>
                <w:spacing w:val="-2"/>
                <w:sz w:val="20"/>
              </w:rPr>
              <w:t>Exam.</w:t>
            </w:r>
          </w:p>
        </w:tc>
      </w:tr>
      <w:tr>
        <w:trPr>
          <w:trHeight w:val="654" w:hRule="atLeast"/>
        </w:trPr>
        <w:tc>
          <w:tcPr>
            <w:tcW w:w="1274" w:type="dxa"/>
          </w:tcPr>
          <w:p>
            <w:pPr>
              <w:pStyle w:val="TableParagraph"/>
              <w:rPr>
                <w:sz w:val="20"/>
              </w:rPr>
            </w:pPr>
            <w:r>
              <w:rPr>
                <w:sz w:val="20"/>
              </w:rPr>
              <w:t>Week</w:t>
            </w:r>
            <w:r>
              <w:rPr>
                <w:spacing w:val="-5"/>
                <w:sz w:val="20"/>
              </w:rPr>
              <w:t> 8.</w:t>
            </w:r>
          </w:p>
        </w:tc>
        <w:tc>
          <w:tcPr>
            <w:tcW w:w="7471" w:type="dxa"/>
          </w:tcPr>
          <w:p>
            <w:pPr>
              <w:pStyle w:val="TableParagraph"/>
              <w:spacing w:line="235" w:lineRule="auto" w:before="83"/>
              <w:ind w:left="153" w:right="3713" w:hanging="51"/>
              <w:rPr>
                <w:sz w:val="20"/>
              </w:rPr>
            </w:pPr>
            <w:r>
              <w:rPr>
                <w:sz w:val="20"/>
              </w:rPr>
              <w:t>Review</w:t>
            </w:r>
            <w:r>
              <w:rPr>
                <w:spacing w:val="-13"/>
                <w:sz w:val="20"/>
              </w:rPr>
              <w:t> </w:t>
            </w:r>
            <w:r>
              <w:rPr>
                <w:sz w:val="20"/>
              </w:rPr>
              <w:t>and</w:t>
            </w:r>
            <w:r>
              <w:rPr>
                <w:spacing w:val="-7"/>
                <w:sz w:val="20"/>
              </w:rPr>
              <w:t> </w:t>
            </w:r>
            <w:r>
              <w:rPr>
                <w:sz w:val="20"/>
              </w:rPr>
              <w:t>Explain</w:t>
            </w:r>
            <w:r>
              <w:rPr>
                <w:spacing w:val="-9"/>
                <w:sz w:val="20"/>
              </w:rPr>
              <w:t> </w:t>
            </w:r>
            <w:r>
              <w:rPr>
                <w:sz w:val="20"/>
              </w:rPr>
              <w:t>Midterm</w:t>
            </w:r>
            <w:r>
              <w:rPr>
                <w:spacing w:val="-9"/>
                <w:sz w:val="20"/>
              </w:rPr>
              <w:t> </w:t>
            </w:r>
            <w:r>
              <w:rPr>
                <w:sz w:val="20"/>
              </w:rPr>
              <w:t>Exam Solutions.</w:t>
            </w:r>
            <w:r>
              <w:rPr>
                <w:spacing w:val="40"/>
                <w:sz w:val="20"/>
              </w:rPr>
              <w:t> </w:t>
            </w:r>
            <w:r>
              <w:rPr>
                <w:sz w:val="20"/>
              </w:rPr>
              <w:t>Power flow basics.</w:t>
            </w:r>
          </w:p>
        </w:tc>
      </w:tr>
      <w:tr>
        <w:trPr>
          <w:trHeight w:val="671" w:hRule="atLeast"/>
        </w:trPr>
        <w:tc>
          <w:tcPr>
            <w:tcW w:w="1274" w:type="dxa"/>
          </w:tcPr>
          <w:p>
            <w:pPr>
              <w:pStyle w:val="TableParagraph"/>
              <w:spacing w:before="93"/>
              <w:rPr>
                <w:sz w:val="20"/>
              </w:rPr>
            </w:pPr>
            <w:r>
              <w:rPr>
                <w:sz w:val="20"/>
              </w:rPr>
              <w:t>Week</w:t>
            </w:r>
            <w:r>
              <w:rPr>
                <w:spacing w:val="-5"/>
                <w:sz w:val="20"/>
              </w:rPr>
              <w:t> 9.</w:t>
            </w:r>
          </w:p>
        </w:tc>
        <w:tc>
          <w:tcPr>
            <w:tcW w:w="7471" w:type="dxa"/>
          </w:tcPr>
          <w:p>
            <w:pPr>
              <w:pStyle w:val="TableParagraph"/>
              <w:spacing w:line="235" w:lineRule="auto" w:before="97"/>
              <w:ind w:left="103" w:right="128"/>
              <w:rPr>
                <w:sz w:val="20"/>
              </w:rPr>
            </w:pPr>
            <w:r>
              <w:rPr>
                <w:sz w:val="20"/>
              </w:rPr>
              <w:t>Power</w:t>
            </w:r>
            <w:r>
              <w:rPr>
                <w:spacing w:val="-2"/>
                <w:sz w:val="20"/>
              </w:rPr>
              <w:t> </w:t>
            </w:r>
            <w:r>
              <w:rPr>
                <w:sz w:val="20"/>
              </w:rPr>
              <w:t>flow</w:t>
            </w:r>
            <w:r>
              <w:rPr>
                <w:spacing w:val="-7"/>
                <w:sz w:val="20"/>
              </w:rPr>
              <w:t> </w:t>
            </w:r>
            <w:r>
              <w:rPr>
                <w:sz w:val="20"/>
              </w:rPr>
              <w:t>in</w:t>
            </w:r>
            <w:r>
              <w:rPr>
                <w:spacing w:val="-6"/>
                <w:sz w:val="20"/>
              </w:rPr>
              <w:t> </w:t>
            </w:r>
            <w:r>
              <w:rPr>
                <w:sz w:val="20"/>
              </w:rPr>
              <w:t>power</w:t>
            </w:r>
            <w:r>
              <w:rPr>
                <w:spacing w:val="-4"/>
                <w:sz w:val="20"/>
              </w:rPr>
              <w:t> </w:t>
            </w:r>
            <w:r>
              <w:rPr>
                <w:sz w:val="20"/>
              </w:rPr>
              <w:t>systems,</w:t>
            </w:r>
            <w:r>
              <w:rPr>
                <w:spacing w:val="-2"/>
                <w:sz w:val="20"/>
              </w:rPr>
              <w:t> </w:t>
            </w:r>
            <w:r>
              <w:rPr>
                <w:sz w:val="20"/>
              </w:rPr>
              <w:t>example</w:t>
            </w:r>
            <w:r>
              <w:rPr>
                <w:spacing w:val="-5"/>
                <w:sz w:val="20"/>
              </w:rPr>
              <w:t> </w:t>
            </w:r>
            <w:r>
              <w:rPr>
                <w:sz w:val="20"/>
              </w:rPr>
              <w:t>system,</w:t>
            </w:r>
            <w:r>
              <w:rPr>
                <w:spacing w:val="-4"/>
                <w:sz w:val="20"/>
              </w:rPr>
              <w:t> </w:t>
            </w:r>
            <w:r>
              <w:rPr>
                <w:sz w:val="20"/>
              </w:rPr>
              <w:t>bus</w:t>
            </w:r>
            <w:r>
              <w:rPr>
                <w:spacing w:val="-6"/>
                <w:sz w:val="20"/>
              </w:rPr>
              <w:t> </w:t>
            </w:r>
            <w:r>
              <w:rPr>
                <w:sz w:val="20"/>
              </w:rPr>
              <w:t>admittance</w:t>
            </w:r>
            <w:r>
              <w:rPr>
                <w:spacing w:val="-2"/>
                <w:sz w:val="20"/>
              </w:rPr>
              <w:t> </w:t>
            </w:r>
            <w:r>
              <w:rPr>
                <w:sz w:val="20"/>
              </w:rPr>
              <w:t>matrix,</w:t>
            </w:r>
            <w:r>
              <w:rPr>
                <w:spacing w:val="-4"/>
                <w:sz w:val="20"/>
              </w:rPr>
              <w:t> </w:t>
            </w:r>
            <w:r>
              <w:rPr>
                <w:sz w:val="20"/>
              </w:rPr>
              <w:t>Gauss-Seidel power flow solution, solution with Newton-Raphson method.</w:t>
            </w:r>
          </w:p>
        </w:tc>
      </w:tr>
      <w:tr>
        <w:trPr>
          <w:trHeight w:val="668" w:hRule="atLeast"/>
        </w:trPr>
        <w:tc>
          <w:tcPr>
            <w:tcW w:w="1274" w:type="dxa"/>
          </w:tcPr>
          <w:p>
            <w:pPr>
              <w:pStyle w:val="TableParagraph"/>
              <w:rPr>
                <w:sz w:val="20"/>
              </w:rPr>
            </w:pPr>
            <w:r>
              <w:rPr>
                <w:sz w:val="20"/>
              </w:rPr>
              <w:t>Week</w:t>
            </w:r>
            <w:r>
              <w:rPr>
                <w:spacing w:val="-5"/>
                <w:sz w:val="20"/>
              </w:rPr>
              <w:t> 10.</w:t>
            </w:r>
          </w:p>
        </w:tc>
        <w:tc>
          <w:tcPr>
            <w:tcW w:w="7471" w:type="dxa"/>
          </w:tcPr>
          <w:p>
            <w:pPr>
              <w:pStyle w:val="TableParagraph"/>
              <w:spacing w:line="249" w:lineRule="auto"/>
              <w:ind w:left="103" w:right="2193"/>
              <w:rPr>
                <w:sz w:val="20"/>
              </w:rPr>
            </w:pPr>
            <w:r>
              <w:rPr>
                <w:sz w:val="20"/>
              </w:rPr>
              <w:t>Decoupled</w:t>
            </w:r>
            <w:r>
              <w:rPr>
                <w:spacing w:val="-7"/>
                <w:sz w:val="20"/>
              </w:rPr>
              <w:t> </w:t>
            </w:r>
            <w:r>
              <w:rPr>
                <w:sz w:val="20"/>
              </w:rPr>
              <w:t>power</w:t>
            </w:r>
            <w:r>
              <w:rPr>
                <w:spacing w:val="-5"/>
                <w:sz w:val="20"/>
              </w:rPr>
              <w:t> </w:t>
            </w:r>
            <w:r>
              <w:rPr>
                <w:sz w:val="20"/>
              </w:rPr>
              <w:t>flow</w:t>
            </w:r>
            <w:r>
              <w:rPr>
                <w:spacing w:val="-9"/>
                <w:sz w:val="20"/>
              </w:rPr>
              <w:t> </w:t>
            </w:r>
            <w:r>
              <w:rPr>
                <w:sz w:val="20"/>
              </w:rPr>
              <w:t>solution.</w:t>
            </w:r>
            <w:r>
              <w:rPr>
                <w:spacing w:val="-7"/>
                <w:sz w:val="20"/>
              </w:rPr>
              <w:t> </w:t>
            </w:r>
            <w:r>
              <w:rPr>
                <w:sz w:val="20"/>
              </w:rPr>
              <w:t>Generator</w:t>
            </w:r>
            <w:r>
              <w:rPr>
                <w:spacing w:val="-5"/>
                <w:sz w:val="20"/>
              </w:rPr>
              <w:t> </w:t>
            </w:r>
            <w:r>
              <w:rPr>
                <w:sz w:val="20"/>
              </w:rPr>
              <w:t>modeling</w:t>
            </w:r>
            <w:r>
              <w:rPr>
                <w:spacing w:val="-9"/>
                <w:sz w:val="20"/>
              </w:rPr>
              <w:t> </w:t>
            </w:r>
            <w:r>
              <w:rPr>
                <w:sz w:val="20"/>
              </w:rPr>
              <w:t>(transient). Automatic generation control.</w:t>
            </w:r>
          </w:p>
        </w:tc>
      </w:tr>
      <w:tr>
        <w:trPr>
          <w:trHeight w:val="431" w:hRule="atLeast"/>
        </w:trPr>
        <w:tc>
          <w:tcPr>
            <w:tcW w:w="1274" w:type="dxa"/>
          </w:tcPr>
          <w:p>
            <w:pPr>
              <w:pStyle w:val="TableParagraph"/>
              <w:rPr>
                <w:sz w:val="20"/>
              </w:rPr>
            </w:pPr>
            <w:r>
              <w:rPr>
                <w:sz w:val="20"/>
              </w:rPr>
              <w:t>Week</w:t>
            </w:r>
            <w:r>
              <w:rPr>
                <w:spacing w:val="-5"/>
                <w:sz w:val="20"/>
              </w:rPr>
              <w:t> 11.</w:t>
            </w:r>
          </w:p>
        </w:tc>
        <w:tc>
          <w:tcPr>
            <w:tcW w:w="7471" w:type="dxa"/>
          </w:tcPr>
          <w:p>
            <w:pPr>
              <w:pStyle w:val="TableParagraph"/>
              <w:ind w:left="103"/>
              <w:rPr>
                <w:sz w:val="20"/>
              </w:rPr>
            </w:pPr>
            <w:r>
              <w:rPr>
                <w:sz w:val="20"/>
              </w:rPr>
              <w:t>Lecture</w:t>
            </w:r>
            <w:r>
              <w:rPr>
                <w:spacing w:val="-6"/>
                <w:sz w:val="20"/>
              </w:rPr>
              <w:t> </w:t>
            </w:r>
            <w:r>
              <w:rPr>
                <w:sz w:val="20"/>
              </w:rPr>
              <w:t>on</w:t>
            </w:r>
            <w:r>
              <w:rPr>
                <w:spacing w:val="-6"/>
                <w:sz w:val="20"/>
              </w:rPr>
              <w:t> </w:t>
            </w:r>
            <w:r>
              <w:rPr>
                <w:sz w:val="20"/>
              </w:rPr>
              <w:t>power</w:t>
            </w:r>
            <w:r>
              <w:rPr>
                <w:spacing w:val="-5"/>
                <w:sz w:val="20"/>
              </w:rPr>
              <w:t> </w:t>
            </w:r>
            <w:r>
              <w:rPr>
                <w:sz w:val="20"/>
              </w:rPr>
              <w:t>system</w:t>
            </w:r>
            <w:r>
              <w:rPr>
                <w:spacing w:val="-6"/>
                <w:sz w:val="20"/>
              </w:rPr>
              <w:t> </w:t>
            </w:r>
            <w:r>
              <w:rPr>
                <w:sz w:val="20"/>
              </w:rPr>
              <w:t>protection.</w:t>
            </w:r>
            <w:r>
              <w:rPr>
                <w:spacing w:val="-5"/>
                <w:sz w:val="20"/>
              </w:rPr>
              <w:t> </w:t>
            </w:r>
            <w:r>
              <w:rPr>
                <w:sz w:val="20"/>
              </w:rPr>
              <w:t>Or</w:t>
            </w:r>
            <w:r>
              <w:rPr>
                <w:spacing w:val="-5"/>
                <w:sz w:val="20"/>
              </w:rPr>
              <w:t> </w:t>
            </w:r>
            <w:r>
              <w:rPr>
                <w:sz w:val="20"/>
              </w:rPr>
              <w:t>a</w:t>
            </w:r>
            <w:r>
              <w:rPr>
                <w:spacing w:val="-5"/>
                <w:sz w:val="20"/>
              </w:rPr>
              <w:t> </w:t>
            </w:r>
            <w:r>
              <w:rPr>
                <w:sz w:val="20"/>
              </w:rPr>
              <w:t>(Virtual)</w:t>
            </w:r>
            <w:r>
              <w:rPr>
                <w:spacing w:val="-5"/>
                <w:sz w:val="20"/>
              </w:rPr>
              <w:t> </w:t>
            </w:r>
            <w:r>
              <w:rPr>
                <w:sz w:val="20"/>
              </w:rPr>
              <w:t>Field</w:t>
            </w:r>
            <w:r>
              <w:rPr>
                <w:spacing w:val="-5"/>
                <w:sz w:val="20"/>
              </w:rPr>
              <w:t> </w:t>
            </w:r>
            <w:r>
              <w:rPr>
                <w:sz w:val="20"/>
              </w:rPr>
              <w:t>Trip</w:t>
            </w:r>
            <w:r>
              <w:rPr>
                <w:spacing w:val="-4"/>
                <w:sz w:val="20"/>
              </w:rPr>
              <w:t> </w:t>
            </w:r>
            <w:r>
              <w:rPr>
                <w:sz w:val="20"/>
              </w:rPr>
              <w:t>to</w:t>
            </w:r>
            <w:r>
              <w:rPr>
                <w:spacing w:val="-5"/>
                <w:sz w:val="20"/>
              </w:rPr>
              <w:t> </w:t>
            </w:r>
            <w:r>
              <w:rPr>
                <w:sz w:val="20"/>
              </w:rPr>
              <w:t>an</w:t>
            </w:r>
            <w:r>
              <w:rPr>
                <w:spacing w:val="-6"/>
                <w:sz w:val="20"/>
              </w:rPr>
              <w:t> </w:t>
            </w:r>
            <w:r>
              <w:rPr>
                <w:sz w:val="20"/>
              </w:rPr>
              <w:t>operating</w:t>
            </w:r>
            <w:r>
              <w:rPr>
                <w:spacing w:val="-7"/>
                <w:sz w:val="20"/>
              </w:rPr>
              <w:t> </w:t>
            </w:r>
            <w:r>
              <w:rPr>
                <w:sz w:val="20"/>
              </w:rPr>
              <w:t>power</w:t>
            </w:r>
            <w:r>
              <w:rPr>
                <w:spacing w:val="-4"/>
                <w:sz w:val="20"/>
              </w:rPr>
              <w:t> </w:t>
            </w:r>
            <w:r>
              <w:rPr>
                <w:spacing w:val="-2"/>
                <w:sz w:val="20"/>
              </w:rPr>
              <w:t>plant.</w:t>
            </w:r>
          </w:p>
        </w:tc>
      </w:tr>
      <w:tr>
        <w:trPr>
          <w:trHeight w:val="445" w:hRule="atLeast"/>
        </w:trPr>
        <w:tc>
          <w:tcPr>
            <w:tcW w:w="1274" w:type="dxa"/>
          </w:tcPr>
          <w:p>
            <w:pPr>
              <w:pStyle w:val="TableParagraph"/>
              <w:rPr>
                <w:sz w:val="20"/>
              </w:rPr>
            </w:pPr>
            <w:r>
              <w:rPr>
                <w:sz w:val="20"/>
              </w:rPr>
              <w:t>Week</w:t>
            </w:r>
            <w:r>
              <w:rPr>
                <w:spacing w:val="-5"/>
                <w:sz w:val="20"/>
              </w:rPr>
              <w:t> 12.</w:t>
            </w:r>
          </w:p>
        </w:tc>
        <w:tc>
          <w:tcPr>
            <w:tcW w:w="7471" w:type="dxa"/>
          </w:tcPr>
          <w:p>
            <w:pPr>
              <w:pStyle w:val="TableParagraph"/>
              <w:spacing w:line="220" w:lineRule="exact" w:before="0"/>
              <w:ind w:left="103"/>
              <w:rPr>
                <w:sz w:val="20"/>
              </w:rPr>
            </w:pPr>
            <w:r>
              <w:rPr>
                <w:sz w:val="20"/>
              </w:rPr>
              <w:t>Transient</w:t>
            </w:r>
            <w:r>
              <w:rPr>
                <w:spacing w:val="-8"/>
                <w:sz w:val="20"/>
              </w:rPr>
              <w:t> </w:t>
            </w:r>
            <w:r>
              <w:rPr>
                <w:sz w:val="20"/>
              </w:rPr>
              <w:t>stability;</w:t>
            </w:r>
            <w:r>
              <w:rPr>
                <w:spacing w:val="-7"/>
                <w:sz w:val="20"/>
              </w:rPr>
              <w:t> </w:t>
            </w:r>
            <w:r>
              <w:rPr>
                <w:sz w:val="20"/>
              </w:rPr>
              <w:t>equal</w:t>
            </w:r>
            <w:r>
              <w:rPr>
                <w:spacing w:val="-7"/>
                <w:sz w:val="20"/>
              </w:rPr>
              <w:t> </w:t>
            </w:r>
            <w:r>
              <w:rPr>
                <w:sz w:val="20"/>
              </w:rPr>
              <w:t>area</w:t>
            </w:r>
            <w:r>
              <w:rPr>
                <w:spacing w:val="-7"/>
                <w:sz w:val="20"/>
              </w:rPr>
              <w:t> </w:t>
            </w:r>
            <w:r>
              <w:rPr>
                <w:spacing w:val="-2"/>
                <w:sz w:val="20"/>
              </w:rPr>
              <w:t>criterion</w:t>
            </w:r>
          </w:p>
        </w:tc>
      </w:tr>
      <w:tr>
        <w:trPr>
          <w:trHeight w:val="776" w:hRule="atLeast"/>
        </w:trPr>
        <w:tc>
          <w:tcPr>
            <w:tcW w:w="1274" w:type="dxa"/>
          </w:tcPr>
          <w:p>
            <w:pPr>
              <w:pStyle w:val="TableParagraph"/>
              <w:spacing w:before="96"/>
              <w:rPr>
                <w:sz w:val="20"/>
              </w:rPr>
            </w:pPr>
            <w:r>
              <w:rPr>
                <w:sz w:val="20"/>
              </w:rPr>
              <w:t>Week</w:t>
            </w:r>
            <w:r>
              <w:rPr>
                <w:spacing w:val="-5"/>
                <w:sz w:val="20"/>
              </w:rPr>
              <w:t> 13.</w:t>
            </w:r>
          </w:p>
        </w:tc>
        <w:tc>
          <w:tcPr>
            <w:tcW w:w="7471" w:type="dxa"/>
          </w:tcPr>
          <w:p>
            <w:pPr>
              <w:pStyle w:val="TableParagraph"/>
              <w:spacing w:line="226" w:lineRule="exact" w:before="78"/>
              <w:ind w:left="103" w:right="2102"/>
              <w:rPr>
                <w:sz w:val="20"/>
              </w:rPr>
            </w:pPr>
            <w:r>
              <w:rPr>
                <w:sz w:val="20"/>
              </w:rPr>
              <w:t>Intro to offshore wind energy integration; microgrids, or emerging</w:t>
            </w:r>
            <w:r>
              <w:rPr>
                <w:spacing w:val="-6"/>
                <w:sz w:val="20"/>
              </w:rPr>
              <w:t> </w:t>
            </w:r>
            <w:r>
              <w:rPr>
                <w:sz w:val="20"/>
              </w:rPr>
              <w:t>technologies</w:t>
            </w:r>
            <w:r>
              <w:rPr>
                <w:spacing w:val="-6"/>
                <w:sz w:val="20"/>
              </w:rPr>
              <w:t> </w:t>
            </w:r>
            <w:r>
              <w:rPr>
                <w:sz w:val="20"/>
              </w:rPr>
              <w:t>such</w:t>
            </w:r>
            <w:r>
              <w:rPr>
                <w:spacing w:val="-6"/>
                <w:sz w:val="20"/>
              </w:rPr>
              <w:t> </w:t>
            </w:r>
            <w:r>
              <w:rPr>
                <w:sz w:val="20"/>
              </w:rPr>
              <w:t>as</w:t>
            </w:r>
            <w:r>
              <w:rPr>
                <w:spacing w:val="-3"/>
                <w:sz w:val="20"/>
              </w:rPr>
              <w:t> </w:t>
            </w:r>
            <w:r>
              <w:rPr>
                <w:sz w:val="20"/>
              </w:rPr>
              <w:t>quantum</w:t>
            </w:r>
            <w:r>
              <w:rPr>
                <w:spacing w:val="-9"/>
                <w:sz w:val="20"/>
              </w:rPr>
              <w:t> </w:t>
            </w:r>
            <w:r>
              <w:rPr>
                <w:sz w:val="20"/>
              </w:rPr>
              <w:t>information</w:t>
            </w:r>
            <w:r>
              <w:rPr>
                <w:spacing w:val="-6"/>
                <w:sz w:val="20"/>
              </w:rPr>
              <w:t> </w:t>
            </w:r>
            <w:r>
              <w:rPr>
                <w:sz w:val="20"/>
              </w:rPr>
              <w:t>andAI</w:t>
            </w:r>
            <w:r>
              <w:rPr>
                <w:spacing w:val="-4"/>
                <w:sz w:val="20"/>
              </w:rPr>
              <w:t> </w:t>
            </w:r>
            <w:r>
              <w:rPr>
                <w:sz w:val="20"/>
              </w:rPr>
              <w:t>in power systems.</w:t>
            </w:r>
          </w:p>
        </w:tc>
      </w:tr>
      <w:tr>
        <w:trPr>
          <w:trHeight w:val="428" w:hRule="atLeast"/>
        </w:trPr>
        <w:tc>
          <w:tcPr>
            <w:tcW w:w="1274" w:type="dxa"/>
          </w:tcPr>
          <w:p>
            <w:pPr>
              <w:pStyle w:val="TableParagraph"/>
              <w:rPr>
                <w:sz w:val="20"/>
              </w:rPr>
            </w:pPr>
            <w:r>
              <w:rPr>
                <w:sz w:val="20"/>
              </w:rPr>
              <w:t>Week</w:t>
            </w:r>
            <w:r>
              <w:rPr>
                <w:spacing w:val="-5"/>
                <w:sz w:val="20"/>
              </w:rPr>
              <w:t> 14</w:t>
            </w:r>
          </w:p>
        </w:tc>
        <w:tc>
          <w:tcPr>
            <w:tcW w:w="7471" w:type="dxa"/>
          </w:tcPr>
          <w:p>
            <w:pPr>
              <w:pStyle w:val="TableParagraph"/>
              <w:ind w:left="103"/>
              <w:rPr>
                <w:sz w:val="20"/>
              </w:rPr>
            </w:pPr>
            <w:r>
              <w:rPr>
                <w:sz w:val="20"/>
              </w:rPr>
              <w:t>Review</w:t>
            </w:r>
            <w:r>
              <w:rPr>
                <w:spacing w:val="-7"/>
                <w:sz w:val="20"/>
              </w:rPr>
              <w:t> </w:t>
            </w:r>
            <w:r>
              <w:rPr>
                <w:sz w:val="20"/>
              </w:rPr>
              <w:t>for</w:t>
            </w:r>
            <w:r>
              <w:rPr>
                <w:spacing w:val="-3"/>
                <w:sz w:val="20"/>
              </w:rPr>
              <w:t> </w:t>
            </w:r>
            <w:r>
              <w:rPr>
                <w:spacing w:val="-2"/>
                <w:sz w:val="20"/>
              </w:rPr>
              <w:t>Final.</w:t>
            </w:r>
          </w:p>
        </w:tc>
      </w:tr>
      <w:tr>
        <w:trPr>
          <w:trHeight w:val="445" w:hRule="atLeast"/>
        </w:trPr>
        <w:tc>
          <w:tcPr>
            <w:tcW w:w="1274" w:type="dxa"/>
          </w:tcPr>
          <w:p>
            <w:pPr>
              <w:pStyle w:val="TableParagraph"/>
              <w:spacing w:before="93"/>
              <w:rPr>
                <w:sz w:val="20"/>
              </w:rPr>
            </w:pPr>
            <w:r>
              <w:rPr>
                <w:sz w:val="20"/>
              </w:rPr>
              <w:t>Week</w:t>
            </w:r>
            <w:r>
              <w:rPr>
                <w:spacing w:val="-5"/>
                <w:sz w:val="20"/>
              </w:rPr>
              <w:t> 15</w:t>
            </w:r>
          </w:p>
        </w:tc>
        <w:tc>
          <w:tcPr>
            <w:tcW w:w="7471" w:type="dxa"/>
          </w:tcPr>
          <w:p>
            <w:pPr>
              <w:pStyle w:val="TableParagraph"/>
              <w:spacing w:before="93"/>
              <w:ind w:left="103"/>
              <w:rPr>
                <w:sz w:val="20"/>
              </w:rPr>
            </w:pPr>
            <w:r>
              <w:rPr>
                <w:sz w:val="20"/>
              </w:rPr>
              <w:t>Final</w:t>
            </w:r>
            <w:r>
              <w:rPr>
                <w:spacing w:val="-6"/>
                <w:sz w:val="20"/>
              </w:rPr>
              <w:t> </w:t>
            </w:r>
            <w:r>
              <w:rPr>
                <w:sz w:val="20"/>
              </w:rPr>
              <w:t>Exam</w:t>
            </w:r>
            <w:r>
              <w:rPr>
                <w:spacing w:val="-8"/>
                <w:sz w:val="20"/>
              </w:rPr>
              <w:t> </w:t>
            </w:r>
            <w:r>
              <w:rPr>
                <w:sz w:val="20"/>
              </w:rPr>
              <w:t>(per</w:t>
            </w:r>
            <w:r>
              <w:rPr>
                <w:spacing w:val="-4"/>
                <w:sz w:val="20"/>
              </w:rPr>
              <w:t> </w:t>
            </w:r>
            <w:r>
              <w:rPr>
                <w:sz w:val="20"/>
              </w:rPr>
              <w:t>University</w:t>
            </w:r>
            <w:r>
              <w:rPr>
                <w:spacing w:val="-9"/>
                <w:sz w:val="20"/>
              </w:rPr>
              <w:t> </w:t>
            </w:r>
            <w:r>
              <w:rPr>
                <w:spacing w:val="-2"/>
                <w:sz w:val="20"/>
              </w:rPr>
              <w:t>schedule)</w:t>
            </w:r>
          </w:p>
        </w:tc>
      </w:tr>
    </w:tbl>
    <w:p>
      <w:pPr>
        <w:pStyle w:val="BodyText"/>
        <w:spacing w:before="246"/>
        <w:rPr>
          <w:sz w:val="32"/>
        </w:rPr>
      </w:pPr>
    </w:p>
    <w:p>
      <w:pPr>
        <w:pStyle w:val="Heading1"/>
        <w:numPr>
          <w:ilvl w:val="0"/>
          <w:numId w:val="1"/>
        </w:numPr>
        <w:tabs>
          <w:tab w:pos="755" w:val="left" w:leader="none"/>
        </w:tabs>
        <w:spacing w:line="240" w:lineRule="auto" w:before="0" w:after="0"/>
        <w:ind w:left="755" w:right="0" w:hanging="315"/>
        <w:jc w:val="left"/>
      </w:pPr>
      <w:bookmarkStart w:name="5. Assignments" w:id="3"/>
      <w:bookmarkEnd w:id="3"/>
      <w:r>
        <w:rPr/>
      </w:r>
      <w:r>
        <w:rPr>
          <w:spacing w:val="-2"/>
        </w:rPr>
        <w:t>Assignments</w:t>
      </w:r>
    </w:p>
    <w:p>
      <w:pPr>
        <w:pStyle w:val="BodyText"/>
        <w:spacing w:before="36"/>
        <w:ind w:left="711"/>
      </w:pPr>
      <w:r>
        <w:rPr/>
        <w:t>The</w:t>
      </w:r>
      <w:r>
        <w:rPr>
          <w:spacing w:val="-5"/>
        </w:rPr>
        <w:t> </w:t>
      </w:r>
      <w:r>
        <w:rPr/>
        <w:t>assignments</w:t>
      </w:r>
      <w:r>
        <w:rPr>
          <w:spacing w:val="-2"/>
        </w:rPr>
        <w:t> </w:t>
      </w:r>
      <w:r>
        <w:rPr/>
        <w:t>will</w:t>
      </w:r>
      <w:r>
        <w:rPr>
          <w:spacing w:val="-2"/>
        </w:rPr>
        <w:t> </w:t>
      </w:r>
      <w:r>
        <w:rPr/>
        <w:t>be</w:t>
      </w:r>
      <w:r>
        <w:rPr>
          <w:spacing w:val="-4"/>
        </w:rPr>
        <w:t> </w:t>
      </w:r>
      <w:r>
        <w:rPr/>
        <w:t>available</w:t>
      </w:r>
      <w:r>
        <w:rPr>
          <w:spacing w:val="-3"/>
        </w:rPr>
        <w:t> </w:t>
      </w:r>
      <w:r>
        <w:rPr/>
        <w:t>on</w:t>
      </w:r>
      <w:r>
        <w:rPr>
          <w:spacing w:val="-2"/>
        </w:rPr>
        <w:t> Brightspace.</w:t>
      </w:r>
    </w:p>
    <w:p>
      <w:pPr>
        <w:pStyle w:val="BodyText"/>
        <w:spacing w:before="88"/>
      </w:pPr>
    </w:p>
    <w:p>
      <w:pPr>
        <w:pStyle w:val="Heading1"/>
        <w:numPr>
          <w:ilvl w:val="0"/>
          <w:numId w:val="1"/>
        </w:numPr>
        <w:tabs>
          <w:tab w:pos="755" w:val="left" w:leader="none"/>
        </w:tabs>
        <w:spacing w:line="240" w:lineRule="auto" w:before="0" w:after="0"/>
        <w:ind w:left="755" w:right="0" w:hanging="315"/>
        <w:jc w:val="left"/>
      </w:pPr>
      <w:bookmarkStart w:name="6. Grading" w:id="4"/>
      <w:bookmarkEnd w:id="4"/>
      <w:r>
        <w:rPr/>
      </w:r>
      <w:r>
        <w:rPr>
          <w:spacing w:val="-2"/>
        </w:rPr>
        <w:t>Grading</w:t>
      </w:r>
    </w:p>
    <w:p>
      <w:pPr>
        <w:pStyle w:val="ListParagraph"/>
        <w:numPr>
          <w:ilvl w:val="1"/>
          <w:numId w:val="1"/>
        </w:numPr>
        <w:tabs>
          <w:tab w:pos="799" w:val="left" w:leader="none"/>
        </w:tabs>
        <w:spacing w:line="240" w:lineRule="auto" w:before="31" w:after="5"/>
        <w:ind w:left="799" w:right="0" w:hanging="359"/>
        <w:jc w:val="left"/>
        <w:rPr>
          <w:rFonts w:ascii="Cambria" w:hAnsi="Cambria"/>
          <w:sz w:val="24"/>
        </w:rPr>
      </w:pPr>
      <w:r>
        <w:rPr>
          <w:rFonts w:ascii="Cambria" w:hAnsi="Cambria"/>
          <w:sz w:val="24"/>
        </w:rPr>
        <w:t>Final</w:t>
      </w:r>
      <w:r>
        <w:rPr>
          <w:rFonts w:ascii="Cambria" w:hAnsi="Cambria"/>
          <w:spacing w:val="-3"/>
          <w:sz w:val="24"/>
        </w:rPr>
        <w:t> </w:t>
      </w:r>
      <w:r>
        <w:rPr>
          <w:rFonts w:ascii="Cambria" w:hAnsi="Cambria"/>
          <w:sz w:val="24"/>
        </w:rPr>
        <w:t>grade</w:t>
      </w:r>
      <w:r>
        <w:rPr>
          <w:rFonts w:ascii="Cambria" w:hAnsi="Cambria"/>
          <w:spacing w:val="-2"/>
          <w:sz w:val="24"/>
        </w:rPr>
        <w:t> </w:t>
      </w:r>
      <w:r>
        <w:rPr>
          <w:rFonts w:ascii="Cambria" w:hAnsi="Cambria"/>
          <w:sz w:val="24"/>
        </w:rPr>
        <w:t>will</w:t>
      </w:r>
      <w:r>
        <w:rPr>
          <w:rFonts w:ascii="Cambria" w:hAnsi="Cambria"/>
          <w:spacing w:val="-3"/>
          <w:sz w:val="24"/>
        </w:rPr>
        <w:t> </w:t>
      </w:r>
      <w:r>
        <w:rPr>
          <w:rFonts w:ascii="Cambria" w:hAnsi="Cambria"/>
          <w:sz w:val="24"/>
        </w:rPr>
        <w:t>be</w:t>
      </w:r>
      <w:r>
        <w:rPr>
          <w:rFonts w:ascii="Cambria" w:hAnsi="Cambria"/>
          <w:spacing w:val="-2"/>
          <w:sz w:val="24"/>
        </w:rPr>
        <w:t> </w:t>
      </w:r>
      <w:r>
        <w:rPr>
          <w:rFonts w:ascii="Cambria" w:hAnsi="Cambria"/>
          <w:sz w:val="24"/>
        </w:rPr>
        <w:t>determined</w:t>
      </w:r>
      <w:r>
        <w:rPr>
          <w:rFonts w:ascii="Cambria" w:hAnsi="Cambria"/>
          <w:spacing w:val="-4"/>
          <w:sz w:val="24"/>
        </w:rPr>
        <w:t> </w:t>
      </w:r>
      <w:r>
        <w:rPr>
          <w:rFonts w:ascii="Cambria" w:hAnsi="Cambria"/>
          <w:sz w:val="24"/>
        </w:rPr>
        <w:t>as</w:t>
      </w:r>
      <w:r>
        <w:rPr>
          <w:rFonts w:ascii="Cambria" w:hAnsi="Cambria"/>
          <w:spacing w:val="-1"/>
          <w:sz w:val="24"/>
        </w:rPr>
        <w:t> </w:t>
      </w:r>
      <w:r>
        <w:rPr>
          <w:rFonts w:ascii="Cambria" w:hAnsi="Cambria"/>
          <w:spacing w:val="-2"/>
          <w:sz w:val="24"/>
        </w:rPr>
        <w:t>follows:</w:t>
      </w:r>
    </w:p>
    <w:tbl>
      <w:tblPr>
        <w:tblW w:w="0" w:type="auto"/>
        <w:jc w:val="left"/>
        <w:tblInd w:w="1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61"/>
        <w:gridCol w:w="1765"/>
      </w:tblGrid>
      <w:tr>
        <w:trPr>
          <w:trHeight w:val="272" w:hRule="atLeast"/>
        </w:trPr>
        <w:tc>
          <w:tcPr>
            <w:tcW w:w="3861" w:type="dxa"/>
          </w:tcPr>
          <w:p>
            <w:pPr>
              <w:pStyle w:val="TableParagraph"/>
              <w:spacing w:line="253" w:lineRule="exact" w:before="0"/>
              <w:ind w:left="50"/>
              <w:rPr>
                <w:rFonts w:ascii="Cambria"/>
                <w:sz w:val="24"/>
              </w:rPr>
            </w:pPr>
            <w:r>
              <w:rPr>
                <w:rFonts w:ascii="Cambria"/>
                <w:sz w:val="24"/>
              </w:rPr>
              <w:t>Homework,</w:t>
            </w:r>
            <w:r>
              <w:rPr>
                <w:rFonts w:ascii="Cambria"/>
                <w:spacing w:val="-7"/>
                <w:sz w:val="24"/>
              </w:rPr>
              <w:t> </w:t>
            </w:r>
            <w:r>
              <w:rPr>
                <w:rFonts w:ascii="Cambria"/>
                <w:spacing w:val="-2"/>
                <w:sz w:val="24"/>
              </w:rPr>
              <w:t>Participation</w:t>
            </w:r>
          </w:p>
        </w:tc>
        <w:tc>
          <w:tcPr>
            <w:tcW w:w="1765" w:type="dxa"/>
          </w:tcPr>
          <w:p>
            <w:pPr>
              <w:pStyle w:val="TableParagraph"/>
              <w:spacing w:line="253" w:lineRule="exact" w:before="0"/>
              <w:ind w:left="0" w:right="47"/>
              <w:jc w:val="right"/>
              <w:rPr>
                <w:rFonts w:ascii="Cambria"/>
                <w:sz w:val="24"/>
              </w:rPr>
            </w:pPr>
            <w:r>
              <w:rPr>
                <w:rFonts w:ascii="Cambria"/>
                <w:spacing w:val="-5"/>
                <w:sz w:val="24"/>
              </w:rPr>
              <w:t>30%</w:t>
            </w:r>
          </w:p>
        </w:tc>
      </w:tr>
      <w:tr>
        <w:trPr>
          <w:trHeight w:val="275" w:hRule="atLeast"/>
        </w:trPr>
        <w:tc>
          <w:tcPr>
            <w:tcW w:w="3861" w:type="dxa"/>
          </w:tcPr>
          <w:p>
            <w:pPr>
              <w:pStyle w:val="TableParagraph"/>
              <w:spacing w:line="256" w:lineRule="exact" w:before="0"/>
              <w:ind w:left="50"/>
              <w:rPr>
                <w:rFonts w:ascii="Cambria"/>
                <w:sz w:val="24"/>
              </w:rPr>
            </w:pPr>
            <w:r>
              <w:rPr>
                <w:rFonts w:ascii="Cambria"/>
                <w:sz w:val="24"/>
              </w:rPr>
              <w:t>Midterm</w:t>
            </w:r>
            <w:r>
              <w:rPr>
                <w:rFonts w:ascii="Cambria"/>
                <w:spacing w:val="-5"/>
                <w:sz w:val="24"/>
              </w:rPr>
              <w:t> </w:t>
            </w:r>
            <w:r>
              <w:rPr>
                <w:rFonts w:ascii="Cambria"/>
                <w:spacing w:val="-4"/>
                <w:sz w:val="24"/>
              </w:rPr>
              <w:t>Exam</w:t>
            </w:r>
          </w:p>
        </w:tc>
        <w:tc>
          <w:tcPr>
            <w:tcW w:w="1765" w:type="dxa"/>
          </w:tcPr>
          <w:p>
            <w:pPr>
              <w:pStyle w:val="TableParagraph"/>
              <w:spacing w:line="256" w:lineRule="exact" w:before="0"/>
              <w:ind w:left="0" w:right="57"/>
              <w:jc w:val="right"/>
              <w:rPr>
                <w:rFonts w:ascii="Cambria"/>
                <w:sz w:val="24"/>
              </w:rPr>
            </w:pPr>
            <w:r>
              <w:rPr>
                <w:rFonts w:ascii="Cambria"/>
                <w:spacing w:val="-5"/>
                <w:sz w:val="24"/>
              </w:rPr>
              <w:t>30%</w:t>
            </w:r>
          </w:p>
        </w:tc>
      </w:tr>
      <w:tr>
        <w:trPr>
          <w:trHeight w:val="280" w:hRule="atLeast"/>
        </w:trPr>
        <w:tc>
          <w:tcPr>
            <w:tcW w:w="3861" w:type="dxa"/>
          </w:tcPr>
          <w:p>
            <w:pPr>
              <w:pStyle w:val="TableParagraph"/>
              <w:spacing w:line="257" w:lineRule="exact" w:before="3"/>
              <w:ind w:left="50"/>
              <w:rPr>
                <w:rFonts w:ascii="Cambria"/>
                <w:sz w:val="24"/>
              </w:rPr>
            </w:pPr>
            <w:r>
              <w:rPr>
                <w:rFonts w:ascii="Cambria"/>
                <w:sz w:val="24"/>
              </w:rPr>
              <w:t>Final</w:t>
            </w:r>
            <w:r>
              <w:rPr>
                <w:rFonts w:ascii="Cambria"/>
                <w:spacing w:val="-3"/>
                <w:sz w:val="24"/>
              </w:rPr>
              <w:t> </w:t>
            </w:r>
            <w:r>
              <w:rPr>
                <w:rFonts w:ascii="Cambria"/>
                <w:spacing w:val="-4"/>
                <w:sz w:val="24"/>
              </w:rPr>
              <w:t>Exam</w:t>
            </w:r>
          </w:p>
        </w:tc>
        <w:tc>
          <w:tcPr>
            <w:tcW w:w="1765" w:type="dxa"/>
          </w:tcPr>
          <w:p>
            <w:pPr>
              <w:pStyle w:val="TableParagraph"/>
              <w:spacing w:line="257" w:lineRule="exact" w:before="3"/>
              <w:ind w:left="0" w:right="57"/>
              <w:jc w:val="right"/>
              <w:rPr>
                <w:rFonts w:ascii="Cambria"/>
                <w:sz w:val="24"/>
              </w:rPr>
            </w:pPr>
            <w:r>
              <w:rPr>
                <w:rFonts w:ascii="Cambria"/>
                <w:spacing w:val="-5"/>
                <w:sz w:val="24"/>
              </w:rPr>
              <w:t>40%</w:t>
            </w:r>
          </w:p>
        </w:tc>
      </w:tr>
      <w:tr>
        <w:trPr>
          <w:trHeight w:val="277" w:hRule="atLeast"/>
        </w:trPr>
        <w:tc>
          <w:tcPr>
            <w:tcW w:w="3861" w:type="dxa"/>
          </w:tcPr>
          <w:p>
            <w:pPr>
              <w:pStyle w:val="TableParagraph"/>
              <w:spacing w:before="0"/>
              <w:ind w:left="0"/>
              <w:rPr>
                <w:sz w:val="20"/>
              </w:rPr>
            </w:pPr>
          </w:p>
        </w:tc>
        <w:tc>
          <w:tcPr>
            <w:tcW w:w="1765" w:type="dxa"/>
          </w:tcPr>
          <w:p>
            <w:pPr>
              <w:pStyle w:val="TableParagraph"/>
              <w:spacing w:line="257" w:lineRule="exact" w:before="0"/>
              <w:ind w:left="0" w:right="139"/>
              <w:jc w:val="right"/>
              <w:rPr>
                <w:rFonts w:ascii="Cambria"/>
                <w:sz w:val="24"/>
              </w:rPr>
            </w:pPr>
            <w:r>
              <w:rPr>
                <w:rFonts w:ascii="Cambria"/>
                <w:spacing w:val="-5"/>
                <w:sz w:val="24"/>
              </w:rPr>
              <w:t>100</w:t>
            </w:r>
          </w:p>
        </w:tc>
      </w:tr>
    </w:tbl>
    <w:p>
      <w:pPr>
        <w:pStyle w:val="BodyText"/>
        <w:spacing w:before="21"/>
        <w:rPr>
          <w:rFonts w:ascii="Cambria"/>
          <w:sz w:val="24"/>
        </w:rPr>
      </w:pPr>
    </w:p>
    <w:p>
      <w:pPr>
        <w:pStyle w:val="Heading1"/>
        <w:numPr>
          <w:ilvl w:val="0"/>
          <w:numId w:val="1"/>
        </w:numPr>
        <w:tabs>
          <w:tab w:pos="755" w:val="left" w:leader="none"/>
        </w:tabs>
        <w:spacing w:line="240" w:lineRule="auto" w:before="0" w:after="0"/>
        <w:ind w:left="755" w:right="0" w:hanging="315"/>
        <w:jc w:val="left"/>
      </w:pPr>
      <w:r>
        <w:rPr/>
        <w:t>Academic</w:t>
      </w:r>
      <w:r>
        <w:rPr>
          <w:spacing w:val="-16"/>
        </w:rPr>
        <w:t> </w:t>
      </w:r>
      <w:r>
        <w:rPr>
          <w:spacing w:val="-2"/>
        </w:rPr>
        <w:t>Honesty</w:t>
      </w:r>
    </w:p>
    <w:p>
      <w:pPr>
        <w:pStyle w:val="BodyText"/>
        <w:spacing w:before="23"/>
        <w:ind w:left="440"/>
        <w:jc w:val="both"/>
      </w:pPr>
      <w:r>
        <w:rPr/>
        <w:t>Any</w:t>
      </w:r>
      <w:r>
        <w:rPr>
          <w:spacing w:val="-8"/>
        </w:rPr>
        <w:t> </w:t>
      </w:r>
      <w:r>
        <w:rPr/>
        <w:t>academic</w:t>
      </w:r>
      <w:r>
        <w:rPr>
          <w:spacing w:val="-3"/>
        </w:rPr>
        <w:t> </w:t>
      </w:r>
      <w:r>
        <w:rPr/>
        <w:t>dishonesty</w:t>
      </w:r>
      <w:r>
        <w:rPr>
          <w:spacing w:val="-6"/>
        </w:rPr>
        <w:t> </w:t>
      </w:r>
      <w:r>
        <w:rPr/>
        <w:t>will</w:t>
      </w:r>
      <w:r>
        <w:rPr>
          <w:spacing w:val="-5"/>
        </w:rPr>
        <w:t> </w:t>
      </w:r>
      <w:r>
        <w:rPr/>
        <w:t>result</w:t>
      </w:r>
      <w:r>
        <w:rPr>
          <w:spacing w:val="-3"/>
        </w:rPr>
        <w:t> </w:t>
      </w:r>
      <w:r>
        <w:rPr/>
        <w:t>in</w:t>
      </w:r>
      <w:r>
        <w:rPr>
          <w:spacing w:val="-3"/>
        </w:rPr>
        <w:t> </w:t>
      </w:r>
      <w:r>
        <w:rPr/>
        <w:t>a</w:t>
      </w:r>
      <w:r>
        <w:rPr>
          <w:spacing w:val="-3"/>
        </w:rPr>
        <w:t> </w:t>
      </w:r>
      <w:r>
        <w:rPr/>
        <w:t>zero</w:t>
      </w:r>
      <w:r>
        <w:rPr>
          <w:spacing w:val="-3"/>
        </w:rPr>
        <w:t> </w:t>
      </w:r>
      <w:r>
        <w:rPr/>
        <w:t>grade</w:t>
      </w:r>
      <w:r>
        <w:rPr>
          <w:spacing w:val="-3"/>
        </w:rPr>
        <w:t> </w:t>
      </w:r>
      <w:r>
        <w:rPr/>
        <w:t>for</w:t>
      </w:r>
      <w:r>
        <w:rPr>
          <w:spacing w:val="-2"/>
        </w:rPr>
        <w:t> </w:t>
      </w:r>
      <w:r>
        <w:rPr/>
        <w:t>the</w:t>
      </w:r>
      <w:r>
        <w:rPr>
          <w:spacing w:val="-3"/>
        </w:rPr>
        <w:t> </w:t>
      </w:r>
      <w:r>
        <w:rPr/>
        <w:t>assignment</w:t>
      </w:r>
      <w:r>
        <w:rPr>
          <w:spacing w:val="-2"/>
        </w:rPr>
        <w:t> </w:t>
      </w:r>
      <w:r>
        <w:rPr/>
        <w:t>for</w:t>
      </w:r>
      <w:r>
        <w:rPr>
          <w:spacing w:val="-2"/>
        </w:rPr>
        <w:t> </w:t>
      </w:r>
      <w:r>
        <w:rPr/>
        <w:t>all</w:t>
      </w:r>
      <w:r>
        <w:rPr>
          <w:spacing w:val="-3"/>
        </w:rPr>
        <w:t> </w:t>
      </w:r>
      <w:r>
        <w:rPr/>
        <w:t>parties</w:t>
      </w:r>
      <w:r>
        <w:rPr>
          <w:spacing w:val="-4"/>
        </w:rPr>
        <w:t> </w:t>
      </w:r>
      <w:r>
        <w:rPr>
          <w:spacing w:val="-2"/>
        </w:rPr>
        <w:t>involved.</w:t>
      </w:r>
    </w:p>
    <w:p>
      <w:pPr>
        <w:pStyle w:val="BodyText"/>
        <w:spacing w:before="51"/>
      </w:pPr>
    </w:p>
    <w:p>
      <w:pPr>
        <w:pStyle w:val="BodyText"/>
        <w:spacing w:line="266" w:lineRule="auto"/>
        <w:ind w:left="440" w:right="227"/>
        <w:jc w:val="both"/>
      </w:pPr>
      <w:r>
        <w:rPr/>
        <w:t>All</w:t>
      </w:r>
      <w:r>
        <w:rPr>
          <w:spacing w:val="-1"/>
        </w:rPr>
        <w:t> </w:t>
      </w:r>
      <w:r>
        <w:rPr/>
        <w:t>exam</w:t>
      </w:r>
      <w:r>
        <w:rPr>
          <w:spacing w:val="-4"/>
        </w:rPr>
        <w:t> </w:t>
      </w:r>
      <w:r>
        <w:rPr/>
        <w:t>work</w:t>
      </w:r>
      <w:r>
        <w:rPr>
          <w:spacing w:val="-2"/>
        </w:rPr>
        <w:t> </w:t>
      </w:r>
      <w:r>
        <w:rPr/>
        <w:t>must be</w:t>
      </w:r>
      <w:r>
        <w:rPr>
          <w:spacing w:val="-2"/>
        </w:rPr>
        <w:t> </w:t>
      </w:r>
      <w:r>
        <w:rPr/>
        <w:t>entirely</w:t>
      </w:r>
      <w:r>
        <w:rPr>
          <w:spacing w:val="-2"/>
        </w:rPr>
        <w:t> </w:t>
      </w:r>
      <w:r>
        <w:rPr/>
        <w:t>your own with</w:t>
      </w:r>
      <w:r>
        <w:rPr>
          <w:spacing w:val="-2"/>
        </w:rPr>
        <w:t> </w:t>
      </w:r>
      <w:r>
        <w:rPr/>
        <w:t>no</w:t>
      </w:r>
      <w:r>
        <w:rPr>
          <w:spacing w:val="-2"/>
        </w:rPr>
        <w:t> </w:t>
      </w:r>
      <w:r>
        <w:rPr/>
        <w:t>collaboration or outside</w:t>
      </w:r>
      <w:r>
        <w:rPr>
          <w:spacing w:val="-2"/>
        </w:rPr>
        <w:t> </w:t>
      </w:r>
      <w:r>
        <w:rPr/>
        <w:t>materials/information. Any academic dishonesty on the midterm exams or the final exam will result in failing the</w:t>
      </w:r>
      <w:r>
        <w:rPr>
          <w:spacing w:val="40"/>
        </w:rPr>
        <w:t> </w:t>
      </w:r>
      <w:r>
        <w:rPr/>
        <w:t>course. The case will be submitted to the College of Engineering’s Committee on Academic Standing and Appeals.</w:t>
      </w:r>
    </w:p>
    <w:p>
      <w:pPr>
        <w:spacing w:after="0" w:line="266" w:lineRule="auto"/>
        <w:jc w:val="both"/>
        <w:sectPr>
          <w:type w:val="continuous"/>
          <w:pgSz w:w="12240" w:h="15840"/>
          <w:pgMar w:header="0" w:footer="1041" w:top="1420" w:bottom="1240" w:left="1720" w:right="1260"/>
        </w:sectPr>
      </w:pPr>
    </w:p>
    <w:p>
      <w:pPr>
        <w:pStyle w:val="Heading1"/>
        <w:numPr>
          <w:ilvl w:val="0"/>
          <w:numId w:val="1"/>
        </w:numPr>
        <w:tabs>
          <w:tab w:pos="917" w:val="left" w:leader="none"/>
        </w:tabs>
        <w:spacing w:line="240" w:lineRule="auto" w:before="20" w:after="0"/>
        <w:ind w:left="917" w:right="0" w:hanging="477"/>
        <w:jc w:val="left"/>
      </w:pPr>
      <w:bookmarkStart w:name="8. Student Accessibility Support Stateme" w:id="5"/>
      <w:bookmarkEnd w:id="5"/>
      <w:r>
        <w:rPr/>
      </w:r>
      <w:r>
        <w:rPr/>
        <w:t>Student</w:t>
      </w:r>
      <w:r>
        <w:rPr>
          <w:spacing w:val="-15"/>
        </w:rPr>
        <w:t> </w:t>
      </w:r>
      <w:r>
        <w:rPr/>
        <w:t>Accessibility</w:t>
      </w:r>
      <w:r>
        <w:rPr>
          <w:spacing w:val="-15"/>
        </w:rPr>
        <w:t> </w:t>
      </w:r>
      <w:r>
        <w:rPr/>
        <w:t>Support</w:t>
      </w:r>
      <w:r>
        <w:rPr>
          <w:spacing w:val="-17"/>
        </w:rPr>
        <w:t> </w:t>
      </w:r>
      <w:r>
        <w:rPr>
          <w:spacing w:val="-2"/>
        </w:rPr>
        <w:t>Statement</w:t>
      </w:r>
    </w:p>
    <w:p>
      <w:pPr>
        <w:pStyle w:val="BodyText"/>
        <w:spacing w:line="266" w:lineRule="auto" w:before="25"/>
        <w:ind w:left="439" w:right="223"/>
        <w:jc w:val="both"/>
      </w:pPr>
      <w:r>
        <w:rPr/>
        <w:t>If you</w:t>
      </w:r>
      <w:r>
        <w:rPr>
          <w:spacing w:val="-2"/>
        </w:rPr>
        <w:t> </w:t>
      </w:r>
      <w:r>
        <w:rPr/>
        <w:t>have</w:t>
      </w:r>
      <w:r>
        <w:rPr>
          <w:spacing w:val="-2"/>
        </w:rPr>
        <w:t> </w:t>
      </w:r>
      <w:r>
        <w:rPr/>
        <w:t>a</w:t>
      </w:r>
      <w:r>
        <w:rPr>
          <w:spacing w:val="-2"/>
        </w:rPr>
        <w:t> </w:t>
      </w:r>
      <w:r>
        <w:rPr/>
        <w:t>physical,</w:t>
      </w:r>
      <w:r>
        <w:rPr>
          <w:spacing w:val="-2"/>
        </w:rPr>
        <w:t> </w:t>
      </w:r>
      <w:r>
        <w:rPr/>
        <w:t>psychological,</w:t>
      </w:r>
      <w:r>
        <w:rPr>
          <w:spacing w:val="-2"/>
        </w:rPr>
        <w:t> </w:t>
      </w:r>
      <w:r>
        <w:rPr/>
        <w:t>medical,</w:t>
      </w:r>
      <w:r>
        <w:rPr>
          <w:spacing w:val="-2"/>
        </w:rPr>
        <w:t> </w:t>
      </w:r>
      <w:r>
        <w:rPr/>
        <w:t>or</w:t>
      </w:r>
      <w:r>
        <w:rPr>
          <w:spacing w:val="-1"/>
        </w:rPr>
        <w:t> </w:t>
      </w:r>
      <w:r>
        <w:rPr/>
        <w:t>learning</w:t>
      </w:r>
      <w:r>
        <w:rPr>
          <w:spacing w:val="-5"/>
        </w:rPr>
        <w:t> </w:t>
      </w:r>
      <w:r>
        <w:rPr/>
        <w:t>disability</w:t>
      </w:r>
      <w:r>
        <w:rPr>
          <w:spacing w:val="-5"/>
        </w:rPr>
        <w:t> </w:t>
      </w:r>
      <w:r>
        <w:rPr/>
        <w:t>that</w:t>
      </w:r>
      <w:r>
        <w:rPr>
          <w:spacing w:val="-1"/>
        </w:rPr>
        <w:t> </w:t>
      </w:r>
      <w:r>
        <w:rPr/>
        <w:t>may</w:t>
      </w:r>
      <w:r>
        <w:rPr>
          <w:spacing w:val="-5"/>
        </w:rPr>
        <w:t> </w:t>
      </w:r>
      <w:r>
        <w:rPr/>
        <w:t>impact</w:t>
      </w:r>
      <w:r>
        <w:rPr>
          <w:spacing w:val="-1"/>
        </w:rPr>
        <w:t> </w:t>
      </w:r>
      <w:r>
        <w:rPr/>
        <w:t>your</w:t>
      </w:r>
      <w:r>
        <w:rPr>
          <w:spacing w:val="-1"/>
        </w:rPr>
        <w:t> </w:t>
      </w:r>
      <w:r>
        <w:rPr/>
        <w:t>course work, please contact the Student Accessibility Support Center, 128 ECC Building, (631) 632- 6748, or at </w:t>
      </w:r>
      <w:hyperlink r:id="rId8">
        <w:r>
          <w:rPr/>
          <w:t>sasc@Stonybrook.edu.</w:t>
        </w:r>
      </w:hyperlink>
      <w:r>
        <w:rPr/>
        <w:t> They will determine with you what accommodations are necessary and appropriate. All information and documentation is confidential.</w:t>
      </w:r>
    </w:p>
    <w:p>
      <w:pPr>
        <w:pStyle w:val="BodyText"/>
        <w:spacing w:before="20"/>
      </w:pPr>
    </w:p>
    <w:p>
      <w:pPr>
        <w:pStyle w:val="Heading1"/>
        <w:numPr>
          <w:ilvl w:val="0"/>
          <w:numId w:val="1"/>
        </w:numPr>
        <w:tabs>
          <w:tab w:pos="917" w:val="left" w:leader="none"/>
        </w:tabs>
        <w:spacing w:line="240" w:lineRule="auto" w:before="0" w:after="0"/>
        <w:ind w:left="917" w:right="0" w:hanging="477"/>
        <w:jc w:val="left"/>
      </w:pPr>
      <w:bookmarkStart w:name="9. Academic Integrity Statement" w:id="6"/>
      <w:bookmarkEnd w:id="6"/>
      <w:r>
        <w:rPr/>
      </w:r>
      <w:r>
        <w:rPr/>
        <w:t>Academic</w:t>
      </w:r>
      <w:r>
        <w:rPr>
          <w:spacing w:val="-13"/>
        </w:rPr>
        <w:t> </w:t>
      </w:r>
      <w:r>
        <w:rPr/>
        <w:t>Integrity</w:t>
      </w:r>
      <w:r>
        <w:rPr>
          <w:spacing w:val="-12"/>
        </w:rPr>
        <w:t> </w:t>
      </w:r>
      <w:r>
        <w:rPr>
          <w:spacing w:val="-2"/>
        </w:rPr>
        <w:t>Statement</w:t>
      </w:r>
    </w:p>
    <w:p>
      <w:pPr>
        <w:pStyle w:val="BodyText"/>
        <w:spacing w:line="264" w:lineRule="auto" w:before="40"/>
        <w:ind w:left="439"/>
      </w:pPr>
      <w:r>
        <w:rPr/>
        <w:t>Each</w:t>
      </w:r>
      <w:r>
        <w:rPr>
          <w:spacing w:val="34"/>
        </w:rPr>
        <w:t> </w:t>
      </w:r>
      <w:r>
        <w:rPr/>
        <w:t>student</w:t>
      </w:r>
      <w:r>
        <w:rPr>
          <w:spacing w:val="35"/>
        </w:rPr>
        <w:t> </w:t>
      </w:r>
      <w:r>
        <w:rPr/>
        <w:t>must</w:t>
      </w:r>
      <w:r>
        <w:rPr>
          <w:spacing w:val="35"/>
        </w:rPr>
        <w:t> </w:t>
      </w:r>
      <w:r>
        <w:rPr/>
        <w:t>pursue</w:t>
      </w:r>
      <w:r>
        <w:rPr>
          <w:spacing w:val="33"/>
        </w:rPr>
        <w:t> </w:t>
      </w:r>
      <w:r>
        <w:rPr/>
        <w:t>their</w:t>
      </w:r>
      <w:r>
        <w:rPr>
          <w:spacing w:val="35"/>
        </w:rPr>
        <w:t> </w:t>
      </w:r>
      <w:r>
        <w:rPr/>
        <w:t>academic</w:t>
      </w:r>
      <w:r>
        <w:rPr>
          <w:spacing w:val="35"/>
        </w:rPr>
        <w:t> </w:t>
      </w:r>
      <w:r>
        <w:rPr/>
        <w:t>goals</w:t>
      </w:r>
      <w:r>
        <w:rPr>
          <w:spacing w:val="35"/>
        </w:rPr>
        <w:t> </w:t>
      </w:r>
      <w:r>
        <w:rPr/>
        <w:t>honestly</w:t>
      </w:r>
      <w:r>
        <w:rPr>
          <w:spacing w:val="32"/>
        </w:rPr>
        <w:t> </w:t>
      </w:r>
      <w:r>
        <w:rPr/>
        <w:t>and</w:t>
      </w:r>
      <w:r>
        <w:rPr>
          <w:spacing w:val="32"/>
        </w:rPr>
        <w:t> </w:t>
      </w:r>
      <w:r>
        <w:rPr/>
        <w:t>be</w:t>
      </w:r>
      <w:r>
        <w:rPr>
          <w:spacing w:val="35"/>
        </w:rPr>
        <w:t> </w:t>
      </w:r>
      <w:r>
        <w:rPr/>
        <w:t>personally</w:t>
      </w:r>
      <w:r>
        <w:rPr>
          <w:spacing w:val="32"/>
        </w:rPr>
        <w:t> </w:t>
      </w:r>
      <w:r>
        <w:rPr/>
        <w:t>accountable</w:t>
      </w:r>
      <w:r>
        <w:rPr>
          <w:spacing w:val="33"/>
        </w:rPr>
        <w:t> </w:t>
      </w:r>
      <w:r>
        <w:rPr/>
        <w:t>for</w:t>
      </w:r>
      <w:r>
        <w:rPr>
          <w:spacing w:val="35"/>
        </w:rPr>
        <w:t> </w:t>
      </w:r>
      <w:r>
        <w:rPr/>
        <w:t>all submitted work. Representing another person's work as your own is always wrong. Faculty are</w:t>
      </w:r>
      <w:r>
        <w:rPr>
          <w:spacing w:val="40"/>
        </w:rPr>
        <w:t> </w:t>
      </w:r>
      <w:r>
        <w:rPr/>
        <w:t>required</w:t>
      </w:r>
      <w:r>
        <w:rPr>
          <w:spacing w:val="38"/>
        </w:rPr>
        <w:t> </w:t>
      </w:r>
      <w:r>
        <w:rPr/>
        <w:t>to</w:t>
      </w:r>
      <w:r>
        <w:rPr>
          <w:spacing w:val="35"/>
        </w:rPr>
        <w:t> </w:t>
      </w:r>
      <w:r>
        <w:rPr/>
        <w:t>report</w:t>
      </w:r>
      <w:r>
        <w:rPr>
          <w:spacing w:val="39"/>
        </w:rPr>
        <w:t> </w:t>
      </w:r>
      <w:r>
        <w:rPr/>
        <w:t>any</w:t>
      </w:r>
      <w:r>
        <w:rPr>
          <w:spacing w:val="34"/>
        </w:rPr>
        <w:t> </w:t>
      </w:r>
      <w:r>
        <w:rPr/>
        <w:t>suspected</w:t>
      </w:r>
      <w:r>
        <w:rPr>
          <w:spacing w:val="38"/>
        </w:rPr>
        <w:t> </w:t>
      </w:r>
      <w:r>
        <w:rPr/>
        <w:t>instances</w:t>
      </w:r>
      <w:r>
        <w:rPr>
          <w:spacing w:val="38"/>
        </w:rPr>
        <w:t> </w:t>
      </w:r>
      <w:r>
        <w:rPr/>
        <w:t>of</w:t>
      </w:r>
      <w:r>
        <w:rPr>
          <w:spacing w:val="39"/>
        </w:rPr>
        <w:t> </w:t>
      </w:r>
      <w:r>
        <w:rPr/>
        <w:t>academic</w:t>
      </w:r>
      <w:r>
        <w:rPr>
          <w:spacing w:val="38"/>
        </w:rPr>
        <w:t> </w:t>
      </w:r>
      <w:r>
        <w:rPr/>
        <w:t>dishonesty</w:t>
      </w:r>
      <w:r>
        <w:rPr>
          <w:spacing w:val="34"/>
        </w:rPr>
        <w:t> </w:t>
      </w:r>
      <w:r>
        <w:rPr/>
        <w:t>to</w:t>
      </w:r>
      <w:r>
        <w:rPr>
          <w:spacing w:val="35"/>
        </w:rPr>
        <w:t> </w:t>
      </w:r>
      <w:r>
        <w:rPr/>
        <w:t>the</w:t>
      </w:r>
      <w:r>
        <w:rPr>
          <w:spacing w:val="38"/>
        </w:rPr>
        <w:t> </w:t>
      </w:r>
      <w:r>
        <w:rPr/>
        <w:t>Academic</w:t>
      </w:r>
      <w:r>
        <w:rPr>
          <w:spacing w:val="38"/>
        </w:rPr>
        <w:t> </w:t>
      </w:r>
      <w:r>
        <w:rPr/>
        <w:t>Judiciary. Faculty in the Health Sciences Center (School of Health Technology &amp; Management, Nursing,</w:t>
      </w:r>
      <w:r>
        <w:rPr>
          <w:spacing w:val="40"/>
        </w:rPr>
        <w:t> </w:t>
      </w:r>
      <w:r>
        <w:rPr/>
        <w:t>Social Welfare, Dental Medicine) and</w:t>
      </w:r>
      <w:r>
        <w:rPr>
          <w:spacing w:val="32"/>
        </w:rPr>
        <w:t> </w:t>
      </w:r>
      <w:r>
        <w:rPr/>
        <w:t>School of Medicine are required to</w:t>
      </w:r>
      <w:r>
        <w:rPr>
          <w:spacing w:val="32"/>
        </w:rPr>
        <w:t> </w:t>
      </w:r>
      <w:r>
        <w:rPr/>
        <w:t>follow their school-</w:t>
      </w:r>
      <w:r>
        <w:rPr>
          <w:spacing w:val="40"/>
        </w:rPr>
        <w:t> </w:t>
      </w:r>
      <w:r>
        <w:rPr/>
        <w:t>specific</w:t>
      </w:r>
      <w:r>
        <w:rPr>
          <w:spacing w:val="40"/>
        </w:rPr>
        <w:t> </w:t>
      </w:r>
      <w:r>
        <w:rPr/>
        <w:t>procedures.</w:t>
      </w:r>
      <w:r>
        <w:rPr>
          <w:spacing w:val="40"/>
        </w:rPr>
        <w:t> </w:t>
      </w:r>
      <w:r>
        <w:rPr/>
        <w:t>For</w:t>
      </w:r>
      <w:r>
        <w:rPr>
          <w:spacing w:val="40"/>
        </w:rPr>
        <w:t> </w:t>
      </w:r>
      <w:r>
        <w:rPr/>
        <w:t>more</w:t>
      </w:r>
      <w:r>
        <w:rPr>
          <w:spacing w:val="40"/>
        </w:rPr>
        <w:t> </w:t>
      </w:r>
      <w:r>
        <w:rPr/>
        <w:t>comprehensive</w:t>
      </w:r>
      <w:r>
        <w:rPr>
          <w:spacing w:val="40"/>
        </w:rPr>
        <w:t> </w:t>
      </w:r>
      <w:r>
        <w:rPr/>
        <w:t>information</w:t>
      </w:r>
      <w:r>
        <w:rPr>
          <w:spacing w:val="40"/>
        </w:rPr>
        <w:t> </w:t>
      </w:r>
      <w:r>
        <w:rPr/>
        <w:t>on</w:t>
      </w:r>
      <w:r>
        <w:rPr>
          <w:spacing w:val="40"/>
        </w:rPr>
        <w:t> </w:t>
      </w:r>
      <w:r>
        <w:rPr/>
        <w:t>academic</w:t>
      </w:r>
      <w:r>
        <w:rPr>
          <w:spacing w:val="40"/>
        </w:rPr>
        <w:t> </w:t>
      </w:r>
      <w:r>
        <w:rPr/>
        <w:t>integrity,</w:t>
      </w:r>
      <w:r>
        <w:rPr>
          <w:spacing w:val="40"/>
        </w:rPr>
        <w:t> </w:t>
      </w:r>
      <w:r>
        <w:rPr/>
        <w:t>including categories</w:t>
      </w:r>
      <w:r>
        <w:rPr>
          <w:spacing w:val="80"/>
        </w:rPr>
        <w:t> </w:t>
      </w:r>
      <w:r>
        <w:rPr/>
        <w:t>of</w:t>
      </w:r>
      <w:r>
        <w:rPr>
          <w:spacing w:val="80"/>
        </w:rPr>
        <w:t> </w:t>
      </w:r>
      <w:r>
        <w:rPr/>
        <w:t>academic</w:t>
      </w:r>
      <w:r>
        <w:rPr>
          <w:spacing w:val="80"/>
        </w:rPr>
        <w:t> </w:t>
      </w:r>
      <w:r>
        <w:rPr/>
        <w:t>dishonesty</w:t>
      </w:r>
      <w:r>
        <w:rPr>
          <w:spacing w:val="80"/>
        </w:rPr>
        <w:t> </w:t>
      </w:r>
      <w:r>
        <w:rPr/>
        <w:t>please</w:t>
      </w:r>
      <w:r>
        <w:rPr>
          <w:spacing w:val="80"/>
        </w:rPr>
        <w:t> </w:t>
      </w:r>
      <w:r>
        <w:rPr/>
        <w:t>refer</w:t>
      </w:r>
      <w:r>
        <w:rPr>
          <w:spacing w:val="80"/>
        </w:rPr>
        <w:t> </w:t>
      </w:r>
      <w:r>
        <w:rPr/>
        <w:t>to</w:t>
      </w:r>
      <w:r>
        <w:rPr>
          <w:spacing w:val="80"/>
        </w:rPr>
        <w:t> </w:t>
      </w:r>
      <w:r>
        <w:rPr/>
        <w:t>the</w:t>
      </w:r>
      <w:r>
        <w:rPr>
          <w:spacing w:val="80"/>
        </w:rPr>
        <w:t> </w:t>
      </w:r>
      <w:r>
        <w:rPr/>
        <w:t>academic</w:t>
      </w:r>
      <w:r>
        <w:rPr>
          <w:spacing w:val="80"/>
        </w:rPr>
        <w:t> </w:t>
      </w:r>
      <w:r>
        <w:rPr/>
        <w:t>judiciary</w:t>
      </w:r>
      <w:r>
        <w:rPr>
          <w:spacing w:val="80"/>
        </w:rPr>
        <w:t> </w:t>
      </w:r>
      <w:r>
        <w:rPr/>
        <w:t>website</w:t>
      </w:r>
      <w:r>
        <w:rPr>
          <w:spacing w:val="80"/>
        </w:rPr>
        <w:t> </w:t>
      </w:r>
      <w:r>
        <w:rPr/>
        <w:t>at</w:t>
      </w:r>
      <w:r>
        <w:rPr>
          <w:spacing w:val="80"/>
        </w:rPr>
        <w:t> </w:t>
      </w:r>
      <w:hyperlink r:id="rId9">
        <w:r>
          <w:rPr>
            <w:color w:val="0000FF"/>
          </w:rPr>
          <w:t>h</w:t>
        </w:r>
      </w:hyperlink>
      <w:r>
        <w:rPr>
          <w:color w:val="0000FF"/>
          <w:spacing w:val="40"/>
        </w:rPr>
        <w:t> </w:t>
      </w:r>
      <w:hyperlink r:id="rId9">
        <w:r>
          <w:rPr>
            <w:color w:val="0000FF"/>
            <w:spacing w:val="-2"/>
            <w:u w:val="single" w:color="0000FF"/>
          </w:rPr>
          <w:t>ttp://www.stonybrook.edu/commcms/academic_integrity/index.html</w:t>
        </w:r>
      </w:hyperlink>
    </w:p>
    <w:p>
      <w:pPr>
        <w:pStyle w:val="Heading1"/>
        <w:numPr>
          <w:ilvl w:val="0"/>
          <w:numId w:val="1"/>
        </w:numPr>
        <w:tabs>
          <w:tab w:pos="915" w:val="left" w:leader="none"/>
        </w:tabs>
        <w:spacing w:line="240" w:lineRule="auto" w:before="247" w:after="0"/>
        <w:ind w:left="915" w:right="0" w:hanging="475"/>
        <w:jc w:val="left"/>
      </w:pPr>
      <w:bookmarkStart w:name="10. Critical Incident Management Stateme" w:id="7"/>
      <w:bookmarkEnd w:id="7"/>
      <w:r>
        <w:rPr/>
      </w:r>
      <w:r>
        <w:rPr/>
        <w:t>Critical</w:t>
      </w:r>
      <w:r>
        <w:rPr>
          <w:spacing w:val="-14"/>
        </w:rPr>
        <w:t> </w:t>
      </w:r>
      <w:r>
        <w:rPr/>
        <w:t>Incident</w:t>
      </w:r>
      <w:r>
        <w:rPr>
          <w:spacing w:val="-14"/>
        </w:rPr>
        <w:t> </w:t>
      </w:r>
      <w:r>
        <w:rPr/>
        <w:t>Management</w:t>
      </w:r>
      <w:r>
        <w:rPr>
          <w:spacing w:val="-14"/>
        </w:rPr>
        <w:t> </w:t>
      </w:r>
      <w:r>
        <w:rPr>
          <w:spacing w:val="-2"/>
        </w:rPr>
        <w:t>Statement</w:t>
      </w:r>
    </w:p>
    <w:p>
      <w:pPr>
        <w:pStyle w:val="BodyText"/>
        <w:spacing w:line="264" w:lineRule="auto" w:before="40"/>
        <w:ind w:left="440" w:right="222"/>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w:t>
      </w:r>
      <w:r>
        <w:rPr>
          <w:spacing w:val="-1"/>
        </w:rPr>
        <w:t> </w:t>
      </w:r>
      <w:r>
        <w:rPr/>
        <w:t>their school-specific procedures. Further information about most academic</w:t>
      </w:r>
      <w:r>
        <w:rPr>
          <w:spacing w:val="-3"/>
        </w:rPr>
        <w:t> </w:t>
      </w:r>
      <w:r>
        <w:rPr/>
        <w:t>matters</w:t>
      </w:r>
      <w:r>
        <w:rPr>
          <w:spacing w:val="-3"/>
        </w:rPr>
        <w:t> </w:t>
      </w:r>
      <w:r>
        <w:rPr/>
        <w:t>can</w:t>
      </w:r>
      <w:r>
        <w:rPr>
          <w:spacing w:val="-3"/>
        </w:rPr>
        <w:t> </w:t>
      </w:r>
      <w:r>
        <w:rPr/>
        <w:t>be</w:t>
      </w:r>
      <w:r>
        <w:rPr>
          <w:spacing w:val="-4"/>
        </w:rPr>
        <w:t> </w:t>
      </w:r>
      <w:r>
        <w:rPr/>
        <w:t>found</w:t>
      </w:r>
      <w:r>
        <w:rPr>
          <w:spacing w:val="-3"/>
        </w:rPr>
        <w:t> </w:t>
      </w:r>
      <w:r>
        <w:rPr/>
        <w:t>in</w:t>
      </w:r>
      <w:r>
        <w:rPr>
          <w:spacing w:val="-5"/>
        </w:rPr>
        <w:t> </w:t>
      </w:r>
      <w:r>
        <w:rPr/>
        <w:t>the</w:t>
      </w:r>
      <w:r>
        <w:rPr>
          <w:spacing w:val="-3"/>
        </w:rPr>
        <w:t> </w:t>
      </w:r>
      <w:r>
        <w:rPr/>
        <w:t>Undergraduate</w:t>
      </w:r>
      <w:r>
        <w:rPr>
          <w:spacing w:val="-3"/>
        </w:rPr>
        <w:t> </w:t>
      </w:r>
      <w:r>
        <w:rPr/>
        <w:t>Bulletin,</w:t>
      </w:r>
      <w:r>
        <w:rPr>
          <w:spacing w:val="-3"/>
        </w:rPr>
        <w:t> </w:t>
      </w:r>
      <w:r>
        <w:rPr/>
        <w:t>the</w:t>
      </w:r>
      <w:r>
        <w:rPr>
          <w:spacing w:val="-3"/>
        </w:rPr>
        <w:t> </w:t>
      </w:r>
      <w:r>
        <w:rPr/>
        <w:t>Undergraduate</w:t>
      </w:r>
      <w:r>
        <w:rPr>
          <w:spacing w:val="-4"/>
        </w:rPr>
        <w:t> </w:t>
      </w:r>
      <w:r>
        <w:rPr/>
        <w:t>Class</w:t>
      </w:r>
      <w:r>
        <w:rPr>
          <w:spacing w:val="-3"/>
        </w:rPr>
        <w:t> </w:t>
      </w:r>
      <w:r>
        <w:rPr/>
        <w:t>Schedule, and the Faculty-Employee Handbook.</w:t>
      </w:r>
    </w:p>
    <w:sectPr>
      <w:pgSz w:w="12240" w:h="15840"/>
      <w:pgMar w:header="0" w:footer="1041" w:top="1420" w:bottom="1240" w:left="1720" w:right="1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8784">
              <wp:simplePos x="0" y="0"/>
              <wp:positionH relativeFrom="page">
                <wp:posOffset>1358900</wp:posOffset>
              </wp:positionH>
              <wp:positionV relativeFrom="page">
                <wp:posOffset>9257849</wp:posOffset>
              </wp:positionV>
              <wp:extent cx="405765"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05765"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28.964539pt;width:31.95pt;height:13.05pt;mso-position-horizontal-relative:page;mso-position-vertical-relative:page;z-index:-15837696" type="#_x0000_t202" id="docshape1"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1</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56" w:hanging="317"/>
        <w:jc w:val="left"/>
      </w:pPr>
      <w:rPr>
        <w:rFonts w:hint="default" w:ascii="Calibri" w:hAnsi="Calibri" w:eastAsia="Calibri" w:cs="Calibri"/>
        <w:b w:val="0"/>
        <w:bCs w:val="0"/>
        <w:i w:val="0"/>
        <w:iCs w:val="0"/>
        <w:spacing w:val="-2"/>
        <w:w w:val="99"/>
        <w:sz w:val="32"/>
        <w:szCs w:val="32"/>
        <w:lang w:val="en-US" w:eastAsia="en-US" w:bidi="ar-SA"/>
      </w:rPr>
    </w:lvl>
    <w:lvl w:ilvl="1">
      <w:start w:val="0"/>
      <w:numFmt w:val="bullet"/>
      <w:lvlText w:val="●"/>
      <w:lvlJc w:val="left"/>
      <w:pPr>
        <w:ind w:left="800" w:hanging="360"/>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1740" w:hanging="360"/>
      </w:pPr>
      <w:rPr>
        <w:rFonts w:hint="default"/>
        <w:lang w:val="en-US" w:eastAsia="en-US" w:bidi="ar-SA"/>
      </w:rPr>
    </w:lvl>
    <w:lvl w:ilvl="3">
      <w:start w:val="0"/>
      <w:numFmt w:val="bullet"/>
      <w:lvlText w:val="•"/>
      <w:lvlJc w:val="left"/>
      <w:pPr>
        <w:ind w:left="2680" w:hanging="360"/>
      </w:pPr>
      <w:rPr>
        <w:rFonts w:hint="default"/>
        <w:lang w:val="en-US" w:eastAsia="en-US" w:bidi="ar-SA"/>
      </w:rPr>
    </w:lvl>
    <w:lvl w:ilvl="4">
      <w:start w:val="0"/>
      <w:numFmt w:val="bullet"/>
      <w:lvlText w:val="•"/>
      <w:lvlJc w:val="left"/>
      <w:pPr>
        <w:ind w:left="3620" w:hanging="360"/>
      </w:pPr>
      <w:rPr>
        <w:rFonts w:hint="default"/>
        <w:lang w:val="en-US" w:eastAsia="en-US" w:bidi="ar-SA"/>
      </w:rPr>
    </w:lvl>
    <w:lvl w:ilvl="5">
      <w:start w:val="0"/>
      <w:numFmt w:val="bullet"/>
      <w:lvlText w:val="•"/>
      <w:lvlJc w:val="left"/>
      <w:pPr>
        <w:ind w:left="4560" w:hanging="360"/>
      </w:pPr>
      <w:rPr>
        <w:rFonts w:hint="default"/>
        <w:lang w:val="en-US" w:eastAsia="en-US" w:bidi="ar-SA"/>
      </w:rPr>
    </w:lvl>
    <w:lvl w:ilvl="6">
      <w:start w:val="0"/>
      <w:numFmt w:val="bullet"/>
      <w:lvlText w:val="•"/>
      <w:lvlJc w:val="left"/>
      <w:pPr>
        <w:ind w:left="5500" w:hanging="360"/>
      </w:pPr>
      <w:rPr>
        <w:rFonts w:hint="default"/>
        <w:lang w:val="en-US" w:eastAsia="en-US" w:bidi="ar-SA"/>
      </w:rPr>
    </w:lvl>
    <w:lvl w:ilvl="7">
      <w:start w:val="0"/>
      <w:numFmt w:val="bullet"/>
      <w:lvlText w:val="•"/>
      <w:lvlJc w:val="left"/>
      <w:pPr>
        <w:ind w:left="6440" w:hanging="360"/>
      </w:pPr>
      <w:rPr>
        <w:rFonts w:hint="default"/>
        <w:lang w:val="en-US" w:eastAsia="en-US" w:bidi="ar-SA"/>
      </w:rPr>
    </w:lvl>
    <w:lvl w:ilvl="8">
      <w:start w:val="0"/>
      <w:numFmt w:val="bullet"/>
      <w:lvlText w:val="•"/>
      <w:lvlJc w:val="left"/>
      <w:pPr>
        <w:ind w:left="7380"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755" w:hanging="315"/>
      <w:outlineLvl w:val="1"/>
    </w:pPr>
    <w:rPr>
      <w:rFonts w:ascii="Calibri" w:hAnsi="Calibri" w:eastAsia="Calibri" w:cs="Calibri"/>
      <w:sz w:val="32"/>
      <w:szCs w:val="32"/>
      <w:lang w:val="en-US" w:eastAsia="en-US" w:bidi="ar-SA"/>
    </w:rPr>
  </w:style>
  <w:style w:styleId="ListParagraph" w:type="paragraph">
    <w:name w:val="List Paragraph"/>
    <w:basedOn w:val="Normal"/>
    <w:uiPriority w:val="1"/>
    <w:qFormat/>
    <w:pPr>
      <w:ind w:left="755" w:hanging="315"/>
    </w:pPr>
    <w:rPr>
      <w:rFonts w:ascii="Calibri" w:hAnsi="Calibri" w:eastAsia="Calibri" w:cs="Calibri"/>
      <w:lang w:val="en-US" w:eastAsia="en-US" w:bidi="ar-SA"/>
    </w:rPr>
  </w:style>
  <w:style w:styleId="TableParagraph" w:type="paragraph">
    <w:name w:val="Table Paragraph"/>
    <w:basedOn w:val="Normal"/>
    <w:uiPriority w:val="1"/>
    <w:qFormat/>
    <w:pPr>
      <w:spacing w:before="79"/>
      <w:ind w:left="102"/>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qing.shen@stonybrook.edu" TargetMode="External"/><Relationship Id="rId8" Type="http://schemas.openxmlformats.org/officeDocument/2006/relationships/hyperlink" Target="mailto:sasc@Stonybrook.edu" TargetMode="External"/><Relationship Id="rId9" Type="http://schemas.openxmlformats.org/officeDocument/2006/relationships/hyperlink" Target="https://www.stonybrook.edu/commcms/academic_integrity/index.html" TargetMode="External"/><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2025-10-29T17:30:53Z</dcterms:created>
  <dcterms:modified xsi:type="dcterms:W3CDTF">2025-10-29T17:30:53Z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Acrobat PDFMaker 20 for Word</vt:lpwstr>
  </property>
  <property fmtid="{D5CDD505-2E9C-101B-9397-08002B2CF9AE}" pid="4" name="LastSaved">
    <vt:filetime>2025-10-29T00:00:00Z</vt:filetime>
  </property>
  <property fmtid="{D5CDD505-2E9C-101B-9397-08002B2CF9AE}" pid="5" name="Producer">
    <vt:lpwstr>Adobe PDF Library 20.5.110</vt:lpwstr>
  </property>
  <property fmtid="{D5CDD505-2E9C-101B-9397-08002B2CF9AE}" pid="6" name="SourceModified">
    <vt:lpwstr>D:20240311220726</vt:lpwstr>
  </property>
</Properties>
</file>