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3"/>
        </w:rPr>
        <w:t> </w:t>
      </w:r>
      <w:r>
        <w:rPr/>
        <w:t>372</w:t>
      </w:r>
      <w:r>
        <w:rPr>
          <w:spacing w:val="-1"/>
        </w:rPr>
        <w:t> </w:t>
      </w:r>
      <w:r>
        <w:rPr>
          <w:spacing w:val="-2"/>
        </w:rPr>
        <w:t>Electronics</w:t>
      </w:r>
    </w:p>
    <w:p>
      <w:pPr>
        <w:spacing w:line="273" w:lineRule="exact" w:before="0"/>
        <w:ind w:left="0" w:right="358" w:firstLine="0"/>
        <w:jc w:val="center"/>
        <w:rPr>
          <w:sz w:val="24"/>
        </w:rPr>
      </w:pPr>
      <w:r>
        <w:rPr>
          <w:sz w:val="24"/>
        </w:rPr>
        <w:t>Spring</w:t>
      </w:r>
      <w:r>
        <w:rPr>
          <w:spacing w:val="-3"/>
          <w:sz w:val="24"/>
        </w:rPr>
        <w:t> </w:t>
      </w:r>
      <w:r>
        <w:rPr>
          <w:spacing w:val="-4"/>
          <w:sz w:val="24"/>
        </w:rPr>
        <w:t>2017</w:t>
      </w:r>
    </w:p>
    <w:p>
      <w:pPr>
        <w:pStyle w:val="BodyText"/>
        <w:rPr>
          <w:sz w:val="24"/>
        </w:rPr>
      </w:pPr>
    </w:p>
    <w:p>
      <w:pPr>
        <w:spacing w:before="1"/>
        <w:ind w:left="0" w:right="360" w:firstLine="0"/>
        <w:jc w:val="both"/>
        <w:rPr>
          <w:sz w:val="24"/>
        </w:rPr>
      </w:pPr>
      <w:r>
        <w:rPr>
          <w:sz w:val="24"/>
        </w:rPr>
        <w:t>The pertinent elements of solid-state physics and circuit theory are reviewed and applied to the study of electronic devices and circuits, including junction diodes, transistors, and gate and electronic switches; large- and small-signal analysis of amplifiers; amplifier frequency response; and rectifiers and wave-shaping circuits.</w:t>
      </w:r>
    </w:p>
    <w:p>
      <w:pPr>
        <w:spacing w:before="276"/>
        <w:ind w:left="0" w:right="365" w:firstLine="0"/>
        <w:jc w:val="both"/>
        <w:rPr>
          <w:sz w:val="24"/>
        </w:rPr>
      </w:pPr>
      <w:r>
        <w:rPr>
          <w:sz w:val="24"/>
        </w:rPr>
        <w:t>The course is designed to provide the necessary theoretical support for lab courses ESE 211, 314 and 324.</w:t>
      </w:r>
    </w:p>
    <w:p>
      <w:pPr>
        <w:pStyle w:val="BodyText"/>
        <w:spacing w:before="7"/>
        <w:rPr>
          <w:sz w:val="24"/>
        </w:rPr>
      </w:pPr>
    </w:p>
    <w:p>
      <w:pPr>
        <w:pStyle w:val="BodyText"/>
        <w:tabs>
          <w:tab w:pos="2880" w:val="left" w:leader="none"/>
        </w:tabs>
        <w:spacing w:line="237" w:lineRule="auto"/>
        <w:ind w:left="2881" w:right="2011" w:hanging="2881"/>
      </w:pPr>
      <w:r>
        <w:rPr>
          <w:b/>
          <w:sz w:val="24"/>
        </w:rPr>
        <w:t>Text Books:</w:t>
        <w:tab/>
      </w:r>
      <w:r>
        <w:rPr/>
        <w:t>A.S.</w:t>
      </w:r>
      <w:r>
        <w:rPr>
          <w:spacing w:val="-10"/>
        </w:rPr>
        <w:t> </w:t>
      </w:r>
      <w:r>
        <w:rPr/>
        <w:t>Sedra,</w:t>
      </w:r>
      <w:r>
        <w:rPr>
          <w:spacing w:val="-9"/>
        </w:rPr>
        <w:t> </w:t>
      </w:r>
      <w:r>
        <w:rPr/>
        <w:t>K.C.</w:t>
      </w:r>
      <w:r>
        <w:rPr>
          <w:spacing w:val="-10"/>
        </w:rPr>
        <w:t> </w:t>
      </w:r>
      <w:r>
        <w:rPr/>
        <w:t>Smith,</w:t>
      </w:r>
      <w:r>
        <w:rPr>
          <w:spacing w:val="-6"/>
        </w:rPr>
        <w:t> </w:t>
      </w:r>
      <w:r>
        <w:rPr/>
        <w:t>“Microelectronic</w:t>
      </w:r>
      <w:r>
        <w:rPr>
          <w:spacing w:val="-10"/>
        </w:rPr>
        <w:t> </w:t>
      </w:r>
      <w:r>
        <w:rPr/>
        <w:t>circuits”, 7</w:t>
      </w:r>
      <w:r>
        <w:rPr>
          <w:vertAlign w:val="superscript"/>
        </w:rPr>
        <w:t>th</w:t>
      </w:r>
      <w:r>
        <w:rPr>
          <w:vertAlign w:val="baseline"/>
        </w:rPr>
        <w:t> edition, Oxford, ISBN 978-0-19-933913-6</w:t>
      </w:r>
    </w:p>
    <w:p>
      <w:pPr>
        <w:tabs>
          <w:tab w:pos="2880" w:val="left" w:leader="none"/>
        </w:tabs>
        <w:spacing w:before="229"/>
        <w:ind w:left="0" w:right="0" w:firstLine="0"/>
        <w:jc w:val="both"/>
        <w:rPr>
          <w:sz w:val="24"/>
        </w:rPr>
      </w:pPr>
      <w:r>
        <w:rPr>
          <w:b/>
          <w:spacing w:val="-2"/>
          <w:sz w:val="24"/>
        </w:rPr>
        <w:t>Prerequisites</w:t>
      </w:r>
      <w:r>
        <w:rPr>
          <w:spacing w:val="-2"/>
          <w:sz w:val="24"/>
        </w:rPr>
        <w:t>:</w:t>
      </w:r>
      <w:r>
        <w:rPr>
          <w:sz w:val="24"/>
        </w:rPr>
        <w:tab/>
        <w:t>ESE </w:t>
      </w:r>
      <w:r>
        <w:rPr>
          <w:spacing w:val="-5"/>
          <w:sz w:val="24"/>
        </w:rPr>
        <w:t>271</w:t>
      </w:r>
    </w:p>
    <w:p>
      <w:pPr>
        <w:tabs>
          <w:tab w:pos="2880" w:val="left" w:leader="none"/>
        </w:tabs>
        <w:spacing w:before="0"/>
        <w:ind w:left="0" w:right="0" w:firstLine="0"/>
        <w:jc w:val="both"/>
        <w:rPr>
          <w:sz w:val="24"/>
        </w:rPr>
      </w:pPr>
      <w:r>
        <w:rPr>
          <w:b/>
          <w:spacing w:val="-2"/>
          <w:sz w:val="24"/>
        </w:rPr>
        <w:t>Corequisites:</w:t>
      </w:r>
      <w:r>
        <w:rPr>
          <w:b/>
          <w:sz w:val="24"/>
        </w:rPr>
        <w:tab/>
      </w:r>
      <w:r>
        <w:rPr>
          <w:sz w:val="24"/>
        </w:rPr>
        <w:t>ESE</w:t>
      </w:r>
      <w:r>
        <w:rPr>
          <w:spacing w:val="-1"/>
          <w:sz w:val="24"/>
        </w:rPr>
        <w:t> </w:t>
      </w:r>
      <w:r>
        <w:rPr>
          <w:sz w:val="24"/>
        </w:rPr>
        <w:t>211 for</w:t>
      </w:r>
      <w:r>
        <w:rPr>
          <w:spacing w:val="-2"/>
          <w:sz w:val="24"/>
        </w:rPr>
        <w:t> </w:t>
      </w:r>
      <w:r>
        <w:rPr>
          <w:sz w:val="24"/>
        </w:rPr>
        <w:t>ECE/ESE majors </w:t>
      </w:r>
      <w:r>
        <w:rPr>
          <w:spacing w:val="-4"/>
          <w:sz w:val="24"/>
        </w:rPr>
        <w:t>only</w:t>
      </w:r>
    </w:p>
    <w:p>
      <w:pPr>
        <w:pStyle w:val="BodyText"/>
        <w:tabs>
          <w:tab w:pos="1800" w:val="left" w:leader="none"/>
        </w:tabs>
        <w:spacing w:line="237" w:lineRule="auto" w:before="238"/>
        <w:ind w:left="1800" w:right="366" w:hanging="1800"/>
        <w:jc w:val="both"/>
      </w:pPr>
      <w:r>
        <w:rPr>
          <w:b/>
          <w:spacing w:val="-2"/>
          <w:sz w:val="24"/>
        </w:rPr>
        <w:t>Goals:</w:t>
      </w:r>
      <w:r>
        <w:rPr>
          <w:b/>
          <w:sz w:val="24"/>
        </w:rPr>
        <w:tab/>
      </w:r>
      <w:r>
        <w:rPr/>
        <w:t>To develop perception of the role and performance of semiconductor devices in modern electronics. To build the foundation for design and analysis of an advanced integrated circuits.</w:t>
      </w:r>
    </w:p>
    <w:p>
      <w:pPr>
        <w:pStyle w:val="BodyText"/>
        <w:spacing w:before="6"/>
      </w:pPr>
    </w:p>
    <w:p>
      <w:pPr>
        <w:pStyle w:val="Heading2"/>
        <w:spacing w:line="274" w:lineRule="exact"/>
        <w:jc w:val="both"/>
      </w:pPr>
      <w:r>
        <w:rPr/>
        <w:t>Course</w:t>
      </w:r>
      <w:r>
        <w:rPr>
          <w:spacing w:val="-3"/>
        </w:rPr>
        <w:t> </w:t>
      </w:r>
      <w:r>
        <w:rPr/>
        <w:t>Learning </w:t>
      </w:r>
      <w:r>
        <w:rPr>
          <w:spacing w:val="-2"/>
        </w:rPr>
        <w:t>Outcomes:</w:t>
      </w:r>
    </w:p>
    <w:p>
      <w:pPr>
        <w:pStyle w:val="BodyText"/>
        <w:ind w:left="1800" w:right="361"/>
        <w:jc w:val="both"/>
      </w:pPr>
      <w:r>
        <w:rPr/>
        <w:t>Ability</w:t>
      </w:r>
      <w:r>
        <w:rPr>
          <w:spacing w:val="-1"/>
        </w:rPr>
        <w:t> </w:t>
      </w:r>
      <w:r>
        <w:rPr/>
        <w:t>to</w:t>
      </w:r>
      <w:r>
        <w:rPr>
          <w:spacing w:val="-1"/>
        </w:rPr>
        <w:t> </w:t>
      </w:r>
      <w:r>
        <w:rPr/>
        <w:t>design</w:t>
      </w:r>
      <w:r>
        <w:rPr>
          <w:spacing w:val="-1"/>
        </w:rPr>
        <w:t> </w:t>
      </w:r>
      <w:r>
        <w:rPr/>
        <w:t>and</w:t>
      </w:r>
      <w:r>
        <w:rPr>
          <w:spacing w:val="-1"/>
        </w:rPr>
        <w:t> </w:t>
      </w:r>
      <w:r>
        <w:rPr/>
        <w:t>analyze rectifying</w:t>
      </w:r>
      <w:r>
        <w:rPr>
          <w:spacing w:val="-2"/>
        </w:rPr>
        <w:t> </w:t>
      </w:r>
      <w:r>
        <w:rPr/>
        <w:t>and signal shaping</w:t>
      </w:r>
      <w:r>
        <w:rPr>
          <w:spacing w:val="-1"/>
        </w:rPr>
        <w:t> </w:t>
      </w:r>
      <w:r>
        <w:rPr/>
        <w:t>circuits. Ability</w:t>
      </w:r>
      <w:r>
        <w:rPr>
          <w:spacing w:val="-2"/>
        </w:rPr>
        <w:t> </w:t>
      </w:r>
      <w:r>
        <w:rPr/>
        <w:t>to</w:t>
      </w:r>
      <w:r>
        <w:rPr>
          <w:spacing w:val="-1"/>
        </w:rPr>
        <w:t> </w:t>
      </w:r>
      <w:r>
        <w:rPr/>
        <w:t>design and analyze single stage amplifier circuits based on bipolar junction and field effect transistors. Ability to control the frequency response of the filter and amplifier </w:t>
      </w:r>
      <w:r>
        <w:rPr>
          <w:spacing w:val="-2"/>
        </w:rPr>
        <w:t>circuits.</w:t>
      </w:r>
    </w:p>
    <w:p>
      <w:pPr>
        <w:pStyle w:val="Heading2"/>
        <w:spacing w:before="232" w:after="3"/>
      </w:pPr>
      <w:r>
        <w:rPr/>
        <w:t>Topics </w:t>
      </w:r>
      <w:r>
        <w:rPr>
          <w:spacing w:val="-2"/>
        </w:rPr>
        <w:t>Covered:</w:t>
      </w: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50"/>
      </w:tblGrid>
      <w:tr>
        <w:trPr>
          <w:trHeight w:val="278" w:hRule="atLeast"/>
        </w:trPr>
        <w:tc>
          <w:tcPr>
            <w:tcW w:w="8550" w:type="dxa"/>
          </w:tcPr>
          <w:p>
            <w:pPr>
              <w:pStyle w:val="TableParagraph"/>
              <w:rPr>
                <w:sz w:val="20"/>
              </w:rPr>
            </w:pPr>
            <w:r>
              <w:rPr>
                <w:sz w:val="20"/>
              </w:rPr>
              <w:t>Basic</w:t>
            </w:r>
            <w:r>
              <w:rPr>
                <w:spacing w:val="-7"/>
                <w:sz w:val="20"/>
              </w:rPr>
              <w:t> </w:t>
            </w:r>
            <w:r>
              <w:rPr>
                <w:sz w:val="20"/>
              </w:rPr>
              <w:t>circuit</w:t>
            </w:r>
            <w:r>
              <w:rPr>
                <w:spacing w:val="-6"/>
                <w:sz w:val="20"/>
              </w:rPr>
              <w:t> </w:t>
            </w:r>
            <w:r>
              <w:rPr>
                <w:sz w:val="20"/>
              </w:rPr>
              <w:t>elements.</w:t>
            </w:r>
            <w:r>
              <w:rPr>
                <w:spacing w:val="-6"/>
                <w:sz w:val="20"/>
              </w:rPr>
              <w:t> </w:t>
            </w:r>
            <w:r>
              <w:rPr>
                <w:sz w:val="20"/>
              </w:rPr>
              <w:t>Signals</w:t>
            </w:r>
            <w:r>
              <w:rPr>
                <w:spacing w:val="-4"/>
                <w:sz w:val="20"/>
              </w:rPr>
              <w:t> </w:t>
            </w:r>
            <w:r>
              <w:rPr>
                <w:sz w:val="20"/>
              </w:rPr>
              <w:t>in</w:t>
            </w:r>
            <w:r>
              <w:rPr>
                <w:spacing w:val="-7"/>
                <w:sz w:val="20"/>
              </w:rPr>
              <w:t> </w:t>
            </w:r>
            <w:r>
              <w:rPr>
                <w:sz w:val="20"/>
              </w:rPr>
              <w:t>time</w:t>
            </w:r>
            <w:r>
              <w:rPr>
                <w:spacing w:val="-6"/>
                <w:sz w:val="20"/>
              </w:rPr>
              <w:t> </w:t>
            </w:r>
            <w:r>
              <w:rPr>
                <w:sz w:val="20"/>
              </w:rPr>
              <w:t>and</w:t>
            </w:r>
            <w:r>
              <w:rPr>
                <w:spacing w:val="-4"/>
                <w:sz w:val="20"/>
              </w:rPr>
              <w:t> </w:t>
            </w:r>
            <w:r>
              <w:rPr>
                <w:sz w:val="20"/>
              </w:rPr>
              <w:t>frequency</w:t>
            </w:r>
            <w:r>
              <w:rPr>
                <w:spacing w:val="-7"/>
                <w:sz w:val="20"/>
              </w:rPr>
              <w:t> </w:t>
            </w:r>
            <w:r>
              <w:rPr>
                <w:spacing w:val="-2"/>
                <w:sz w:val="20"/>
              </w:rPr>
              <w:t>domains.</w:t>
            </w:r>
          </w:p>
        </w:tc>
      </w:tr>
      <w:tr>
        <w:trPr>
          <w:trHeight w:val="277" w:hRule="atLeast"/>
        </w:trPr>
        <w:tc>
          <w:tcPr>
            <w:tcW w:w="8550" w:type="dxa"/>
          </w:tcPr>
          <w:p>
            <w:pPr>
              <w:pStyle w:val="TableParagraph"/>
              <w:rPr>
                <w:sz w:val="20"/>
              </w:rPr>
            </w:pPr>
            <w:r>
              <w:rPr>
                <w:sz w:val="20"/>
              </w:rPr>
              <w:t>Amplifiers</w:t>
            </w:r>
            <w:r>
              <w:rPr>
                <w:spacing w:val="-8"/>
                <w:sz w:val="20"/>
              </w:rPr>
              <w:t> </w:t>
            </w:r>
            <w:r>
              <w:rPr>
                <w:sz w:val="20"/>
              </w:rPr>
              <w:t>and</w:t>
            </w:r>
            <w:r>
              <w:rPr>
                <w:spacing w:val="-6"/>
                <w:sz w:val="20"/>
              </w:rPr>
              <w:t> </w:t>
            </w:r>
            <w:r>
              <w:rPr>
                <w:sz w:val="20"/>
              </w:rPr>
              <w:t>their</w:t>
            </w:r>
            <w:r>
              <w:rPr>
                <w:spacing w:val="-6"/>
                <w:sz w:val="20"/>
              </w:rPr>
              <w:t> </w:t>
            </w:r>
            <w:r>
              <w:rPr>
                <w:sz w:val="20"/>
              </w:rPr>
              <w:t>frequency</w:t>
            </w:r>
            <w:r>
              <w:rPr>
                <w:spacing w:val="-8"/>
                <w:sz w:val="20"/>
              </w:rPr>
              <w:t> </w:t>
            </w:r>
            <w:r>
              <w:rPr>
                <w:sz w:val="20"/>
              </w:rPr>
              <w:t>response.</w:t>
            </w:r>
            <w:r>
              <w:rPr>
                <w:spacing w:val="-6"/>
                <w:sz w:val="20"/>
              </w:rPr>
              <w:t> </w:t>
            </w:r>
            <w:r>
              <w:rPr>
                <w:sz w:val="20"/>
              </w:rPr>
              <w:t>Circuits</w:t>
            </w:r>
            <w:r>
              <w:rPr>
                <w:spacing w:val="-5"/>
                <w:sz w:val="20"/>
              </w:rPr>
              <w:t> </w:t>
            </w:r>
            <w:r>
              <w:rPr>
                <w:sz w:val="20"/>
              </w:rPr>
              <w:t>with</w:t>
            </w:r>
            <w:r>
              <w:rPr>
                <w:spacing w:val="-8"/>
                <w:sz w:val="20"/>
              </w:rPr>
              <w:t> </w:t>
            </w:r>
            <w:r>
              <w:rPr>
                <w:spacing w:val="-2"/>
                <w:sz w:val="20"/>
              </w:rPr>
              <w:t>OpAmps.</w:t>
            </w:r>
          </w:p>
        </w:tc>
      </w:tr>
      <w:tr>
        <w:trPr>
          <w:trHeight w:val="278" w:hRule="atLeast"/>
        </w:trPr>
        <w:tc>
          <w:tcPr>
            <w:tcW w:w="8550" w:type="dxa"/>
          </w:tcPr>
          <w:p>
            <w:pPr>
              <w:pStyle w:val="TableParagraph"/>
              <w:rPr>
                <w:sz w:val="20"/>
              </w:rPr>
            </w:pPr>
            <w:r>
              <w:rPr>
                <w:sz w:val="20"/>
              </w:rPr>
              <w:t>Introduction</w:t>
            </w:r>
            <w:r>
              <w:rPr>
                <w:spacing w:val="-8"/>
                <w:sz w:val="20"/>
              </w:rPr>
              <w:t> </w:t>
            </w:r>
            <w:r>
              <w:rPr>
                <w:sz w:val="20"/>
              </w:rPr>
              <w:t>to</w:t>
            </w:r>
            <w:r>
              <w:rPr>
                <w:spacing w:val="-6"/>
                <w:sz w:val="20"/>
              </w:rPr>
              <w:t> </w:t>
            </w:r>
            <w:r>
              <w:rPr>
                <w:sz w:val="20"/>
              </w:rPr>
              <w:t>semiconductors.</w:t>
            </w:r>
            <w:r>
              <w:rPr>
                <w:spacing w:val="-6"/>
                <w:sz w:val="20"/>
              </w:rPr>
              <w:t> </w:t>
            </w:r>
            <w:r>
              <w:rPr>
                <w:sz w:val="20"/>
              </w:rPr>
              <w:t>Electric</w:t>
            </w:r>
            <w:r>
              <w:rPr>
                <w:spacing w:val="-7"/>
                <w:sz w:val="20"/>
              </w:rPr>
              <w:t> </w:t>
            </w:r>
            <w:r>
              <w:rPr>
                <w:sz w:val="20"/>
              </w:rPr>
              <w:t>current</w:t>
            </w:r>
            <w:r>
              <w:rPr>
                <w:spacing w:val="-7"/>
                <w:sz w:val="20"/>
              </w:rPr>
              <w:t> </w:t>
            </w:r>
            <w:r>
              <w:rPr>
                <w:sz w:val="20"/>
              </w:rPr>
              <w:t>in</w:t>
            </w:r>
            <w:r>
              <w:rPr>
                <w:spacing w:val="-7"/>
                <w:sz w:val="20"/>
              </w:rPr>
              <w:t> </w:t>
            </w:r>
            <w:r>
              <w:rPr>
                <w:spacing w:val="-2"/>
                <w:sz w:val="20"/>
              </w:rPr>
              <w:t>semiconductors.</w:t>
            </w:r>
          </w:p>
        </w:tc>
      </w:tr>
      <w:tr>
        <w:trPr>
          <w:trHeight w:val="277" w:hRule="atLeast"/>
        </w:trPr>
        <w:tc>
          <w:tcPr>
            <w:tcW w:w="8550" w:type="dxa"/>
          </w:tcPr>
          <w:p>
            <w:pPr>
              <w:pStyle w:val="TableParagraph"/>
              <w:rPr>
                <w:sz w:val="20"/>
              </w:rPr>
            </w:pPr>
            <w:r>
              <w:rPr>
                <w:sz w:val="20"/>
              </w:rPr>
              <w:t>Pn-junction</w:t>
            </w:r>
            <w:r>
              <w:rPr>
                <w:spacing w:val="-8"/>
                <w:sz w:val="20"/>
              </w:rPr>
              <w:t> </w:t>
            </w:r>
            <w:r>
              <w:rPr>
                <w:sz w:val="20"/>
              </w:rPr>
              <w:t>diodes.</w:t>
            </w:r>
            <w:r>
              <w:rPr>
                <w:spacing w:val="-4"/>
                <w:sz w:val="20"/>
              </w:rPr>
              <w:t> </w:t>
            </w:r>
            <w:r>
              <w:rPr>
                <w:sz w:val="20"/>
              </w:rPr>
              <w:t>Schottky</w:t>
            </w:r>
            <w:r>
              <w:rPr>
                <w:spacing w:val="-10"/>
                <w:sz w:val="20"/>
              </w:rPr>
              <w:t> </w:t>
            </w:r>
            <w:r>
              <w:rPr>
                <w:sz w:val="20"/>
              </w:rPr>
              <w:t>and</w:t>
            </w:r>
            <w:r>
              <w:rPr>
                <w:spacing w:val="-5"/>
                <w:sz w:val="20"/>
              </w:rPr>
              <w:t> </w:t>
            </w:r>
            <w:r>
              <w:rPr>
                <w:sz w:val="20"/>
              </w:rPr>
              <w:t>Zener</w:t>
            </w:r>
            <w:r>
              <w:rPr>
                <w:spacing w:val="-5"/>
                <w:sz w:val="20"/>
              </w:rPr>
              <w:t> </w:t>
            </w:r>
            <w:r>
              <w:rPr>
                <w:spacing w:val="-2"/>
                <w:sz w:val="20"/>
              </w:rPr>
              <w:t>diodes.</w:t>
            </w:r>
          </w:p>
        </w:tc>
      </w:tr>
      <w:tr>
        <w:trPr>
          <w:trHeight w:val="277" w:hRule="atLeast"/>
        </w:trPr>
        <w:tc>
          <w:tcPr>
            <w:tcW w:w="8550" w:type="dxa"/>
          </w:tcPr>
          <w:p>
            <w:pPr>
              <w:pStyle w:val="TableParagraph"/>
              <w:rPr>
                <w:sz w:val="20"/>
              </w:rPr>
            </w:pPr>
            <w:r>
              <w:rPr>
                <w:sz w:val="20"/>
              </w:rPr>
              <w:t>Rectifiers</w:t>
            </w:r>
            <w:r>
              <w:rPr>
                <w:spacing w:val="-7"/>
                <w:sz w:val="20"/>
              </w:rPr>
              <w:t> </w:t>
            </w:r>
            <w:r>
              <w:rPr>
                <w:sz w:val="20"/>
              </w:rPr>
              <w:t>and</w:t>
            </w:r>
            <w:r>
              <w:rPr>
                <w:spacing w:val="-4"/>
                <w:sz w:val="20"/>
              </w:rPr>
              <w:t> </w:t>
            </w:r>
            <w:r>
              <w:rPr>
                <w:sz w:val="20"/>
              </w:rPr>
              <w:t>other</w:t>
            </w:r>
            <w:r>
              <w:rPr>
                <w:spacing w:val="-4"/>
                <w:sz w:val="20"/>
              </w:rPr>
              <w:t> </w:t>
            </w:r>
            <w:r>
              <w:rPr>
                <w:sz w:val="20"/>
              </w:rPr>
              <w:t>diode</w:t>
            </w:r>
            <w:r>
              <w:rPr>
                <w:spacing w:val="-6"/>
                <w:sz w:val="20"/>
              </w:rPr>
              <w:t> </w:t>
            </w:r>
            <w:r>
              <w:rPr>
                <w:spacing w:val="-2"/>
                <w:sz w:val="20"/>
              </w:rPr>
              <w:t>circuits.</w:t>
            </w:r>
          </w:p>
        </w:tc>
      </w:tr>
      <w:tr>
        <w:trPr>
          <w:trHeight w:val="278" w:hRule="atLeast"/>
        </w:trPr>
        <w:tc>
          <w:tcPr>
            <w:tcW w:w="8550" w:type="dxa"/>
          </w:tcPr>
          <w:p>
            <w:pPr>
              <w:pStyle w:val="TableParagraph"/>
              <w:rPr>
                <w:sz w:val="20"/>
              </w:rPr>
            </w:pPr>
            <w:r>
              <w:rPr>
                <w:sz w:val="20"/>
              </w:rPr>
              <w:t>Operation</w:t>
            </w:r>
            <w:r>
              <w:rPr>
                <w:spacing w:val="-7"/>
                <w:sz w:val="20"/>
              </w:rPr>
              <w:t> </w:t>
            </w:r>
            <w:r>
              <w:rPr>
                <w:sz w:val="20"/>
              </w:rPr>
              <w:t>of</w:t>
            </w:r>
            <w:r>
              <w:rPr>
                <w:spacing w:val="-7"/>
                <w:sz w:val="20"/>
              </w:rPr>
              <w:t> </w:t>
            </w:r>
            <w:r>
              <w:rPr>
                <w:sz w:val="20"/>
              </w:rPr>
              <w:t>Bipolar</w:t>
            </w:r>
            <w:r>
              <w:rPr>
                <w:spacing w:val="-5"/>
                <w:sz w:val="20"/>
              </w:rPr>
              <w:t> </w:t>
            </w:r>
            <w:r>
              <w:rPr>
                <w:sz w:val="20"/>
              </w:rPr>
              <w:t>Junction</w:t>
            </w:r>
            <w:r>
              <w:rPr>
                <w:spacing w:val="-6"/>
                <w:sz w:val="20"/>
              </w:rPr>
              <w:t> </w:t>
            </w:r>
            <w:r>
              <w:rPr>
                <w:sz w:val="20"/>
              </w:rPr>
              <w:t>Transistor</w:t>
            </w:r>
            <w:r>
              <w:rPr>
                <w:spacing w:val="-1"/>
                <w:sz w:val="20"/>
              </w:rPr>
              <w:t> </w:t>
            </w:r>
            <w:r>
              <w:rPr>
                <w:spacing w:val="-2"/>
                <w:sz w:val="20"/>
              </w:rPr>
              <w:t>(BJT).</w:t>
            </w:r>
          </w:p>
        </w:tc>
      </w:tr>
      <w:tr>
        <w:trPr>
          <w:trHeight w:val="277" w:hRule="atLeast"/>
        </w:trPr>
        <w:tc>
          <w:tcPr>
            <w:tcW w:w="8550" w:type="dxa"/>
          </w:tcPr>
          <w:p>
            <w:pPr>
              <w:pStyle w:val="TableParagraph"/>
              <w:rPr>
                <w:sz w:val="20"/>
              </w:rPr>
            </w:pPr>
            <w:r>
              <w:rPr>
                <w:sz w:val="20"/>
              </w:rPr>
              <w:t>BJT</w:t>
            </w:r>
            <w:r>
              <w:rPr>
                <w:spacing w:val="-3"/>
                <w:sz w:val="20"/>
              </w:rPr>
              <w:t> </w:t>
            </w:r>
            <w:r>
              <w:rPr>
                <w:sz w:val="20"/>
              </w:rPr>
              <w:t>input/output</w:t>
            </w:r>
            <w:r>
              <w:rPr>
                <w:spacing w:val="-7"/>
                <w:sz w:val="20"/>
              </w:rPr>
              <w:t> </w:t>
            </w:r>
            <w:r>
              <w:rPr>
                <w:sz w:val="20"/>
              </w:rPr>
              <w:t>characteristics.</w:t>
            </w:r>
            <w:r>
              <w:rPr>
                <w:spacing w:val="-5"/>
                <w:sz w:val="20"/>
              </w:rPr>
              <w:t> </w:t>
            </w:r>
            <w:r>
              <w:rPr>
                <w:sz w:val="20"/>
              </w:rPr>
              <w:t>Bias</w:t>
            </w:r>
            <w:r>
              <w:rPr>
                <w:spacing w:val="-7"/>
                <w:sz w:val="20"/>
              </w:rPr>
              <w:t> </w:t>
            </w:r>
            <w:r>
              <w:rPr>
                <w:sz w:val="20"/>
              </w:rPr>
              <w:t>of</w:t>
            </w:r>
            <w:r>
              <w:rPr>
                <w:spacing w:val="-7"/>
                <w:sz w:val="20"/>
              </w:rPr>
              <w:t> </w:t>
            </w:r>
            <w:r>
              <w:rPr>
                <w:sz w:val="20"/>
              </w:rPr>
              <w:t>BJT</w:t>
            </w:r>
            <w:r>
              <w:rPr>
                <w:spacing w:val="-3"/>
                <w:sz w:val="20"/>
              </w:rPr>
              <w:t> </w:t>
            </w:r>
            <w:r>
              <w:rPr>
                <w:spacing w:val="-2"/>
                <w:sz w:val="20"/>
              </w:rPr>
              <w:t>circuits.</w:t>
            </w:r>
          </w:p>
        </w:tc>
      </w:tr>
      <w:tr>
        <w:trPr>
          <w:trHeight w:val="278" w:hRule="atLeast"/>
        </w:trPr>
        <w:tc>
          <w:tcPr>
            <w:tcW w:w="8550" w:type="dxa"/>
          </w:tcPr>
          <w:p>
            <w:pPr>
              <w:pStyle w:val="TableParagraph"/>
              <w:rPr>
                <w:sz w:val="20"/>
              </w:rPr>
            </w:pPr>
            <w:r>
              <w:rPr>
                <w:sz w:val="20"/>
              </w:rPr>
              <w:t>BJT</w:t>
            </w:r>
            <w:r>
              <w:rPr>
                <w:spacing w:val="-4"/>
                <w:sz w:val="20"/>
              </w:rPr>
              <w:t> </w:t>
            </w:r>
            <w:r>
              <w:rPr>
                <w:sz w:val="20"/>
              </w:rPr>
              <w:t>small</w:t>
            </w:r>
            <w:r>
              <w:rPr>
                <w:spacing w:val="-5"/>
                <w:sz w:val="20"/>
              </w:rPr>
              <w:t> </w:t>
            </w:r>
            <w:r>
              <w:rPr>
                <w:sz w:val="20"/>
              </w:rPr>
              <w:t>signal</w:t>
            </w:r>
            <w:r>
              <w:rPr>
                <w:spacing w:val="-6"/>
                <w:sz w:val="20"/>
              </w:rPr>
              <w:t> </w:t>
            </w:r>
            <w:r>
              <w:rPr>
                <w:sz w:val="20"/>
              </w:rPr>
              <w:t>parameters.</w:t>
            </w:r>
            <w:r>
              <w:rPr>
                <w:spacing w:val="-7"/>
                <w:sz w:val="20"/>
              </w:rPr>
              <w:t> </w:t>
            </w:r>
            <w:r>
              <w:rPr>
                <w:sz w:val="20"/>
              </w:rPr>
              <w:t>Common</w:t>
            </w:r>
            <w:r>
              <w:rPr>
                <w:spacing w:val="-4"/>
                <w:sz w:val="20"/>
              </w:rPr>
              <w:t> </w:t>
            </w:r>
            <w:r>
              <w:rPr>
                <w:sz w:val="20"/>
              </w:rPr>
              <w:t>Emitter</w:t>
            </w:r>
            <w:r>
              <w:rPr>
                <w:spacing w:val="-6"/>
                <w:sz w:val="20"/>
              </w:rPr>
              <w:t> </w:t>
            </w:r>
            <w:r>
              <w:rPr>
                <w:sz w:val="20"/>
              </w:rPr>
              <w:t>(CE)</w:t>
            </w:r>
            <w:r>
              <w:rPr>
                <w:spacing w:val="-6"/>
                <w:sz w:val="20"/>
              </w:rPr>
              <w:t> </w:t>
            </w:r>
            <w:r>
              <w:rPr>
                <w:spacing w:val="-2"/>
                <w:sz w:val="20"/>
              </w:rPr>
              <w:t>amplifier.</w:t>
            </w:r>
          </w:p>
        </w:tc>
      </w:tr>
      <w:tr>
        <w:trPr>
          <w:trHeight w:val="277" w:hRule="atLeast"/>
        </w:trPr>
        <w:tc>
          <w:tcPr>
            <w:tcW w:w="8550" w:type="dxa"/>
          </w:tcPr>
          <w:p>
            <w:pPr>
              <w:pStyle w:val="TableParagraph"/>
              <w:rPr>
                <w:sz w:val="20"/>
              </w:rPr>
            </w:pPr>
            <w:r>
              <w:rPr>
                <w:sz w:val="20"/>
              </w:rPr>
              <w:t>Common</w:t>
            </w:r>
            <w:r>
              <w:rPr>
                <w:spacing w:val="-5"/>
                <w:sz w:val="20"/>
              </w:rPr>
              <w:t> </w:t>
            </w:r>
            <w:r>
              <w:rPr>
                <w:sz w:val="20"/>
              </w:rPr>
              <w:t>Collector</w:t>
            </w:r>
            <w:r>
              <w:rPr>
                <w:spacing w:val="-4"/>
                <w:sz w:val="20"/>
              </w:rPr>
              <w:t> </w:t>
            </w:r>
            <w:r>
              <w:rPr>
                <w:sz w:val="20"/>
              </w:rPr>
              <w:t>and</w:t>
            </w:r>
            <w:r>
              <w:rPr>
                <w:spacing w:val="-5"/>
                <w:sz w:val="20"/>
              </w:rPr>
              <w:t> </w:t>
            </w:r>
            <w:r>
              <w:rPr>
                <w:sz w:val="20"/>
              </w:rPr>
              <w:t>Common</w:t>
            </w:r>
            <w:r>
              <w:rPr>
                <w:spacing w:val="-7"/>
                <w:sz w:val="20"/>
              </w:rPr>
              <w:t> </w:t>
            </w:r>
            <w:r>
              <w:rPr>
                <w:sz w:val="20"/>
              </w:rPr>
              <w:t>Base</w:t>
            </w:r>
            <w:r>
              <w:rPr>
                <w:spacing w:val="-5"/>
                <w:sz w:val="20"/>
              </w:rPr>
              <w:t> </w:t>
            </w:r>
            <w:r>
              <w:rPr>
                <w:sz w:val="20"/>
              </w:rPr>
              <w:t>amplifiers.</w:t>
            </w:r>
            <w:r>
              <w:rPr>
                <w:spacing w:val="-6"/>
                <w:sz w:val="20"/>
              </w:rPr>
              <w:t> </w:t>
            </w:r>
            <w:r>
              <w:rPr>
                <w:sz w:val="20"/>
              </w:rPr>
              <w:t>Frequency</w:t>
            </w:r>
            <w:r>
              <w:rPr>
                <w:spacing w:val="-9"/>
                <w:sz w:val="20"/>
              </w:rPr>
              <w:t> </w:t>
            </w:r>
            <w:r>
              <w:rPr>
                <w:sz w:val="20"/>
              </w:rPr>
              <w:t>response</w:t>
            </w:r>
            <w:r>
              <w:rPr>
                <w:spacing w:val="-6"/>
                <w:sz w:val="20"/>
              </w:rPr>
              <w:t> </w:t>
            </w:r>
            <w:r>
              <w:rPr>
                <w:sz w:val="20"/>
              </w:rPr>
              <w:t>of</w:t>
            </w:r>
            <w:r>
              <w:rPr>
                <w:spacing w:val="-5"/>
                <w:sz w:val="20"/>
              </w:rPr>
              <w:t> </w:t>
            </w:r>
            <w:r>
              <w:rPr>
                <w:sz w:val="20"/>
              </w:rPr>
              <w:t>CE</w:t>
            </w:r>
            <w:r>
              <w:rPr>
                <w:spacing w:val="-6"/>
                <w:sz w:val="20"/>
              </w:rPr>
              <w:t> </w:t>
            </w:r>
            <w:r>
              <w:rPr>
                <w:spacing w:val="-2"/>
                <w:sz w:val="20"/>
              </w:rPr>
              <w:t>amplifier.</w:t>
            </w:r>
          </w:p>
        </w:tc>
      </w:tr>
      <w:tr>
        <w:trPr>
          <w:trHeight w:val="278" w:hRule="atLeast"/>
        </w:trPr>
        <w:tc>
          <w:tcPr>
            <w:tcW w:w="8550" w:type="dxa"/>
          </w:tcPr>
          <w:p>
            <w:pPr>
              <w:pStyle w:val="TableParagraph"/>
              <w:rPr>
                <w:sz w:val="20"/>
              </w:rPr>
            </w:pPr>
            <w:r>
              <w:rPr>
                <w:sz w:val="20"/>
              </w:rPr>
              <w:t>Operation</w:t>
            </w:r>
            <w:r>
              <w:rPr>
                <w:spacing w:val="-7"/>
                <w:sz w:val="20"/>
              </w:rPr>
              <w:t> </w:t>
            </w:r>
            <w:r>
              <w:rPr>
                <w:sz w:val="20"/>
              </w:rPr>
              <w:t>of</w:t>
            </w:r>
            <w:r>
              <w:rPr>
                <w:spacing w:val="-7"/>
                <w:sz w:val="20"/>
              </w:rPr>
              <w:t> </w:t>
            </w:r>
            <w:r>
              <w:rPr>
                <w:sz w:val="20"/>
              </w:rPr>
              <w:t>Metal</w:t>
            </w:r>
            <w:r>
              <w:rPr>
                <w:spacing w:val="-6"/>
                <w:sz w:val="20"/>
              </w:rPr>
              <w:t> </w:t>
            </w:r>
            <w:r>
              <w:rPr>
                <w:sz w:val="20"/>
              </w:rPr>
              <w:t>Oxide</w:t>
            </w:r>
            <w:r>
              <w:rPr>
                <w:spacing w:val="-5"/>
                <w:sz w:val="20"/>
              </w:rPr>
              <w:t> </w:t>
            </w:r>
            <w:r>
              <w:rPr>
                <w:sz w:val="20"/>
              </w:rPr>
              <w:t>Semiconductor</w:t>
            </w:r>
            <w:r>
              <w:rPr>
                <w:spacing w:val="-3"/>
                <w:sz w:val="20"/>
              </w:rPr>
              <w:t> </w:t>
            </w:r>
            <w:r>
              <w:rPr>
                <w:sz w:val="20"/>
              </w:rPr>
              <w:t>Field</w:t>
            </w:r>
            <w:r>
              <w:rPr>
                <w:spacing w:val="-6"/>
                <w:sz w:val="20"/>
              </w:rPr>
              <w:t> </w:t>
            </w:r>
            <w:r>
              <w:rPr>
                <w:sz w:val="20"/>
              </w:rPr>
              <w:t>Effect</w:t>
            </w:r>
            <w:r>
              <w:rPr>
                <w:spacing w:val="-7"/>
                <w:sz w:val="20"/>
              </w:rPr>
              <w:t> </w:t>
            </w:r>
            <w:r>
              <w:rPr>
                <w:sz w:val="20"/>
              </w:rPr>
              <w:t>Transistor</w:t>
            </w:r>
            <w:r>
              <w:rPr>
                <w:spacing w:val="-3"/>
                <w:sz w:val="20"/>
              </w:rPr>
              <w:t> </w:t>
            </w:r>
            <w:r>
              <w:rPr>
                <w:spacing w:val="-2"/>
                <w:sz w:val="20"/>
              </w:rPr>
              <w:t>(MOSFET).</w:t>
            </w:r>
          </w:p>
        </w:tc>
      </w:tr>
      <w:tr>
        <w:trPr>
          <w:trHeight w:val="278" w:hRule="atLeast"/>
        </w:trPr>
        <w:tc>
          <w:tcPr>
            <w:tcW w:w="8550" w:type="dxa"/>
          </w:tcPr>
          <w:p>
            <w:pPr>
              <w:pStyle w:val="TableParagraph"/>
              <w:rPr>
                <w:sz w:val="20"/>
              </w:rPr>
            </w:pPr>
            <w:r>
              <w:rPr>
                <w:sz w:val="20"/>
              </w:rPr>
              <w:t>MOSFET</w:t>
            </w:r>
            <w:r>
              <w:rPr>
                <w:spacing w:val="-8"/>
                <w:sz w:val="20"/>
              </w:rPr>
              <w:t> </w:t>
            </w:r>
            <w:r>
              <w:rPr>
                <w:sz w:val="20"/>
              </w:rPr>
              <w:t>input/output</w:t>
            </w:r>
            <w:r>
              <w:rPr>
                <w:spacing w:val="-11"/>
                <w:sz w:val="20"/>
              </w:rPr>
              <w:t> </w:t>
            </w:r>
            <w:r>
              <w:rPr>
                <w:sz w:val="20"/>
              </w:rPr>
              <w:t>characteristics.</w:t>
            </w:r>
            <w:r>
              <w:rPr>
                <w:spacing w:val="-9"/>
                <w:sz w:val="20"/>
              </w:rPr>
              <w:t> </w:t>
            </w:r>
            <w:r>
              <w:rPr>
                <w:sz w:val="20"/>
              </w:rPr>
              <w:t>MOSFET</w:t>
            </w:r>
            <w:r>
              <w:rPr>
                <w:spacing w:val="-7"/>
                <w:sz w:val="20"/>
              </w:rPr>
              <w:t> </w:t>
            </w:r>
            <w:r>
              <w:rPr>
                <w:spacing w:val="-2"/>
                <w:sz w:val="20"/>
              </w:rPr>
              <w:t>bias.</w:t>
            </w:r>
          </w:p>
        </w:tc>
      </w:tr>
      <w:tr>
        <w:trPr>
          <w:trHeight w:val="278" w:hRule="atLeast"/>
        </w:trPr>
        <w:tc>
          <w:tcPr>
            <w:tcW w:w="8550" w:type="dxa"/>
          </w:tcPr>
          <w:p>
            <w:pPr>
              <w:pStyle w:val="TableParagraph"/>
              <w:rPr>
                <w:sz w:val="20"/>
              </w:rPr>
            </w:pPr>
            <w:r>
              <w:rPr>
                <w:sz w:val="20"/>
              </w:rPr>
              <w:t>MOSFET</w:t>
            </w:r>
            <w:r>
              <w:rPr>
                <w:spacing w:val="-5"/>
                <w:sz w:val="20"/>
              </w:rPr>
              <w:t> </w:t>
            </w:r>
            <w:r>
              <w:rPr>
                <w:sz w:val="20"/>
              </w:rPr>
              <w:t>small</w:t>
            </w:r>
            <w:r>
              <w:rPr>
                <w:spacing w:val="-8"/>
                <w:sz w:val="20"/>
              </w:rPr>
              <w:t> </w:t>
            </w:r>
            <w:r>
              <w:rPr>
                <w:sz w:val="20"/>
              </w:rPr>
              <w:t>signal</w:t>
            </w:r>
            <w:r>
              <w:rPr>
                <w:spacing w:val="-8"/>
                <w:sz w:val="20"/>
              </w:rPr>
              <w:t> </w:t>
            </w:r>
            <w:r>
              <w:rPr>
                <w:sz w:val="20"/>
              </w:rPr>
              <w:t>parameters.</w:t>
            </w:r>
            <w:r>
              <w:rPr>
                <w:spacing w:val="-4"/>
                <w:sz w:val="20"/>
              </w:rPr>
              <w:t> </w:t>
            </w:r>
            <w:r>
              <w:rPr>
                <w:sz w:val="20"/>
              </w:rPr>
              <w:t>MOSFET</w:t>
            </w:r>
            <w:r>
              <w:rPr>
                <w:spacing w:val="-5"/>
                <w:sz w:val="20"/>
              </w:rPr>
              <w:t> </w:t>
            </w:r>
            <w:r>
              <w:rPr>
                <w:spacing w:val="-2"/>
                <w:sz w:val="20"/>
              </w:rPr>
              <w:t>amplifiers.</w:t>
            </w:r>
          </w:p>
        </w:tc>
      </w:tr>
      <w:tr>
        <w:trPr>
          <w:trHeight w:val="278" w:hRule="atLeast"/>
        </w:trPr>
        <w:tc>
          <w:tcPr>
            <w:tcW w:w="8550" w:type="dxa"/>
          </w:tcPr>
          <w:p>
            <w:pPr>
              <w:pStyle w:val="TableParagraph"/>
              <w:rPr>
                <w:sz w:val="20"/>
              </w:rPr>
            </w:pPr>
            <w:r>
              <w:rPr>
                <w:sz w:val="20"/>
              </w:rPr>
              <w:t>Common</w:t>
            </w:r>
            <w:r>
              <w:rPr>
                <w:spacing w:val="-7"/>
                <w:sz w:val="20"/>
              </w:rPr>
              <w:t> </w:t>
            </w:r>
            <w:r>
              <w:rPr>
                <w:sz w:val="20"/>
              </w:rPr>
              <w:t>Source</w:t>
            </w:r>
            <w:r>
              <w:rPr>
                <w:spacing w:val="-5"/>
                <w:sz w:val="20"/>
              </w:rPr>
              <w:t> </w:t>
            </w:r>
            <w:r>
              <w:rPr>
                <w:sz w:val="20"/>
              </w:rPr>
              <w:t>(CS),</w:t>
            </w:r>
            <w:r>
              <w:rPr>
                <w:spacing w:val="-4"/>
                <w:sz w:val="20"/>
              </w:rPr>
              <w:t> </w:t>
            </w:r>
            <w:r>
              <w:rPr>
                <w:sz w:val="20"/>
              </w:rPr>
              <w:t>Common</w:t>
            </w:r>
            <w:r>
              <w:rPr>
                <w:spacing w:val="-7"/>
                <w:sz w:val="20"/>
              </w:rPr>
              <w:t> </w:t>
            </w:r>
            <w:r>
              <w:rPr>
                <w:sz w:val="20"/>
              </w:rPr>
              <w:t>Gate</w:t>
            </w:r>
            <w:r>
              <w:rPr>
                <w:spacing w:val="-3"/>
                <w:sz w:val="20"/>
              </w:rPr>
              <w:t> </w:t>
            </w:r>
            <w:r>
              <w:rPr>
                <w:sz w:val="20"/>
              </w:rPr>
              <w:t>and</w:t>
            </w:r>
            <w:r>
              <w:rPr>
                <w:spacing w:val="-4"/>
                <w:sz w:val="20"/>
              </w:rPr>
              <w:t> </w:t>
            </w:r>
            <w:r>
              <w:rPr>
                <w:sz w:val="20"/>
              </w:rPr>
              <w:t>Common</w:t>
            </w:r>
            <w:r>
              <w:rPr>
                <w:spacing w:val="-7"/>
                <w:sz w:val="20"/>
              </w:rPr>
              <w:t> </w:t>
            </w:r>
            <w:r>
              <w:rPr>
                <w:sz w:val="20"/>
              </w:rPr>
              <w:t>Drain</w:t>
            </w:r>
            <w:r>
              <w:rPr>
                <w:spacing w:val="-5"/>
                <w:sz w:val="20"/>
              </w:rPr>
              <w:t> </w:t>
            </w:r>
            <w:r>
              <w:rPr>
                <w:spacing w:val="-2"/>
                <w:sz w:val="20"/>
              </w:rPr>
              <w:t>amplifiers.</w:t>
            </w:r>
          </w:p>
        </w:tc>
      </w:tr>
      <w:tr>
        <w:trPr>
          <w:trHeight w:val="278" w:hRule="atLeast"/>
        </w:trPr>
        <w:tc>
          <w:tcPr>
            <w:tcW w:w="8550" w:type="dxa"/>
          </w:tcPr>
          <w:p>
            <w:pPr>
              <w:pStyle w:val="TableParagraph"/>
              <w:rPr>
                <w:sz w:val="20"/>
              </w:rPr>
            </w:pPr>
            <w:r>
              <w:rPr>
                <w:sz w:val="20"/>
              </w:rPr>
              <w:t>Frequency</w:t>
            </w:r>
            <w:r>
              <w:rPr>
                <w:spacing w:val="-7"/>
                <w:sz w:val="20"/>
              </w:rPr>
              <w:t> </w:t>
            </w:r>
            <w:r>
              <w:rPr>
                <w:sz w:val="20"/>
              </w:rPr>
              <w:t>response</w:t>
            </w:r>
            <w:r>
              <w:rPr>
                <w:spacing w:val="-5"/>
                <w:sz w:val="20"/>
              </w:rPr>
              <w:t> </w:t>
            </w:r>
            <w:r>
              <w:rPr>
                <w:sz w:val="20"/>
              </w:rPr>
              <w:t>of</w:t>
            </w:r>
            <w:r>
              <w:rPr>
                <w:spacing w:val="-5"/>
                <w:sz w:val="20"/>
              </w:rPr>
              <w:t> </w:t>
            </w:r>
            <w:r>
              <w:rPr>
                <w:sz w:val="20"/>
              </w:rPr>
              <w:t>CS</w:t>
            </w:r>
            <w:r>
              <w:rPr>
                <w:spacing w:val="-6"/>
                <w:sz w:val="20"/>
              </w:rPr>
              <w:t> </w:t>
            </w:r>
            <w:r>
              <w:rPr>
                <w:spacing w:val="-2"/>
                <w:sz w:val="20"/>
              </w:rPr>
              <w:t>amplifier.</w:t>
            </w:r>
          </w:p>
        </w:tc>
      </w:tr>
      <w:tr>
        <w:trPr>
          <w:trHeight w:val="277" w:hRule="atLeast"/>
        </w:trPr>
        <w:tc>
          <w:tcPr>
            <w:tcW w:w="8550" w:type="dxa"/>
          </w:tcPr>
          <w:p>
            <w:pPr>
              <w:pStyle w:val="TableParagraph"/>
              <w:rPr>
                <w:sz w:val="20"/>
              </w:rPr>
            </w:pPr>
            <w:r>
              <w:rPr>
                <w:sz w:val="20"/>
              </w:rPr>
              <w:t>CMOS</w:t>
            </w:r>
            <w:r>
              <w:rPr>
                <w:spacing w:val="-8"/>
                <w:sz w:val="20"/>
              </w:rPr>
              <w:t> </w:t>
            </w:r>
            <w:r>
              <w:rPr>
                <w:spacing w:val="-2"/>
                <w:sz w:val="20"/>
              </w:rPr>
              <w:t>inverter.</w:t>
            </w:r>
          </w:p>
        </w:tc>
      </w:tr>
    </w:tbl>
    <w:p>
      <w:pPr>
        <w:pStyle w:val="BodyText"/>
        <w:spacing w:before="2"/>
        <w:rPr>
          <w:b/>
          <w:sz w:val="24"/>
        </w:rPr>
      </w:pPr>
    </w:p>
    <w:p>
      <w:pPr>
        <w:tabs>
          <w:tab w:pos="3600" w:val="left" w:leader="none"/>
        </w:tabs>
        <w:spacing w:before="1"/>
        <w:ind w:left="0" w:right="0" w:firstLine="0"/>
        <w:jc w:val="left"/>
        <w:rPr>
          <w:sz w:val="24"/>
        </w:rPr>
      </w:pPr>
      <w:r>
        <w:rPr>
          <w:b/>
          <w:sz w:val="24"/>
        </w:rPr>
        <w:t>Class/laboratory</w:t>
      </w:r>
      <w:r>
        <w:rPr>
          <w:b/>
          <w:spacing w:val="-2"/>
          <w:sz w:val="24"/>
        </w:rPr>
        <w:t> Schedule:</w:t>
      </w:r>
      <w:r>
        <w:rPr>
          <w:b/>
          <w:sz w:val="24"/>
        </w:rPr>
        <w:tab/>
      </w:r>
      <w:r>
        <w:rPr>
          <w:sz w:val="24"/>
        </w:rPr>
        <w:t>Lecture:</w:t>
      </w:r>
      <w:r>
        <w:rPr>
          <w:spacing w:val="57"/>
          <w:sz w:val="24"/>
        </w:rPr>
        <w:t> </w:t>
      </w:r>
      <w:r>
        <w:rPr>
          <w:sz w:val="24"/>
        </w:rPr>
        <w:t>1hour</w:t>
      </w:r>
      <w:r>
        <w:rPr>
          <w:spacing w:val="-2"/>
          <w:sz w:val="24"/>
        </w:rPr>
        <w:t> </w:t>
      </w:r>
      <w:r>
        <w:rPr>
          <w:sz w:val="24"/>
        </w:rPr>
        <w:t>20min/2 days</w:t>
      </w:r>
      <w:r>
        <w:rPr>
          <w:spacing w:val="-1"/>
          <w:sz w:val="24"/>
        </w:rPr>
        <w:t> </w:t>
      </w:r>
      <w:r>
        <w:rPr>
          <w:sz w:val="24"/>
        </w:rPr>
        <w:t>per</w:t>
      </w:r>
      <w:r>
        <w:rPr>
          <w:spacing w:val="-1"/>
          <w:sz w:val="24"/>
        </w:rPr>
        <w:t> </w:t>
      </w:r>
      <w:r>
        <w:rPr>
          <w:spacing w:val="-4"/>
          <w:sz w:val="24"/>
        </w:rPr>
        <w:t>week</w:t>
      </w:r>
    </w:p>
    <w:p>
      <w:pPr>
        <w:spacing w:before="117"/>
        <w:ind w:left="0" w:right="2087" w:firstLine="0"/>
        <w:jc w:val="right"/>
        <w:rPr>
          <w:sz w:val="24"/>
        </w:rPr>
      </w:pPr>
      <w:r>
        <w:rPr>
          <w:sz w:val="24"/>
        </w:rPr>
        <w:t>Recitation:</w:t>
      </w:r>
      <w:r>
        <w:rPr>
          <w:spacing w:val="58"/>
          <w:sz w:val="24"/>
        </w:rPr>
        <w:t> </w:t>
      </w:r>
      <w:r>
        <w:rPr>
          <w:sz w:val="24"/>
        </w:rPr>
        <w:t>55min/1 day</w:t>
      </w:r>
      <w:r>
        <w:rPr>
          <w:spacing w:val="-4"/>
          <w:sz w:val="24"/>
        </w:rPr>
        <w:t> </w:t>
      </w:r>
      <w:r>
        <w:rPr>
          <w:sz w:val="24"/>
        </w:rPr>
        <w:t>per </w:t>
      </w:r>
      <w:r>
        <w:rPr>
          <w:spacing w:val="-4"/>
          <w:sz w:val="24"/>
        </w:rPr>
        <w:t>week</w:t>
      </w:r>
    </w:p>
    <w:p>
      <w:pPr>
        <w:tabs>
          <w:tab w:pos="3600" w:val="left" w:leader="none"/>
        </w:tabs>
        <w:spacing w:before="120"/>
        <w:ind w:left="0" w:right="2112" w:firstLine="0"/>
        <w:jc w:val="right"/>
        <w:rPr>
          <w:sz w:val="24"/>
        </w:rPr>
      </w:pPr>
      <w:r>
        <w:rPr>
          <w:b/>
          <w:spacing w:val="-2"/>
          <w:sz w:val="24"/>
        </w:rPr>
        <w:t>Grading:</w:t>
      </w:r>
      <w:r>
        <w:rPr>
          <w:b/>
          <w:sz w:val="24"/>
        </w:rPr>
        <w:tab/>
      </w:r>
      <w:r>
        <w:rPr>
          <w:sz w:val="24"/>
        </w:rPr>
        <w:t>Exams -</w:t>
      </w:r>
      <w:r>
        <w:rPr>
          <w:spacing w:val="-1"/>
          <w:sz w:val="24"/>
        </w:rPr>
        <w:t> </w:t>
      </w:r>
      <w:r>
        <w:rPr>
          <w:sz w:val="24"/>
        </w:rPr>
        <w:t>70%,</w:t>
      </w:r>
      <w:r>
        <w:rPr>
          <w:spacing w:val="-1"/>
          <w:sz w:val="24"/>
        </w:rPr>
        <w:t> </w:t>
      </w:r>
      <w:r>
        <w:rPr>
          <w:sz w:val="24"/>
        </w:rPr>
        <w:t>Homeworks -</w:t>
      </w:r>
      <w:r>
        <w:rPr>
          <w:spacing w:val="-1"/>
          <w:sz w:val="24"/>
        </w:rPr>
        <w:t> </w:t>
      </w:r>
      <w:r>
        <w:rPr>
          <w:spacing w:val="-4"/>
          <w:sz w:val="24"/>
        </w:rPr>
        <w:t>30%.</w:t>
      </w:r>
    </w:p>
    <w:p>
      <w:pPr>
        <w:spacing w:after="0"/>
        <w:jc w:val="right"/>
        <w:rPr>
          <w:sz w:val="24"/>
        </w:rPr>
        <w:sectPr>
          <w:type w:val="continuous"/>
          <w:pgSz w:w="12240" w:h="15840"/>
          <w:pgMar w:top="1360" w:bottom="280" w:left="1800" w:right="1440"/>
        </w:sectPr>
      </w:pPr>
    </w:p>
    <w:p>
      <w:pPr>
        <w:pStyle w:val="Heading3"/>
        <w:spacing w:before="78"/>
        <w:rPr>
          <w:i/>
        </w:rPr>
      </w:pPr>
      <w:r>
        <w:rPr>
          <w:i/>
        </w:rPr>
        <w:t>Disability</w:t>
      </w:r>
      <w:r>
        <w:rPr>
          <w:i/>
          <w:spacing w:val="-6"/>
        </w:rPr>
        <w:t> </w:t>
      </w:r>
      <w:r>
        <w:rPr>
          <w:i/>
        </w:rPr>
        <w:t>Support</w:t>
      </w:r>
      <w:r>
        <w:rPr>
          <w:i/>
          <w:spacing w:val="-6"/>
        </w:rPr>
        <w:t> </w:t>
      </w:r>
      <w:r>
        <w:rPr>
          <w:i/>
        </w:rPr>
        <w:t>Services</w:t>
      </w:r>
      <w:r>
        <w:rPr>
          <w:i/>
          <w:spacing w:val="-6"/>
        </w:rPr>
        <w:t> </w:t>
      </w:r>
      <w:r>
        <w:rPr>
          <w:i/>
        </w:rPr>
        <w:t>(DSS)</w:t>
      </w:r>
      <w:r>
        <w:rPr>
          <w:i/>
          <w:spacing w:val="-5"/>
        </w:rPr>
        <w:t> </w:t>
      </w:r>
      <w:r>
        <w:rPr>
          <w:i/>
          <w:spacing w:val="-2"/>
        </w:rPr>
        <w:t>Statement:</w:t>
      </w:r>
    </w:p>
    <w:p>
      <w:pPr>
        <w:pStyle w:val="BodyText"/>
        <w:spacing w:before="226"/>
        <w:ind w:right="363"/>
        <w:jc w:val="both"/>
      </w:pPr>
      <w:r>
        <w:rPr/>
        <w:t>If you have a physical, psychological, medical or learning disability that may impact your course work, please contact Disability Support Services, ECC (Educational Communications Center) Building, room</w:t>
      </w:r>
      <w:r>
        <w:rPr>
          <w:spacing w:val="40"/>
        </w:rPr>
        <w:t> </w:t>
      </w:r>
      <w:r>
        <w:rPr/>
        <w:t>128, (631) 632-6748. They will determine with you what accommodations, if any, are necessary and appropriate. All information and documentation is confidential.</w:t>
      </w:r>
    </w:p>
    <w:p>
      <w:pPr>
        <w:pStyle w:val="BodyText"/>
      </w:pPr>
    </w:p>
    <w:p>
      <w:pPr>
        <w:pStyle w:val="BodyText"/>
        <w:ind w:right="365"/>
        <w:jc w:val="both"/>
      </w:pPr>
      <w:r>
        <w:rPr/>
        <w:t>Students who require assistance during emergency evacuation are encouraged to discuss their needs with their professors and Disability Support Services. For procedures and information go to the following website: </w:t>
      </w:r>
      <w:hyperlink r:id="rId5">
        <w:r>
          <w:rPr>
            <w:color w:val="0062A2"/>
            <w:u w:val="single" w:color="0062A2"/>
          </w:rPr>
          <w:t>http://www.stonybrook.edu/ehs/fire/disabilities</w:t>
        </w:r>
      </w:hyperlink>
      <w:r>
        <w:rPr>
          <w:color w:val="0062A2"/>
          <w:u w:val="none"/>
        </w:rPr>
        <w:t> </w:t>
      </w:r>
      <w:r>
        <w:rPr>
          <w:u w:val="none"/>
        </w:rPr>
        <w:t>]</w:t>
      </w:r>
    </w:p>
    <w:p>
      <w:pPr>
        <w:pStyle w:val="BodyText"/>
        <w:spacing w:before="4"/>
      </w:pPr>
    </w:p>
    <w:p>
      <w:pPr>
        <w:pStyle w:val="Heading3"/>
        <w:rPr>
          <w:i/>
        </w:rPr>
      </w:pPr>
      <w:r>
        <w:rPr>
          <w:i/>
        </w:rPr>
        <w:t>Academic</w:t>
      </w:r>
      <w:r>
        <w:rPr>
          <w:i/>
          <w:spacing w:val="-7"/>
        </w:rPr>
        <w:t> </w:t>
      </w:r>
      <w:r>
        <w:rPr>
          <w:i/>
        </w:rPr>
        <w:t>Integrity</w:t>
      </w:r>
      <w:r>
        <w:rPr>
          <w:i/>
          <w:spacing w:val="-7"/>
        </w:rPr>
        <w:t> </w:t>
      </w:r>
      <w:r>
        <w:rPr>
          <w:i/>
          <w:spacing w:val="-2"/>
        </w:rPr>
        <w:t>Statement:</w:t>
      </w:r>
    </w:p>
    <w:p>
      <w:pPr>
        <w:pStyle w:val="BodyText"/>
        <w:spacing w:before="226"/>
        <w:ind w:right="358"/>
        <w:jc w:val="both"/>
      </w:pPr>
      <w:r>
        <w:rPr/>
        <w:t>Each student must pursue his or her academic goals honestly and be personally accountable for all submitted work. Representing another person's work as your own is always wrong. Faculty are required to report any suspected instances of academic dishonesty to the Academic Judiciary. Faculty in the Health Sciences</w:t>
      </w:r>
      <w:r>
        <w:rPr>
          <w:spacing w:val="-1"/>
        </w:rPr>
        <w:t> </w:t>
      </w:r>
      <w:r>
        <w:rPr/>
        <w:t>Center (School</w:t>
      </w:r>
      <w:r>
        <w:rPr>
          <w:spacing w:val="-1"/>
        </w:rPr>
        <w:t> </w:t>
      </w:r>
      <w:r>
        <w:rPr/>
        <w:t>of</w:t>
      </w:r>
      <w:r>
        <w:rPr>
          <w:spacing w:val="-2"/>
        </w:rPr>
        <w:t> </w:t>
      </w:r>
      <w:r>
        <w:rPr/>
        <w:t>Health</w:t>
      </w:r>
      <w:r>
        <w:rPr>
          <w:spacing w:val="-2"/>
        </w:rPr>
        <w:t> </w:t>
      </w:r>
      <w:r>
        <w:rPr/>
        <w:t>Technology &amp;</w:t>
      </w:r>
      <w:r>
        <w:rPr>
          <w:spacing w:val="-2"/>
        </w:rPr>
        <w:t> </w:t>
      </w:r>
      <w:r>
        <w:rPr/>
        <w:t>Management,</w:t>
      </w:r>
      <w:r>
        <w:rPr>
          <w:spacing w:val="-1"/>
        </w:rPr>
        <w:t> </w:t>
      </w:r>
      <w:r>
        <w:rPr/>
        <w:t>Nursing,</w:t>
      </w:r>
      <w:r>
        <w:rPr>
          <w:spacing w:val="-1"/>
        </w:rPr>
        <w:t> </w:t>
      </w:r>
      <w:r>
        <w:rPr/>
        <w:t>Social Welfare,</w:t>
      </w:r>
      <w:r>
        <w:rPr>
          <w:spacing w:val="-1"/>
        </w:rPr>
        <w:t> </w:t>
      </w:r>
      <w:r>
        <w:rPr/>
        <w:t>Dental</w:t>
      </w:r>
      <w:r>
        <w:rPr>
          <w:spacing w:val="-1"/>
        </w:rPr>
        <w:t> </w:t>
      </w:r>
      <w:r>
        <w:rPr/>
        <w:t>Medicine) and School of Medicine are required to follow their school-specific procedures. For more comprehensive information on academic integrity, including categories of academic dishonesty, please refer to the academic judiciary website at </w:t>
      </w:r>
      <w:hyperlink r:id="rId6">
        <w:r>
          <w:rPr>
            <w:color w:val="0062A2"/>
            <w:u w:val="single" w:color="0062A2"/>
          </w:rPr>
          <w:t>http://www.stonybrook.edu/commcms/academic_integrity/index.html</w:t>
        </w:r>
      </w:hyperlink>
    </w:p>
    <w:p>
      <w:pPr>
        <w:pStyle w:val="BodyText"/>
        <w:spacing w:before="4"/>
      </w:pPr>
    </w:p>
    <w:p>
      <w:pPr>
        <w:pStyle w:val="Heading3"/>
        <w:spacing w:line="228" w:lineRule="exact"/>
        <w:rPr>
          <w:i/>
        </w:rPr>
      </w:pPr>
      <w:r>
        <w:rPr>
          <w:i/>
        </w:rPr>
        <w:t>Critical</w:t>
      </w:r>
      <w:r>
        <w:rPr>
          <w:i/>
          <w:spacing w:val="-8"/>
        </w:rPr>
        <w:t> </w:t>
      </w:r>
      <w:r>
        <w:rPr>
          <w:i/>
        </w:rPr>
        <w:t>Incident</w:t>
      </w:r>
      <w:r>
        <w:rPr>
          <w:i/>
          <w:spacing w:val="-8"/>
        </w:rPr>
        <w:t> </w:t>
      </w:r>
      <w:r>
        <w:rPr>
          <w:i/>
        </w:rPr>
        <w:t>Management</w:t>
      </w:r>
      <w:r>
        <w:rPr>
          <w:i/>
          <w:spacing w:val="-8"/>
        </w:rPr>
        <w:t> </w:t>
      </w:r>
      <w:r>
        <w:rPr>
          <w:i/>
          <w:spacing w:val="-2"/>
        </w:rPr>
        <w:t>Statement:</w:t>
      </w:r>
    </w:p>
    <w:p>
      <w:pPr>
        <w:pStyle w:val="BodyText"/>
        <w:ind w:right="359"/>
        <w:jc w:val="both"/>
      </w:pPr>
      <w:r>
        <w:rPr/>
        <w:t>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or inhibits students' ability to learn. Faculty in the HSC Schools and the School of Medicine are required to follow their school-specific </w:t>
      </w:r>
      <w:r>
        <w:rPr>
          <w:spacing w:val="-2"/>
        </w:rPr>
        <w:t>procedures.</w:t>
      </w:r>
    </w:p>
    <w:sectPr>
      <w:pgSz w:w="12240" w:h="15840"/>
      <w:pgMar w:top="136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77" w:line="319" w:lineRule="exact"/>
      <w:ind w:left="2" w:right="358"/>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jc w:val="both"/>
      <w:outlineLvl w:val="3"/>
    </w:pPr>
    <w:rPr>
      <w:rFonts w:ascii="Times New Roman" w:hAnsi="Times New Roman" w:eastAsia="Times New Roman" w:cs="Times New Roman"/>
      <w:b/>
      <w:bCs/>
      <w:i/>
      <w:i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23"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stonybrook.edu/ehs/fire/disabilities" TargetMode="External"/><Relationship Id="rId6" Type="http://schemas.openxmlformats.org/officeDocument/2006/relationships/hyperlink" Target="http://www.stonybrook.edu/commcms/academic_integri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dc:title>ESE 380:         Title</dc:title>
  <dcterms:created xsi:type="dcterms:W3CDTF">2025-11-05T17:35:05Z</dcterms:created>
  <dcterms:modified xsi:type="dcterms:W3CDTF">2025-11-05T17:35:05Z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2013</vt:lpwstr>
  </property>
  <property fmtid="{D5CDD505-2E9C-101B-9397-08002B2CF9AE}" pid="4" name="LastSaved">
    <vt:filetime>2025-11-05T00:00:00Z</vt:filetime>
  </property>
  <property fmtid="{D5CDD505-2E9C-101B-9397-08002B2CF9AE}" pid="5" name="Producer">
    <vt:lpwstr>Microsoft® Word 2013</vt:lpwstr>
  </property>
</Properties>
</file>